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B6235F" w:rsidP="0022707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241E45">
              <w:rPr>
                <w:rFonts w:ascii="Times New Roman" w:hAnsi="Times New Roman" w:cs="Times New Roman"/>
                <w:b/>
                <w:sz w:val="32"/>
                <w:szCs w:val="40"/>
              </w:rPr>
              <w:t>3</w:t>
            </w:r>
            <w:r w:rsidR="00227070">
              <w:rPr>
                <w:rFonts w:ascii="Times New Roman" w:hAnsi="Times New Roman" w:cs="Times New Roman"/>
                <w:b/>
                <w:sz w:val="32"/>
                <w:szCs w:val="40"/>
              </w:rPr>
              <w:t>9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2C2C1D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F85093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85093" w:rsidRPr="00084343" w:rsidRDefault="00F85093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F85093" w:rsidRPr="00084343" w:rsidRDefault="00F85093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5093" w:rsidRPr="00613F47" w:rsidRDefault="00B43345" w:rsidP="00F85093">
            <w:pPr>
              <w:numPr>
                <w:ilvl w:val="0"/>
                <w:numId w:val="6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hyperlink r:id="rId9" w:history="1">
              <w:r w:rsidR="00F85093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F85093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pour accéder à la liste des PEL potentiellement en non-respect, échéances du 18/09 au 28/10/2018 qui seront clôturés à J+1 de la date anniversaire (volumétrie 775 clients).</w:t>
            </w:r>
          </w:p>
        </w:tc>
      </w:tr>
      <w:tr w:rsidR="00F85093" w:rsidRPr="008A2C98" w:rsidTr="00241E45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85093" w:rsidRPr="00084343" w:rsidRDefault="00F85093" w:rsidP="000C708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F85093" w:rsidRPr="0008252E" w:rsidRDefault="00F85093" w:rsidP="0008252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252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Dispense d’acompte sur les revenus mobiliers 2019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8252E" w:rsidRPr="0008252E" w:rsidRDefault="0008252E" w:rsidP="0008252E">
            <w:pPr>
              <w:numPr>
                <w:ilvl w:val="0"/>
                <w:numId w:val="16"/>
              </w:numPr>
              <w:ind w:left="175" w:hanging="175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8252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La demande de dispense d’acompte sur les revenus mobiliers pour 2019 est à formuler par nos clients avant le 30 novembre. </w:t>
            </w:r>
          </w:p>
          <w:p w:rsidR="0008252E" w:rsidRPr="0008252E" w:rsidRDefault="0008252E" w:rsidP="0008252E">
            <w:pPr>
              <w:numPr>
                <w:ilvl w:val="0"/>
                <w:numId w:val="16"/>
              </w:numPr>
              <w:ind w:left="175" w:hanging="175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Les clients ayant opté pour cette dispense pour l’année 2018 et souhaitant en bénéficier pour 2019 doivent renouveler leur demande. </w:t>
            </w:r>
            <w:r w:rsidRPr="0008252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Sans instruction du client, le PFU s’appliquera par défaut sur les revenus à percevoir en 2019.</w:t>
            </w:r>
          </w:p>
          <w:p w:rsidR="0008252E" w:rsidRPr="0008252E" w:rsidRDefault="0008252E" w:rsidP="0008252E">
            <w:pPr>
              <w:numPr>
                <w:ilvl w:val="0"/>
                <w:numId w:val="16"/>
              </w:numPr>
              <w:ind w:left="175" w:hanging="175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Les clients sont informés du dispositif via différents moyens :</w:t>
            </w:r>
          </w:p>
          <w:p w:rsidR="0008252E" w:rsidRPr="0008252E" w:rsidRDefault="0008252E" w:rsidP="0008252E">
            <w:pPr>
              <w:numPr>
                <w:ilvl w:val="2"/>
                <w:numId w:val="17"/>
              </w:num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Un message sur </w:t>
            </w:r>
            <w:r w:rsidRPr="0008252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le relevé de comptes d’octobre</w:t>
            </w:r>
          </w:p>
          <w:p w:rsidR="0008252E" w:rsidRPr="0008252E" w:rsidRDefault="0008252E" w:rsidP="0008252E">
            <w:pPr>
              <w:numPr>
                <w:ilvl w:val="2"/>
                <w:numId w:val="1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Une information  MSI ou </w:t>
            </w:r>
            <w:proofErr w:type="spellStart"/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emailing</w:t>
            </w:r>
            <w:proofErr w:type="spellEnd"/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  qui sera envoyée </w:t>
            </w:r>
            <w:r w:rsidRPr="0008252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la 1</w:t>
            </w:r>
            <w:r w:rsidRPr="0008252E">
              <w:rPr>
                <w:rFonts w:ascii="Times New Roman" w:hAnsi="Times New Roman" w:cs="Times New Roman"/>
                <w:b/>
                <w:bCs/>
                <w:color w:val="000000"/>
                <w:position w:val="5"/>
                <w:sz w:val="20"/>
                <w:szCs w:val="20"/>
                <w:vertAlign w:val="superscript"/>
                <w:lang w:eastAsia="fr-FR"/>
              </w:rPr>
              <w:t>ère</w:t>
            </w:r>
            <w:r w:rsidRPr="0008252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semaine d’octobre </w:t>
            </w: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pour les clients ayant opté pour la dispense d’acompte en 2018.</w:t>
            </w:r>
          </w:p>
          <w:p w:rsidR="0008252E" w:rsidRPr="0008252E" w:rsidRDefault="0008252E" w:rsidP="0008252E">
            <w:pPr>
              <w:numPr>
                <w:ilvl w:val="2"/>
                <w:numId w:val="17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Une information sur le portail internet </w:t>
            </w:r>
            <w:r w:rsidRPr="0008252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dès début octobre</w:t>
            </w:r>
          </w:p>
          <w:p w:rsidR="00F85093" w:rsidRPr="0008252E" w:rsidRDefault="0008252E" w:rsidP="0008252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Les clients peuvent demander une dispense d’acompte sur DEI en complétant un formulaire disponible via le service intitulé « Assistance et SAV ». Ces demandes sont prises en charge et traitées par le service Titres et Assurance Vie de la Direction des Services Bancaires. </w:t>
            </w:r>
            <w:proofErr w:type="gramStart"/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Il peuvent</w:t>
            </w:r>
            <w:proofErr w:type="gramEnd"/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aussi se présenter en agence.</w:t>
            </w:r>
          </w:p>
        </w:tc>
      </w:tr>
      <w:tr w:rsidR="00F85093" w:rsidRPr="008A2C98" w:rsidTr="00241E45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85093" w:rsidRPr="00084343" w:rsidRDefault="00F85093" w:rsidP="000C708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F85093" w:rsidRPr="00FB12C6" w:rsidRDefault="00F85093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Suivi Hélios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5093" w:rsidRPr="0008252E" w:rsidRDefault="00F85093" w:rsidP="00F8509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Un démarrage très dynamique pour </w:t>
            </w:r>
            <w:r w:rsidR="00A03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ce début </w:t>
            </w:r>
            <w:r w:rsidRPr="000825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commercialisation d’Hélios Janvier 2029, et le mérite vous en revient.</w:t>
            </w:r>
          </w:p>
          <w:p w:rsidR="00F85093" w:rsidRPr="0008252E" w:rsidRDefault="00F85093" w:rsidP="00F8509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8252E">
              <w:rPr>
                <w:rFonts w:ascii="Times New Roman" w:hAnsi="Times New Roman" w:cs="Times New Roman"/>
                <w:sz w:val="20"/>
                <w:szCs w:val="20"/>
              </w:rPr>
              <w:t xml:space="preserve">Voici les résultats par Direction Commerciale </w:t>
            </w:r>
            <w:r w:rsidR="0008252E">
              <w:rPr>
                <w:rFonts w:ascii="Times New Roman" w:hAnsi="Times New Roman" w:cs="Times New Roman"/>
                <w:sz w:val="20"/>
                <w:szCs w:val="20"/>
              </w:rPr>
              <w:t>au 20</w:t>
            </w:r>
            <w:r w:rsidRPr="0008252E">
              <w:rPr>
                <w:rFonts w:ascii="Times New Roman" w:hAnsi="Times New Roman" w:cs="Times New Roman"/>
                <w:sz w:val="20"/>
                <w:szCs w:val="20"/>
              </w:rPr>
              <w:t>/09</w:t>
            </w:r>
            <w:r w:rsidR="00A0378F">
              <w:rPr>
                <w:rFonts w:ascii="Times New Roman" w:hAnsi="Times New Roman" w:cs="Times New Roman"/>
                <w:sz w:val="20"/>
                <w:szCs w:val="20"/>
              </w:rPr>
              <w:t xml:space="preserve"> (TO : 11%)</w:t>
            </w:r>
            <w:r w:rsidRPr="0008252E">
              <w:rPr>
                <w:rFonts w:ascii="Times New Roman" w:hAnsi="Times New Roman" w:cs="Times New Roman"/>
                <w:sz w:val="20"/>
                <w:szCs w:val="20"/>
              </w:rPr>
              <w:t xml:space="preserve"> : </w:t>
            </w:r>
          </w:p>
          <w:p w:rsidR="0008252E" w:rsidRPr="0008252E" w:rsidRDefault="0008252E" w:rsidP="0008252E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tbl>
            <w:tblPr>
              <w:tblW w:w="900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000"/>
              <w:gridCol w:w="200"/>
              <w:gridCol w:w="1200"/>
              <w:gridCol w:w="1200"/>
              <w:gridCol w:w="1200"/>
              <w:gridCol w:w="1200"/>
            </w:tblGrid>
            <w:tr w:rsidR="0008252E" w:rsidRPr="00EB301E" w:rsidTr="00B54AD3">
              <w:trPr>
                <w:trHeight w:val="48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00000"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  <w:t>DIRECTION COMMERCIALE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00000"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  <w:t>OBJ</w:t>
                  </w:r>
                </w:p>
              </w:tc>
              <w:tc>
                <w:tcPr>
                  <w:tcW w:w="12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0000"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  <w:t>REALISATION EN MTT</w:t>
                  </w:r>
                </w:p>
              </w:tc>
              <w:tc>
                <w:tcPr>
                  <w:tcW w:w="12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0000"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  <w:t>% REALISE</w:t>
                  </w:r>
                </w:p>
              </w:tc>
              <w:tc>
                <w:tcPr>
                  <w:tcW w:w="12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0000"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  <w:t>Reste à faire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AUBE - HAUTE MARNE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3 347 000 €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567 438 €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17%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2 779 562 €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MARNE - ARDENNES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5 705 000 €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945 074 €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17%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4 759 926 €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MEURTHE ET MOSELLE - MEUSE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6 506 000 €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639 353 €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10%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5 866 647 €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MOSELLE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7 378 000 €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1 123 074 €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15%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6 254 926 €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VOSGES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3 536 000 €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207 749 €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6%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3 328 251 €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BAS RHIN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7 544 000 €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1 450 517 €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19%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6 093 483 €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HAUT RHIN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3 984 000 €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634 026 €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16%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3 349 974 €</w:t>
                  </w:r>
                </w:p>
              </w:tc>
            </w:tr>
            <w:tr w:rsidR="0008252E" w:rsidRPr="00EB301E" w:rsidTr="00B54AD3">
              <w:trPr>
                <w:trHeight w:val="300"/>
              </w:trPr>
              <w:tc>
                <w:tcPr>
                  <w:tcW w:w="4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CEGEE</w:t>
                  </w:r>
                </w:p>
              </w:tc>
              <w:tc>
                <w:tcPr>
                  <w:tcW w:w="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color w:val="000000"/>
                      <w:lang w:eastAsia="fr-FR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b/>
                      <w:bCs/>
                      <w:sz w:val="18"/>
                      <w:szCs w:val="18"/>
                      <w:lang w:eastAsia="fr-FR"/>
                    </w:rPr>
                    <w:t>38 000 000 €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b/>
                      <w:bCs/>
                      <w:sz w:val="18"/>
                      <w:szCs w:val="18"/>
                      <w:lang w:eastAsia="fr-FR"/>
                    </w:rPr>
                    <w:t>5 567 231 €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sz w:val="18"/>
                      <w:szCs w:val="18"/>
                      <w:lang w:eastAsia="fr-FR"/>
                    </w:rPr>
                    <w:t>14%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center"/>
                  <w:hideMark/>
                </w:tcPr>
                <w:p w:rsidR="0008252E" w:rsidRPr="00EB301E" w:rsidRDefault="0008252E" w:rsidP="00B54AD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18"/>
                      <w:szCs w:val="18"/>
                      <w:lang w:eastAsia="fr-FR"/>
                    </w:rPr>
                  </w:pPr>
                  <w:r w:rsidRPr="00EB301E">
                    <w:rPr>
                      <w:rFonts w:ascii="Calibri" w:eastAsia="Times New Roman" w:hAnsi="Calibri" w:cs="Calibri"/>
                      <w:b/>
                      <w:bCs/>
                      <w:sz w:val="18"/>
                      <w:szCs w:val="18"/>
                      <w:lang w:eastAsia="fr-FR"/>
                    </w:rPr>
                    <w:t>32 432 769 €</w:t>
                  </w:r>
                </w:p>
              </w:tc>
            </w:tr>
          </w:tbl>
          <w:p w:rsidR="00F85093" w:rsidRPr="00FB12C6" w:rsidRDefault="00F85093" w:rsidP="00821AF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85093" w:rsidRPr="00FB12C6" w:rsidRDefault="00F85093" w:rsidP="00821AF4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Afin de vous permettre d’assurer le suivi dan</w:t>
            </w: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s votre unité, n’hésitez pas à vous connectez à </w:t>
            </w:r>
            <w:hyperlink r:id="rId10" w:history="1">
              <w:r w:rsidRPr="00FB12C6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PILCOT</w:t>
              </w:r>
            </w:hyperlink>
            <w:r w:rsidRPr="00FB12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F85093" w:rsidRPr="00FB12C6" w:rsidRDefault="00F85093" w:rsidP="00FB12C6">
            <w:pPr>
              <w:ind w:left="34"/>
              <w:contextualSpacing/>
              <w:jc w:val="both"/>
              <w:rPr>
                <w:rFonts w:ascii="Times New Roman" w:hAnsi="Times New Roman" w:cs="Times New Roman"/>
                <w:i/>
                <w:iCs/>
                <w:color w:val="0000FF"/>
                <w:sz w:val="20"/>
                <w:szCs w:val="20"/>
                <w:u w:val="single"/>
              </w:rPr>
            </w:pPr>
            <w:r w:rsidRPr="00FB12C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NB : si vous rencontrez des difficultés de connexion à PILCOT, merci d’en avertir Anne-Claire LIAUBET </w:t>
            </w:r>
            <w:hyperlink r:id="rId11" w:history="1">
              <w:r w:rsidRPr="00FB12C6">
                <w:rPr>
                  <w:rStyle w:val="Lienhypertexte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anneclaire.liaubet@cegee.caisse-epargne.fr</w:t>
              </w:r>
            </w:hyperlink>
          </w:p>
        </w:tc>
      </w:tr>
      <w:tr w:rsidR="001912DF" w:rsidRPr="008A2C98" w:rsidTr="001912DF">
        <w:trPr>
          <w:trHeight w:val="34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912DF" w:rsidRPr="001912DF" w:rsidRDefault="009D3366" w:rsidP="001912D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Banque à distance</w:t>
            </w:r>
            <w:bookmarkStart w:id="0" w:name="_GoBack"/>
            <w:bookmarkEnd w:id="0"/>
          </w:p>
        </w:tc>
      </w:tr>
      <w:tr w:rsidR="00613F47" w:rsidRPr="008A2C98" w:rsidTr="00241E45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13F47" w:rsidRPr="006E6BE3" w:rsidRDefault="00613F47" w:rsidP="00A9278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Com. </w:t>
            </w:r>
            <w:r w:rsidR="00A9278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Expérience </w:t>
            </w:r>
            <w:r w:rsidR="00A9278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13F47" w:rsidRPr="00FB12C6" w:rsidRDefault="00A9278A" w:rsidP="000C708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B12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Sécur’Pass</w:t>
            </w:r>
            <w:proofErr w:type="spellEnd"/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278A" w:rsidRPr="00FB12C6" w:rsidRDefault="00A9278A" w:rsidP="00A9278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 20.09.2018 plus de 3 900 collaborateurs et clients CEGEE se sont enrôlées à SECURPASS via l’application MOBILE. </w:t>
            </w: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Si ce n’est pas encore le cas, nous invitons tous les collaborateurs non encore équipés du service à s’enrôler dès à présent. Découvrez une courte vidéo présentant le </w:t>
            </w:r>
            <w:r w:rsidRPr="00FB12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parcours d’enrôlement sur Mobile : </w:t>
            </w:r>
            <w:hyperlink r:id="rId12" w:history="1">
              <w:r w:rsidRPr="00FB12C6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Cliquer ici</w:t>
              </w:r>
            </w:hyperlink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9278A" w:rsidRPr="00FB12C6" w:rsidRDefault="00A9278A" w:rsidP="00A9278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>Rappel :</w:t>
            </w: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Secur’Pass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succède à SOL SMS ou CAP pour réaliser des opérations sécurisées de Banque à Distance. La validation des opérations « sécurisées » sera désormais plus simple :</w:t>
            </w:r>
          </w:p>
          <w:p w:rsidR="00A9278A" w:rsidRPr="00FB12C6" w:rsidRDefault="00A9278A" w:rsidP="002F35AE">
            <w:pPr>
              <w:pStyle w:val="Paragraphedeliste"/>
              <w:numPr>
                <w:ilvl w:val="0"/>
                <w:numId w:val="21"/>
              </w:numPr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Secur’Pass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c’est un code sur 4 positions </w:t>
            </w:r>
            <w:r w:rsidRPr="00FB12C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choisi par le Client</w:t>
            </w: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9278A" w:rsidRPr="00FB12C6" w:rsidRDefault="00A9278A" w:rsidP="002F35AE">
            <w:pPr>
              <w:pStyle w:val="Paragraphedeliste"/>
              <w:numPr>
                <w:ilvl w:val="0"/>
                <w:numId w:val="21"/>
              </w:numPr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Secur’Pass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permet entre autre d’effectuer un virement vers un nouveau compte bénéficiaire sans délai d’attente</w:t>
            </w:r>
          </w:p>
          <w:p w:rsidR="00A9278A" w:rsidRPr="00FB12C6" w:rsidRDefault="00A9278A" w:rsidP="002F35AE">
            <w:pPr>
              <w:pStyle w:val="Paragraphedeliste"/>
              <w:numPr>
                <w:ilvl w:val="0"/>
                <w:numId w:val="21"/>
              </w:numPr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Secur’Pass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fonctionne même sans couverture réseau mobile … une simple connexion Wifi suffit</w:t>
            </w:r>
          </w:p>
          <w:p w:rsidR="00613F47" w:rsidRPr="00FB12C6" w:rsidRDefault="00A9278A" w:rsidP="00A9278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Retrouvez toutes les informations dans la Rubrique Des Commerciaux – Rubrique </w:t>
            </w:r>
            <w:hyperlink r:id="rId13" w:history="1">
              <w:r w:rsidRPr="00FB12C6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BANQUE A DISTANCE / LES FONCTIONS</w:t>
              </w:r>
            </w:hyperlink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5387E" w:rsidRPr="008A2C98" w:rsidTr="00F85093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55387E" w:rsidRPr="006E6BE3" w:rsidRDefault="0055387E" w:rsidP="00A9278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Com.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Expérience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55387E" w:rsidRPr="00FB12C6" w:rsidRDefault="0055387E" w:rsidP="000C708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Vente à Distance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387E" w:rsidRPr="00FB12C6" w:rsidRDefault="0055387E" w:rsidP="0055387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À partir du 24 septembre 2018, les ouvertures de PEL (majeur/mineur) et de Livret Jeune (majeur/mineur) doivent être réalisées via </w:t>
            </w:r>
            <w:proofErr w:type="spellStart"/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>MyWay</w:t>
            </w:r>
            <w:proofErr w:type="spellEnd"/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(transaction 0401) et non plus sur OVAD-VMC (transaction 0950).</w:t>
            </w: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Il suffit ensuite de choisir le canal téléphone pour que le mode de contractualisation en SED soit proposé.</w:t>
            </w:r>
          </w:p>
          <w:p w:rsidR="0055387E" w:rsidRPr="00FB12C6" w:rsidRDefault="0055387E" w:rsidP="0055387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Ces deux produits viennent donc s’ajouter aux autres produits d’épargne (LEP, CEL, Livret 10-12, Livret B et LDDS) pour lesquels la saisie en vente à distance s’effectue déjà sur </w:t>
            </w: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MyWay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depuis Janvier 2018.</w:t>
            </w:r>
          </w:p>
          <w:p w:rsidR="0055387E" w:rsidRPr="00FB12C6" w:rsidRDefault="0055387E" w:rsidP="0055387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Ce nouveau </w:t>
            </w: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offre désormais </w:t>
            </w: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>la possibilité d’une contractualisation en SED pour un client mineur.</w:t>
            </w:r>
          </w:p>
          <w:p w:rsidR="0055387E" w:rsidRPr="00FB12C6" w:rsidRDefault="0055387E" w:rsidP="0055387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Rappel des critères d’éligibilité SED : le signataire (représentant légal dans le cas d’un client mineur) doit posséder :</w:t>
            </w:r>
          </w:p>
          <w:p w:rsidR="0055387E" w:rsidRPr="00FB12C6" w:rsidRDefault="0055387E" w:rsidP="002F35AE">
            <w:pPr>
              <w:pStyle w:val="Paragraphedeliste"/>
              <w:numPr>
                <w:ilvl w:val="0"/>
                <w:numId w:val="22"/>
              </w:numPr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Un numéro de mobile à jour et enregistré dans le SI</w:t>
            </w:r>
          </w:p>
          <w:p w:rsidR="0055387E" w:rsidRPr="00FB12C6" w:rsidRDefault="0055387E" w:rsidP="002F35AE">
            <w:pPr>
              <w:pStyle w:val="Paragraphedeliste"/>
              <w:numPr>
                <w:ilvl w:val="0"/>
                <w:numId w:val="22"/>
              </w:numPr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Une adresse mail valide</w:t>
            </w:r>
          </w:p>
          <w:p w:rsidR="0055387E" w:rsidRPr="00FB12C6" w:rsidRDefault="0055387E" w:rsidP="002F35AE">
            <w:pPr>
              <w:pStyle w:val="Paragraphedeliste"/>
              <w:numPr>
                <w:ilvl w:val="0"/>
                <w:numId w:val="22"/>
              </w:numPr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Une MSI active (le client doit disposer d’un accès à sa banque à distance)</w:t>
            </w:r>
          </w:p>
          <w:p w:rsidR="0055387E" w:rsidRPr="00FB12C6" w:rsidRDefault="0055387E" w:rsidP="0055387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Retrouvez le mode opératoire détaillé en </w:t>
            </w:r>
            <w:hyperlink r:id="rId14" w:history="1">
              <w:r w:rsidRPr="00FB12C6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cliquant ici</w:t>
              </w:r>
            </w:hyperlink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5387E" w:rsidRPr="00FB12C6" w:rsidRDefault="0055387E" w:rsidP="00F04051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Cette nouveauté fera également l’objet d’une partie de l’HDJ du 27/09/2017 concernant le </w:t>
            </w: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de vente à distance </w:t>
            </w:r>
            <w:proofErr w:type="spellStart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MyWay</w:t>
            </w:r>
            <w:proofErr w:type="spellEnd"/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85093" w:rsidRPr="008A2C98" w:rsidTr="00F85093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85093" w:rsidRPr="0055387E" w:rsidRDefault="00F85093" w:rsidP="00F8509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IARD / PREVOYANCE</w:t>
            </w:r>
          </w:p>
        </w:tc>
      </w:tr>
      <w:tr w:rsidR="002F35AE" w:rsidRPr="008A2C98" w:rsidTr="00241E45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RAPPEL Souscription contrat AUTO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F35AE" w:rsidRPr="002F35AE" w:rsidRDefault="002F35AE" w:rsidP="002F35A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Chaque semaine (le lundi en fin de journée), nous mettons à votre disposition </w:t>
            </w:r>
            <w:r w:rsidRPr="002F35AE">
              <w:rPr>
                <w:rFonts w:ascii="Times New Roman" w:hAnsi="Times New Roman" w:cs="Times New Roman"/>
                <w:b/>
                <w:sz w:val="20"/>
                <w:szCs w:val="20"/>
              </w:rPr>
              <w:t>le nouveau fichier des clients détenteurs de contrats provisoires (notes de couverture).</w:t>
            </w:r>
          </w:p>
          <w:p w:rsidR="0008252E" w:rsidRPr="0008252E" w:rsidRDefault="0008252E" w:rsidP="0008252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252E">
              <w:rPr>
                <w:rFonts w:ascii="Times New Roman" w:hAnsi="Times New Roman" w:cs="Times New Roman"/>
                <w:sz w:val="20"/>
                <w:szCs w:val="20"/>
              </w:rPr>
              <w:t xml:space="preserve">En effet, si la souscription du contrat auto n’est pas un contrat définitif, le client doit fournir les justificatifs nécessaires et complets sous 30 jours à compter de la date d’effet du contrat. Si tel n’est pas le cas, le contrat provisoire sera résilié et le véhicule du client ne sera donc plus assuré </w:t>
            </w:r>
          </w:p>
          <w:p w:rsidR="002F35AE" w:rsidRPr="002F35AE" w:rsidRDefault="002F35AE" w:rsidP="002F35A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Le fichier est présent dans la Rubrique des Commerciaux : </w:t>
            </w:r>
            <w:hyperlink r:id="rId15" w:history="1">
              <w:r w:rsidRPr="002F35AE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2F35AE">
              <w:rPr>
                <w:rStyle w:val="Lienhypertext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pour y accéder.</w:t>
            </w:r>
          </w:p>
          <w:p w:rsidR="002F35AE" w:rsidRPr="002F35AE" w:rsidRDefault="002F35AE" w:rsidP="002F35A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sz w:val="20"/>
                <w:szCs w:val="20"/>
              </w:rPr>
              <w:t>Nous vous demandons de le traiter en donnant priorité aux contrats à moins de 10 jours de la sortie.</w:t>
            </w:r>
          </w:p>
          <w:p w:rsidR="002F35AE" w:rsidRPr="002F35AE" w:rsidRDefault="002F35AE" w:rsidP="00821AF4">
            <w:pPr>
              <w:numPr>
                <w:ilvl w:val="0"/>
                <w:numId w:val="2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F35A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Rappel important en cas d’envoi de justificatifs à APS :</w:t>
            </w:r>
          </w:p>
          <w:p w:rsidR="002F35AE" w:rsidRPr="002F35AE" w:rsidRDefault="002F35AE" w:rsidP="002F35AE">
            <w:pPr>
              <w:pStyle w:val="wordsection1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F35AE">
              <w:rPr>
                <w:sz w:val="20"/>
                <w:szCs w:val="20"/>
              </w:rPr>
              <w:t>En priorité, utiliser le mail de relance d’APS qui a été envoyé au commercial en cliquant sur « répondre ».</w:t>
            </w:r>
          </w:p>
          <w:p w:rsidR="002F35AE" w:rsidRPr="002F35AE" w:rsidRDefault="002F35AE" w:rsidP="002F35AE">
            <w:pPr>
              <w:pStyle w:val="wordsection1"/>
              <w:numPr>
                <w:ilvl w:val="0"/>
                <w:numId w:val="18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F35AE">
              <w:rPr>
                <w:sz w:val="20"/>
                <w:szCs w:val="20"/>
              </w:rPr>
              <w:t xml:space="preserve">Par mail à l'adresse habituelle : </w:t>
            </w:r>
            <w:hyperlink r:id="rId16" w:history="1">
              <w:r w:rsidRPr="002F35AE">
                <w:rPr>
                  <w:rStyle w:val="Lienhypertexte"/>
                  <w:sz w:val="20"/>
                  <w:szCs w:val="20"/>
                </w:rPr>
                <w:t xml:space="preserve">bpce.aps@natixis.com </w:t>
              </w:r>
            </w:hyperlink>
            <w:r w:rsidRPr="002F35AE">
              <w:rPr>
                <w:sz w:val="20"/>
                <w:szCs w:val="20"/>
              </w:rPr>
              <w:t xml:space="preserve"> avec la mention dans l’objet du mail : </w:t>
            </w:r>
            <w:r w:rsidRPr="002F35AE">
              <w:rPr>
                <w:b/>
                <w:bCs/>
                <w:sz w:val="20"/>
                <w:szCs w:val="20"/>
              </w:rPr>
              <w:t>CONTRAT AUTO A TRAITER EN PRIORITE</w:t>
            </w:r>
            <w:r w:rsidRPr="002F35AE">
              <w:rPr>
                <w:sz w:val="20"/>
                <w:szCs w:val="20"/>
              </w:rPr>
              <w:t xml:space="preserve"> – </w:t>
            </w:r>
            <w:r w:rsidRPr="002F35AE">
              <w:rPr>
                <w:b/>
                <w:bCs/>
                <w:sz w:val="20"/>
                <w:szCs w:val="20"/>
              </w:rPr>
              <w:t>échéance du contrat provisoire au JJ/MM/AAAA</w:t>
            </w:r>
            <w:r w:rsidRPr="002F35AE">
              <w:rPr>
                <w:sz w:val="20"/>
                <w:szCs w:val="20"/>
              </w:rPr>
              <w:t>. NE PAS TRANSMETTRE en parallèle les mêmes documents par courrier.</w:t>
            </w:r>
          </w:p>
          <w:p w:rsidR="002F35AE" w:rsidRPr="002F35AE" w:rsidRDefault="002F35AE" w:rsidP="00821AF4">
            <w:pPr>
              <w:numPr>
                <w:ilvl w:val="0"/>
                <w:numId w:val="2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Retrouvez en </w:t>
            </w:r>
            <w:hyperlink r:id="rId17" w:history="1">
              <w:r w:rsidRPr="002F35AE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 xml:space="preserve">cliquant ici </w:t>
              </w:r>
            </w:hyperlink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le </w:t>
            </w:r>
            <w:proofErr w:type="spellStart"/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 complet de traitement d’un contrat définitif.</w:t>
            </w:r>
          </w:p>
        </w:tc>
      </w:tr>
      <w:tr w:rsidR="002F35AE" w:rsidRPr="008A2C98" w:rsidTr="002F35AE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Magazine J’ASSURE n°57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F35AE" w:rsidRPr="002F35AE" w:rsidRDefault="002F35AE" w:rsidP="002F35A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« </w:t>
            </w:r>
            <w:r w:rsidRPr="002F35A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Se protéger et protéger ses proches : tous concernés, tout le temps</w:t>
            </w: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 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elle est la thématique en une de ce numéro dédié PREVOYANCE.</w:t>
            </w:r>
          </w:p>
          <w:p w:rsidR="002F35AE" w:rsidRPr="002F35AE" w:rsidRDefault="002F35AE" w:rsidP="002F35A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Vous y découvrirez des arguments pour étayer cette accroche :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Un marché en progression, témoin de besoins réels des Français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Des clients Caisse d’Epargne encore peu équipés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Des contrats de prévoyance parmi les mieux notés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Des réponses aux objections les plus fréquentes</w:t>
            </w:r>
          </w:p>
          <w:p w:rsidR="002F35AE" w:rsidRPr="002F35AE" w:rsidRDefault="002F35AE" w:rsidP="002F35A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Et s’il vous tarde de recevoir la version « papier », prenez une longueur d’avance en accédant à la version digitale de votre magazine. </w:t>
            </w:r>
            <w:hyperlink r:id="rId18" w:history="1">
              <w:r w:rsidRPr="002F35AE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pour la découvrir. </w:t>
            </w:r>
          </w:p>
        </w:tc>
      </w:tr>
      <w:tr w:rsidR="002F35AE" w:rsidRPr="008A2C98" w:rsidTr="002F35AE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F35AE" w:rsidRPr="002F35AE" w:rsidRDefault="002F35AE" w:rsidP="002F35AE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sz w:val="20"/>
                <w:szCs w:val="20"/>
              </w:rPr>
              <w:t>Crédits</w:t>
            </w:r>
          </w:p>
        </w:tc>
      </w:tr>
      <w:tr w:rsidR="002F35AE" w:rsidRPr="008A2C98" w:rsidTr="00241E45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Crédit Conso : Prêt Spécial Client HDG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7A7A" w:rsidRPr="00A07A7A" w:rsidRDefault="002F35AE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Contexte</w:t>
            </w: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 : </w:t>
            </w:r>
            <w:r w:rsidR="00A07A7A" w:rsidRPr="00A07A7A">
              <w:rPr>
                <w:rFonts w:ascii="Times New Roman" w:hAnsi="Times New Roman" w:cs="Times New Roman"/>
                <w:sz w:val="20"/>
                <w:szCs w:val="20"/>
              </w:rPr>
              <w:t>en CEGEE, sur les 95.000 clients patrimoniaux, seuls 4% d’entre eux sont équipés en Crédit Conso, contre 19% dans la moyenne du Groupe Caisse d’Epargne (Source SEMAPHORE Sept. 2017). Le potentiel d’équipement de ces clients est donc quasi intact.</w:t>
            </w:r>
          </w:p>
          <w:p w:rsidR="002F35AE" w:rsidRPr="002F35AE" w:rsidRDefault="00A07A7A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7A7A">
              <w:rPr>
                <w:rFonts w:ascii="Times New Roman" w:hAnsi="Times New Roman" w:cs="Times New Roman"/>
                <w:sz w:val="20"/>
                <w:szCs w:val="20"/>
              </w:rPr>
              <w:t xml:space="preserve">Pourtant, nos clients patrimoniaux ne consomment pas moins ou n’ont pas moins de besoins que les clients appartenant à d’autres segments, au </w:t>
            </w:r>
            <w:r w:rsidRPr="00A07A7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contraire. Offrons-leur l’opportunité de concrétiser leurs envies, dans des conditions très favorables et surtout exclusives. Telle est l’ambition de cette nouvelle offre Conso pérenne, réservée à nos clients Premium : le PRÊT SPECIAL CLIENT HDG à 2,10% </w:t>
            </w:r>
            <w:proofErr w:type="spellStart"/>
            <w:r w:rsidRPr="00A07A7A">
              <w:rPr>
                <w:rFonts w:ascii="Times New Roman" w:hAnsi="Times New Roman" w:cs="Times New Roman"/>
                <w:sz w:val="20"/>
                <w:szCs w:val="20"/>
              </w:rPr>
              <w:t>TDA.</w:t>
            </w:r>
            <w:r w:rsidR="002F35AE" w:rsidRPr="002F35AE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  <w:proofErr w:type="spellEnd"/>
            <w:r w:rsidR="002F35AE"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 voici les grandes lignes :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Une offre à taux unique : 2,10% TDA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Montant : de 10.000€ à 75.000€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Durée de 4 à 72 mois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Frais de dossier : standards</w:t>
            </w:r>
          </w:p>
          <w:p w:rsidR="002F35AE" w:rsidRPr="002F35AE" w:rsidRDefault="002F35AE" w:rsidP="002F35AE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>1 variante produit dédiée sous IZIVENTE : « SPECIAL CLIENT HDG » (univers Trésorerie)</w:t>
            </w:r>
          </w:p>
          <w:p w:rsidR="00A07A7A" w:rsidRPr="00A07A7A" w:rsidRDefault="002F35AE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 qui s’adresse ce Prêt Spécial Client HDG ? </w:t>
            </w:r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Wingdings" w:char="F0E0"/>
            </w:r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2F35A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exclusivement aux clients « patrimoniaux »</w:t>
            </w:r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</w:t>
            </w:r>
            <w:r w:rsidRPr="002F35A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c’est-à-dire à ceux qui ont une surface financière &gt; 75.000 €.</w:t>
            </w:r>
            <w:r w:rsidR="00A07A7A">
              <w:t xml:space="preserve"> </w:t>
            </w:r>
          </w:p>
          <w:p w:rsidR="002F35AE" w:rsidRPr="002F35AE" w:rsidRDefault="00A07A7A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7A7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Retrouvez plus d’infos dans la note d’information disponible prochainement.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2F35AE"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Lien vers </w:t>
            </w:r>
            <w:hyperlink r:id="rId19" w:history="1">
              <w:r w:rsidR="002F35AE" w:rsidRPr="002F35AE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OAV Clients Patrimoniaux</w:t>
              </w:r>
            </w:hyperlink>
          </w:p>
        </w:tc>
      </w:tr>
      <w:tr w:rsidR="002F35AE" w:rsidRPr="008A2C98" w:rsidTr="004A5C66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F35AE" w:rsidRPr="002F35AE" w:rsidRDefault="002F35AE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Mise à disposition de la grille alternative « Action Auto »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F35AE" w:rsidRPr="002F35AE" w:rsidRDefault="002F35AE" w:rsidP="004A5C66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Dans le prolongement de l’HDJ S37 dédiée à l’action de dynamisation Auto, sur le volet Crédit Conso, nous vous avions mis à disposition les éléments suivants : </w:t>
            </w:r>
          </w:p>
          <w:p w:rsidR="002F35AE" w:rsidRPr="002F35AE" w:rsidRDefault="004A5C66" w:rsidP="004A5C66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L’</w:t>
            </w:r>
            <w:hyperlink r:id="rId20" w:history="1">
              <w:r w:rsidR="002F35AE" w:rsidRPr="002F35AE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OAV Crédit conso auto ici</w:t>
              </w:r>
            </w:hyperlink>
          </w:p>
          <w:p w:rsidR="002F35AE" w:rsidRPr="002F35AE" w:rsidRDefault="002F35AE" w:rsidP="004A5C66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L’email type* conseiller directement dans la bibliothèque Outlook</w:t>
            </w:r>
          </w:p>
          <w:p w:rsidR="002F35AE" w:rsidRPr="002F35AE" w:rsidRDefault="002F35AE" w:rsidP="00821AF4">
            <w:pPr>
              <w:ind w:left="1987"/>
              <w:contextualSpacing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sz w:val="20"/>
                <w:szCs w:val="20"/>
              </w:rPr>
              <w:sym w:font="Wingdings" w:char="F0C4"/>
            </w:r>
            <w:r w:rsidRPr="002F35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Choix modèle &gt; BDD Particuliers – Crédit &gt; OFFRE EXCEPTIONNELLE Crédit Auto</w:t>
            </w:r>
          </w:p>
          <w:p w:rsidR="002F35AE" w:rsidRPr="002F35AE" w:rsidRDefault="002F35AE" w:rsidP="00821AF4">
            <w:pPr>
              <w:ind w:left="1416"/>
              <w:contextualSpacing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 réservé à l’envoi pour vos clients « </w:t>
            </w:r>
            <w:proofErr w:type="spellStart"/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opt’in</w:t>
            </w:r>
            <w:proofErr w:type="spellEnd"/>
            <w:r w:rsidRPr="002F35A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»</w:t>
            </w:r>
          </w:p>
          <w:p w:rsidR="002F35AE" w:rsidRPr="004A5C66" w:rsidRDefault="002F35AE" w:rsidP="00821AF4">
            <w:pPr>
              <w:ind w:left="1416"/>
              <w:contextualSpacing/>
              <w:jc w:val="both"/>
              <w:rPr>
                <w:rFonts w:ascii="Times New Roman" w:hAnsi="Times New Roman" w:cs="Times New Roman"/>
                <w:i/>
                <w:iCs/>
                <w:sz w:val="2"/>
                <w:szCs w:val="20"/>
              </w:rPr>
            </w:pPr>
          </w:p>
          <w:p w:rsidR="004A5C66" w:rsidRPr="002F35AE" w:rsidRDefault="00A07A7A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7A7A">
              <w:rPr>
                <w:rFonts w:ascii="Times New Roman" w:hAnsi="Times New Roman" w:cs="Times New Roman"/>
                <w:sz w:val="20"/>
                <w:szCs w:val="20"/>
              </w:rPr>
              <w:t>Un dernier livrable vous était annoncé, à savoir la grille alternative. Celle-ci est désormais disponible depuis la Rubrique des Commerciaux 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7A7A">
              <w:rPr>
                <w:rFonts w:ascii="Times New Roman" w:hAnsi="Times New Roman" w:cs="Times New Roman"/>
                <w:sz w:val="20"/>
                <w:szCs w:val="20"/>
              </w:rPr>
              <w:t>Global BDD / Actions commerciales / Actions commerciales en co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urs / Action Dynamisation Auto =&gt; </w:t>
            </w:r>
            <w:r w:rsidRPr="00A07A7A">
              <w:rPr>
                <w:rFonts w:ascii="Times New Roman" w:hAnsi="Times New Roman" w:cs="Times New Roman"/>
                <w:sz w:val="20"/>
                <w:szCs w:val="20"/>
              </w:rPr>
              <w:t xml:space="preserve"> « Grille alternative ». Elle peut être remise aux clients à chaque RDV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A5C66" w:rsidRPr="008A2C98" w:rsidTr="004A5C66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A5C66" w:rsidRPr="004A5C66" w:rsidRDefault="004A5C66" w:rsidP="004A5C66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C66">
              <w:rPr>
                <w:rFonts w:ascii="Times New Roman" w:hAnsi="Times New Roman" w:cs="Times New Roman"/>
                <w:b/>
                <w:sz w:val="20"/>
                <w:szCs w:val="20"/>
              </w:rPr>
              <w:t>Bancarisation</w:t>
            </w:r>
          </w:p>
        </w:tc>
      </w:tr>
      <w:tr w:rsidR="004A5C66" w:rsidRPr="008A2C98" w:rsidTr="00241E45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4A5C66" w:rsidRPr="004A5C66" w:rsidRDefault="004A5C66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5C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4A5C66" w:rsidRPr="004A5C66" w:rsidRDefault="004A5C66" w:rsidP="00821AF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5C6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Virement SEPA instantané : bientôt disponible en CEGEE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7A7A" w:rsidRPr="00C33898" w:rsidRDefault="00A07A7A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Contexte national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 xml:space="preserve"> : le Groupe des Caisses d’Epargne s’apprête à lancer, dans les prochains jours, son tout nouveau service de </w:t>
            </w:r>
            <w:r w:rsidRPr="00C338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virement SEPA instantané 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également dénommé « instant paiement »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>). Une campagne de communication nationale va accompagner ce lancement, avec pour conséquence des clients avertis qui souhaiteront bénéficier de ce service.</w:t>
            </w:r>
          </w:p>
          <w:p w:rsidR="00A07A7A" w:rsidRPr="00C33898" w:rsidRDefault="00A07A7A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Contexte spécifique </w:t>
            </w:r>
            <w:r w:rsidRPr="00C33898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CEGEE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 xml:space="preserve"> : des contraintes liées à la fusion informatique nous obligent à </w:t>
            </w:r>
            <w:r w:rsidRPr="00C338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différer le lancement de ce service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>. Ainsi, face à des clients désireux d’accéder à cette fonctionnalité de « virement en temps réel », nous devrons leur demander de patienter jusqu’</w:t>
            </w:r>
            <w:r w:rsidRPr="00C338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au-delà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338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 18 novembre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07A7A" w:rsidRDefault="00A07A7A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Le virement SEPA instantané en quelques mots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 xml:space="preserve"> en dépit de cette livraison retardée pour la CEGEE, voici tout de même quelques éléments pour vous permettre de découvrir ce service :</w:t>
            </w:r>
          </w:p>
          <w:p w:rsidR="00A07A7A" w:rsidRPr="00C33898" w:rsidRDefault="00A07A7A" w:rsidP="00A07A7A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Principe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: mon client effectue un virement à partir de son appli mobile, le bénéficiaire reçoit ses fonds en moins de 10 secondes</w:t>
            </w:r>
          </w:p>
          <w:p w:rsidR="00A07A7A" w:rsidRPr="00C33898" w:rsidRDefault="00A07A7A" w:rsidP="00A07A7A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Périmètre des virements éligibles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: virement immédiat (pas différé ni permanent) vers un bénéficiaire déjà enregistré dans la liste avec </w:t>
            </w:r>
            <w:proofErr w:type="spellStart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Sécur’Pass</w:t>
            </w:r>
            <w:proofErr w:type="spellEnd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</w:t>
            </w:r>
            <w:proofErr w:type="spellStart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cf</w:t>
            </w:r>
            <w:proofErr w:type="spellEnd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thème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précédent) ou SOL SMS + virement immédiat vers un </w:t>
            </w:r>
            <w:r w:rsidRPr="00C338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nouveau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bénéficiaire si enregistrement de celui-ci via </w:t>
            </w:r>
            <w:proofErr w:type="spellStart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Sécur’Pass</w:t>
            </w:r>
            <w:proofErr w:type="spellEnd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cf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thème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précédent)</w:t>
            </w:r>
          </w:p>
          <w:p w:rsidR="00A07A7A" w:rsidRPr="00C33898" w:rsidRDefault="00A07A7A" w:rsidP="00A07A7A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Sécurité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: celle-ci est assurée avec le dispositif d’Authentification forte </w:t>
            </w:r>
            <w:proofErr w:type="spellStart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Sécur’Pass</w:t>
            </w:r>
            <w:proofErr w:type="spellEnd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</w:t>
            </w:r>
            <w:proofErr w:type="spellStart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cf</w:t>
            </w:r>
            <w:proofErr w:type="spellEnd"/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thème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précédent)</w:t>
            </w:r>
          </w:p>
          <w:p w:rsidR="00A07A7A" w:rsidRPr="00C33898" w:rsidRDefault="00A07A7A" w:rsidP="00A07A7A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Tarification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: tarif existant pour les virements « + 1€ par opération » (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t>clairement précisé sur l’Appli mobile au moment de faire le virement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A07A7A" w:rsidRPr="00C33898" w:rsidRDefault="00A07A7A" w:rsidP="00A07A7A">
            <w:pPr>
              <w:pStyle w:val="Paragraphedeliste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En savoir plus</w:t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: lien vers la Fiche Pratique déclinée autour de ce service </w:t>
            </w:r>
            <w:r w:rsidRPr="00C33898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hyperlink r:id="rId21" w:history="1">
              <w:r w:rsidRPr="00C33898">
                <w:rPr>
                  <w:rStyle w:val="Lienhypertexte"/>
                  <w:rFonts w:ascii="Times New Roman" w:hAnsi="Times New Roman" w:cs="Times New Roman"/>
                  <w:b/>
                  <w:bCs/>
                  <w:i/>
                  <w:iCs/>
                  <w:sz w:val="20"/>
                  <w:szCs w:val="20"/>
                </w:rPr>
                <w:t>CLIC</w:t>
              </w:r>
            </w:hyperlink>
          </w:p>
          <w:p w:rsidR="00A07A7A" w:rsidRPr="00C33898" w:rsidRDefault="00A07A7A" w:rsidP="00A07A7A">
            <w:pPr>
              <w:ind w:left="72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5C66" w:rsidRPr="00A07A7A" w:rsidRDefault="00A07A7A" w:rsidP="00A07A7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338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NB : pour préparer l’arrivée programmée de « Virement SEPA instantané » en CEGEE, vous pouvez donc inviter vos clients à s’enrôler dès aujourd’hui au dispositif d’authentification forte </w:t>
            </w:r>
            <w:r w:rsidRPr="00C338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SECUR’PASS</w:t>
            </w:r>
          </w:p>
          <w:p w:rsidR="00A07A7A" w:rsidRPr="004A5C66" w:rsidRDefault="00A07A7A" w:rsidP="00A07A7A">
            <w:pPr>
              <w:ind w:left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12DF" w:rsidRPr="008A2C98" w:rsidTr="00C53EDF">
        <w:trPr>
          <w:trHeight w:val="27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912DF" w:rsidRPr="00C53EDF" w:rsidRDefault="00EE4ADC" w:rsidP="00C53EDF">
            <w:pPr>
              <w:pStyle w:val="wordsection1"/>
              <w:spacing w:before="0" w:beforeAutospacing="0" w:after="0" w:afterAutospacing="0"/>
              <w:ind w:left="1080"/>
              <w:jc w:val="center"/>
            </w:pPr>
            <w:r>
              <w:rPr>
                <w:b/>
                <w:bCs/>
                <w:sz w:val="20"/>
                <w:szCs w:val="20"/>
              </w:rPr>
              <w:t>Contrôle</w:t>
            </w:r>
          </w:p>
        </w:tc>
      </w:tr>
      <w:tr w:rsidR="00EE4ADC" w:rsidRPr="008A2C98" w:rsidTr="00B30AF2">
        <w:trPr>
          <w:trHeight w:val="409"/>
        </w:trPr>
        <w:tc>
          <w:tcPr>
            <w:tcW w:w="1560" w:type="dxa"/>
            <w:vAlign w:val="center"/>
          </w:tcPr>
          <w:p w:rsidR="00EE4ADC" w:rsidRDefault="00EE4ADC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DC</w:t>
            </w:r>
          </w:p>
        </w:tc>
        <w:tc>
          <w:tcPr>
            <w:tcW w:w="1843" w:type="dxa"/>
            <w:vAlign w:val="center"/>
          </w:tcPr>
          <w:p w:rsidR="00EE4ADC" w:rsidRPr="00FB12C6" w:rsidRDefault="00EE4ADC" w:rsidP="00EE4ADC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FB12C6">
              <w:rPr>
                <w:b/>
                <w:bCs/>
                <w:sz w:val="20"/>
                <w:szCs w:val="20"/>
              </w:rPr>
              <w:t xml:space="preserve">Nécessité de faire apparaitre immédiatement les différences de caisse </w:t>
            </w:r>
          </w:p>
        </w:tc>
        <w:tc>
          <w:tcPr>
            <w:tcW w:w="12332" w:type="dxa"/>
            <w:shd w:val="clear" w:color="auto" w:fill="auto"/>
          </w:tcPr>
          <w:p w:rsidR="00EE4ADC" w:rsidRPr="00FB12C6" w:rsidRDefault="00EE4ADC" w:rsidP="00CB691F">
            <w:pPr>
              <w:ind w:left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4ADC" w:rsidRPr="00FB12C6" w:rsidRDefault="00EE4ADC" w:rsidP="00CB691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4ADC" w:rsidRPr="00FB12C6" w:rsidRDefault="00EE4ADC" w:rsidP="00EE4ADC">
            <w:pPr>
              <w:numPr>
                <w:ilvl w:val="0"/>
                <w:numId w:val="2"/>
              </w:numPr>
              <w:ind w:left="317" w:hanging="317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Dans le cadre de la gestion des différences de caisse hors GAB et GAB, nous vous rappelons la </w:t>
            </w: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>nécessité d’une déclaration et comptabilisation passée sur le poste de travail</w:t>
            </w:r>
            <w:r w:rsidR="00FB12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>le jour même de la constatation.</w:t>
            </w:r>
          </w:p>
          <w:p w:rsidR="00EE4ADC" w:rsidRPr="00FB12C6" w:rsidRDefault="00EE4ADC" w:rsidP="00CB691F">
            <w:pPr>
              <w:pStyle w:val="wordsection1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</w:p>
        </w:tc>
      </w:tr>
      <w:tr w:rsidR="00EE4ADC" w:rsidRPr="008A2C98" w:rsidTr="00B30AF2">
        <w:trPr>
          <w:trHeight w:val="409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E4ADC" w:rsidRDefault="00EE4ADC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DC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E4ADC" w:rsidRPr="00FB12C6" w:rsidRDefault="00EE4ADC" w:rsidP="00EE4ADC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FB12C6">
              <w:rPr>
                <w:b/>
                <w:bCs/>
                <w:sz w:val="20"/>
                <w:szCs w:val="20"/>
              </w:rPr>
              <w:t>Modification du mode opératoire PILCOP « arrêté DAB GAB »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EE4ADC" w:rsidRPr="00FB12C6" w:rsidRDefault="00EE4ADC" w:rsidP="00EE4ADC">
            <w:pPr>
              <w:pStyle w:val="Paragraphedeliste"/>
              <w:ind w:left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4ADC" w:rsidRDefault="00EE4ADC" w:rsidP="00EE4ADC">
            <w:pPr>
              <w:pStyle w:val="Paragraphedeliste"/>
              <w:numPr>
                <w:ilvl w:val="0"/>
                <w:numId w:val="14"/>
              </w:numPr>
              <w:ind w:left="317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>Le mode opératoire du contrôle PILCOP de 1</w:t>
            </w:r>
            <w:r w:rsidRPr="00FB12C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er</w:t>
            </w:r>
            <w:r w:rsidRPr="00FB12C6">
              <w:rPr>
                <w:rFonts w:ascii="Times New Roman" w:hAnsi="Times New Roman" w:cs="Times New Roman"/>
                <w:sz w:val="20"/>
                <w:szCs w:val="20"/>
              </w:rPr>
              <w:t xml:space="preserve"> niveau « arrêté DAB GAB » a été modifié. </w:t>
            </w: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>La nécessité de contrôler, par le manager de l’agence et/ou le Directeur Adjoint,</w:t>
            </w:r>
            <w:r w:rsidR="00FB12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>toutes les encaisses de tous les DAB GAB de l’agence a été précisée</w:t>
            </w:r>
            <w:r w:rsidR="00471C97"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hyperlink r:id="rId22" w:history="1">
              <w:r w:rsidR="00471C97" w:rsidRPr="00FB12C6">
                <w:rPr>
                  <w:rStyle w:val="Lienhypertexte"/>
                  <w:rFonts w:ascii="Times New Roman" w:hAnsi="Times New Roman" w:cs="Times New Roman"/>
                  <w:b/>
                  <w:sz w:val="20"/>
                  <w:szCs w:val="20"/>
                </w:rPr>
                <w:t>Cliquez ici</w:t>
              </w:r>
            </w:hyperlink>
            <w:r w:rsidR="00471C97" w:rsidRPr="00FB12C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71C97" w:rsidRPr="00FB12C6">
              <w:rPr>
                <w:rFonts w:ascii="Times New Roman" w:hAnsi="Times New Roman" w:cs="Times New Roman"/>
                <w:sz w:val="20"/>
                <w:szCs w:val="20"/>
              </w:rPr>
              <w:t>pour y accéder (Rubrique des Commerciaux / Pilotage / Risques et Conformité / PILCOP).</w:t>
            </w:r>
          </w:p>
          <w:p w:rsidR="00FB12C6" w:rsidRPr="00FB12C6" w:rsidRDefault="00FB12C6" w:rsidP="00FB12C6">
            <w:pPr>
              <w:pStyle w:val="Paragraphedeliste"/>
              <w:ind w:left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6731" w:rsidRPr="008A2C98" w:rsidTr="00327BAF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46731" w:rsidRPr="002F35AE" w:rsidRDefault="00B46731" w:rsidP="00327BAF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Communication</w:t>
            </w:r>
          </w:p>
        </w:tc>
      </w:tr>
      <w:tr w:rsidR="00B46731" w:rsidRPr="008A2C98" w:rsidTr="000A2021">
        <w:trPr>
          <w:trHeight w:val="2286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46731" w:rsidRPr="002F35AE" w:rsidRDefault="00B46731" w:rsidP="00327BA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3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B46731" w:rsidRPr="002F35AE" w:rsidRDefault="00B46731" w:rsidP="00B46731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</w:t>
            </w:r>
            <w:r w:rsidRPr="00B467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ampagne de </w:t>
            </w:r>
            <w:proofErr w:type="spellStart"/>
            <w:r w:rsidRPr="00B467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</w:t>
            </w:r>
            <w:proofErr w:type="spellEnd"/>
            <w:r w:rsidRPr="00B467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’ fusion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CEGEE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2021" w:rsidRDefault="00B46731" w:rsidP="000A2021">
            <w:pPr>
              <w:pStyle w:val="Paragraphedeliste"/>
              <w:numPr>
                <w:ilvl w:val="0"/>
                <w:numId w:val="14"/>
              </w:numPr>
              <w:ind w:left="317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46731">
              <w:rPr>
                <w:rFonts w:ascii="Times New Roman" w:hAnsi="Times New Roman" w:cs="Times New Roman"/>
                <w:sz w:val="20"/>
                <w:szCs w:val="20"/>
              </w:rPr>
              <w:t>Après une 1</w:t>
            </w: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>ère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6731">
              <w:rPr>
                <w:rFonts w:ascii="Times New Roman" w:hAnsi="Times New Roman" w:cs="Times New Roman"/>
                <w:sz w:val="20"/>
                <w:szCs w:val="20"/>
              </w:rPr>
              <w:t xml:space="preserve">phase déployée en juin dernier, le </w:t>
            </w:r>
            <w:r w:rsidR="000A2021">
              <w:rPr>
                <w:rFonts w:ascii="Times New Roman" w:hAnsi="Times New Roman" w:cs="Times New Roman"/>
                <w:sz w:val="20"/>
                <w:szCs w:val="20"/>
              </w:rPr>
              <w:t>second</w:t>
            </w:r>
            <w:r w:rsidRPr="00B46731">
              <w:rPr>
                <w:rFonts w:ascii="Times New Roman" w:hAnsi="Times New Roman" w:cs="Times New Roman"/>
                <w:sz w:val="20"/>
                <w:szCs w:val="20"/>
              </w:rPr>
              <w:t xml:space="preserve"> volet de notre campagne de communication autour de la nouvelle Caisse d’Epargne Grand Est Europe vient de démarrer. Cette vague 2 se veut plus ambitieuse que sa devancière et va occuper de très nombreux espaces sur les mois de septembre et d’octobre :  </w:t>
            </w:r>
          </w:p>
          <w:p w:rsidR="000A2021" w:rsidRDefault="00B46731" w:rsidP="000A2021">
            <w:pPr>
              <w:pStyle w:val="Paragraphedeliste"/>
              <w:numPr>
                <w:ilvl w:val="1"/>
                <w:numId w:val="14"/>
              </w:numPr>
              <w:ind w:left="10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>insertions dans la Presse régionale et économique</w:t>
            </w:r>
          </w:p>
          <w:p w:rsidR="000A2021" w:rsidRDefault="00B46731" w:rsidP="000A2021">
            <w:pPr>
              <w:pStyle w:val="Paragraphedeliste"/>
              <w:numPr>
                <w:ilvl w:val="1"/>
                <w:numId w:val="14"/>
              </w:numPr>
              <w:ind w:left="10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 xml:space="preserve">encarts sur le web, </w:t>
            </w:r>
          </w:p>
          <w:p w:rsidR="000A2021" w:rsidRDefault="00B46731" w:rsidP="000A2021">
            <w:pPr>
              <w:pStyle w:val="Paragraphedeliste"/>
              <w:numPr>
                <w:ilvl w:val="1"/>
                <w:numId w:val="14"/>
              </w:numPr>
              <w:ind w:left="10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>affichage dans les gares et centres commerciaux en version digitale</w:t>
            </w:r>
          </w:p>
          <w:p w:rsidR="00B46731" w:rsidRPr="000A2021" w:rsidRDefault="00B46731" w:rsidP="000A2021">
            <w:pPr>
              <w:pStyle w:val="Paragraphedeliste"/>
              <w:numPr>
                <w:ilvl w:val="1"/>
                <w:numId w:val="14"/>
              </w:numPr>
              <w:ind w:left="10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 xml:space="preserve">affiches « 4 par 3 » sur toutes les villes du Grand Est, </w:t>
            </w:r>
          </w:p>
          <w:p w:rsidR="00B46731" w:rsidRDefault="00B46731" w:rsidP="000A2021">
            <w:pPr>
              <w:pStyle w:val="Paragraphedeliste"/>
              <w:numPr>
                <w:ilvl w:val="0"/>
                <w:numId w:val="14"/>
              </w:numPr>
              <w:ind w:left="317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46731">
              <w:rPr>
                <w:rFonts w:ascii="Times New Roman" w:hAnsi="Times New Roman" w:cs="Times New Roman"/>
                <w:sz w:val="20"/>
                <w:szCs w:val="20"/>
              </w:rPr>
              <w:t>En complément, le parrainage des météos de France 3 matin et soir, déjà initié en juin dernier, va se prolonger sur cet automne</w:t>
            </w:r>
            <w:r w:rsidR="0038041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A2021" w:rsidRPr="000A2021" w:rsidRDefault="000A2021" w:rsidP="000A2021">
            <w:pPr>
              <w:pStyle w:val="Paragraphedeliste"/>
              <w:numPr>
                <w:ilvl w:val="0"/>
                <w:numId w:val="1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>Enfin, et pour bien agripper le regard des citadins, un dispositif d’affichage « </w:t>
            </w:r>
            <w:r w:rsidRPr="000A20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hors norme d’affichage </w:t>
            </w: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 xml:space="preserve">» viendra compléter le dispositif sur </w:t>
            </w:r>
            <w:r w:rsidRPr="000A202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Metz, Nancy, Reims, Mulhouse</w:t>
            </w: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r w:rsidRPr="000A202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Strasbourg</w:t>
            </w:r>
            <w:r w:rsidRPr="000A20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A2021" w:rsidRPr="000A2021" w:rsidRDefault="0038041F" w:rsidP="000A2021">
            <w:pPr>
              <w:pStyle w:val="Paragraphedeliste"/>
              <w:numPr>
                <w:ilvl w:val="0"/>
                <w:numId w:val="14"/>
              </w:numPr>
              <w:ind w:left="317" w:hanging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Retrouvez les grandes lignes de la campagne dans</w:t>
            </w:r>
            <w:r w:rsidR="000A2021" w:rsidRPr="000A20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la « Brève » </w:t>
            </w:r>
            <w:proofErr w:type="spellStart"/>
            <w:r w:rsidR="000A2021" w:rsidRPr="000A20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cultureNet</w:t>
            </w:r>
            <w:proofErr w:type="spellEnd"/>
            <w:r w:rsidR="000A2021" w:rsidRPr="000A20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du 22/08 </w:t>
            </w:r>
            <w:hyperlink r:id="rId23" w:history="1">
              <w:r w:rsidR="000A2021" w:rsidRPr="000A2021">
                <w:rPr>
                  <w:rStyle w:val="Lienhypertexte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sym w:font="Wingdings" w:char="F0E0"/>
              </w:r>
              <w:r w:rsidR="000A2021" w:rsidRPr="000A2021">
                <w:rPr>
                  <w:rStyle w:val="Lienhypertexte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 xml:space="preserve"> Clic</w:t>
              </w:r>
            </w:hyperlink>
          </w:p>
          <w:p w:rsidR="000A2021" w:rsidRPr="002F35AE" w:rsidRDefault="000A2021" w:rsidP="0038041F">
            <w:pPr>
              <w:pStyle w:val="Paragraphedeliste"/>
              <w:ind w:left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24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345" w:rsidRDefault="00B43345" w:rsidP="0035465A">
      <w:pPr>
        <w:spacing w:after="0" w:line="240" w:lineRule="auto"/>
      </w:pPr>
      <w:r>
        <w:separator/>
      </w:r>
    </w:p>
  </w:endnote>
  <w:endnote w:type="continuationSeparator" w:id="0">
    <w:p w:rsidR="00B43345" w:rsidRDefault="00B43345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345" w:rsidRDefault="00B43345" w:rsidP="0035465A">
      <w:pPr>
        <w:spacing w:after="0" w:line="240" w:lineRule="auto"/>
      </w:pPr>
      <w:r>
        <w:separator/>
      </w:r>
    </w:p>
  </w:footnote>
  <w:footnote w:type="continuationSeparator" w:id="0">
    <w:p w:rsidR="00B43345" w:rsidRDefault="00B43345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2F6C"/>
    <w:multiLevelType w:val="hybridMultilevel"/>
    <w:tmpl w:val="F2B818E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162C3F"/>
    <w:multiLevelType w:val="hybridMultilevel"/>
    <w:tmpl w:val="6C5A4428"/>
    <w:lvl w:ilvl="0" w:tplc="2B0836DC">
      <w:start w:val="1"/>
      <w:numFmt w:val="bullet"/>
      <w:lvlText w:val=""/>
      <w:lvlJc w:val="left"/>
      <w:pPr>
        <w:tabs>
          <w:tab w:val="num" w:pos="-275"/>
        </w:tabs>
        <w:ind w:left="-27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445"/>
        </w:tabs>
        <w:ind w:left="445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tabs>
          <w:tab w:val="num" w:pos="1165"/>
        </w:tabs>
        <w:ind w:left="1165" w:hanging="360"/>
      </w:pPr>
      <w:rPr>
        <w:rFonts w:ascii="Wingdings" w:hAnsi="Wingdings" w:hint="default"/>
      </w:rPr>
    </w:lvl>
    <w:lvl w:ilvl="3" w:tplc="1528FA5A">
      <w:start w:val="1"/>
      <w:numFmt w:val="bullet"/>
      <w:lvlText w:val=""/>
      <w:lvlJc w:val="left"/>
      <w:pPr>
        <w:tabs>
          <w:tab w:val="num" w:pos="1885"/>
        </w:tabs>
        <w:ind w:left="1885" w:hanging="360"/>
      </w:pPr>
      <w:rPr>
        <w:rFonts w:ascii="Symbol" w:hAnsi="Symbol" w:hint="default"/>
      </w:rPr>
    </w:lvl>
    <w:lvl w:ilvl="4" w:tplc="E7820312">
      <w:start w:val="1"/>
      <w:numFmt w:val="bullet"/>
      <w:lvlText w:val=""/>
      <w:lvlJc w:val="left"/>
      <w:pPr>
        <w:tabs>
          <w:tab w:val="num" w:pos="2605"/>
        </w:tabs>
        <w:ind w:left="2605" w:hanging="360"/>
      </w:pPr>
      <w:rPr>
        <w:rFonts w:ascii="Symbol" w:hAnsi="Symbol" w:hint="default"/>
      </w:rPr>
    </w:lvl>
    <w:lvl w:ilvl="5" w:tplc="2DC08F44">
      <w:start w:val="1"/>
      <w:numFmt w:val="bullet"/>
      <w:lvlText w:val=""/>
      <w:lvlJc w:val="left"/>
      <w:pPr>
        <w:tabs>
          <w:tab w:val="num" w:pos="3325"/>
        </w:tabs>
        <w:ind w:left="3325" w:hanging="360"/>
      </w:pPr>
      <w:rPr>
        <w:rFonts w:ascii="Symbol" w:hAnsi="Symbol" w:hint="default"/>
      </w:rPr>
    </w:lvl>
    <w:lvl w:ilvl="6" w:tplc="916093E4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</w:rPr>
    </w:lvl>
    <w:lvl w:ilvl="7" w:tplc="218AFDAC">
      <w:start w:val="1"/>
      <w:numFmt w:val="bullet"/>
      <w:lvlText w:val=""/>
      <w:lvlJc w:val="left"/>
      <w:pPr>
        <w:tabs>
          <w:tab w:val="num" w:pos="4765"/>
        </w:tabs>
        <w:ind w:left="4765" w:hanging="360"/>
      </w:pPr>
      <w:rPr>
        <w:rFonts w:ascii="Symbol" w:hAnsi="Symbol" w:hint="default"/>
      </w:rPr>
    </w:lvl>
    <w:lvl w:ilvl="8" w:tplc="36A85100">
      <w:start w:val="1"/>
      <w:numFmt w:val="bullet"/>
      <w:lvlText w:val=""/>
      <w:lvlJc w:val="left"/>
      <w:pPr>
        <w:tabs>
          <w:tab w:val="num" w:pos="5485"/>
        </w:tabs>
        <w:ind w:left="5485" w:hanging="360"/>
      </w:pPr>
      <w:rPr>
        <w:rFonts w:ascii="Symbol" w:hAnsi="Symbol" w:hint="default"/>
      </w:rPr>
    </w:lvl>
  </w:abstractNum>
  <w:abstractNum w:abstractNumId="3">
    <w:nsid w:val="110C3357"/>
    <w:multiLevelType w:val="hybridMultilevel"/>
    <w:tmpl w:val="B2BA2932"/>
    <w:lvl w:ilvl="0" w:tplc="040C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4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1A02A31"/>
    <w:multiLevelType w:val="hybridMultilevel"/>
    <w:tmpl w:val="A34AE5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3A42F1"/>
    <w:multiLevelType w:val="hybridMultilevel"/>
    <w:tmpl w:val="D61476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E11046D"/>
    <w:multiLevelType w:val="hybridMultilevel"/>
    <w:tmpl w:val="F490ED1A"/>
    <w:lvl w:ilvl="0" w:tplc="F75C1C9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EF554E"/>
    <w:multiLevelType w:val="hybridMultilevel"/>
    <w:tmpl w:val="C7A69DF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BAC0160"/>
    <w:multiLevelType w:val="hybridMultilevel"/>
    <w:tmpl w:val="0F64E450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2">
    <w:nsid w:val="3F276ADA"/>
    <w:multiLevelType w:val="hybridMultilevel"/>
    <w:tmpl w:val="04F6CD50"/>
    <w:lvl w:ilvl="0" w:tplc="2B0836DC">
      <w:start w:val="1"/>
      <w:numFmt w:val="bullet"/>
      <w:lvlText w:val=""/>
      <w:lvlJc w:val="left"/>
      <w:pPr>
        <w:tabs>
          <w:tab w:val="num" w:pos="-275"/>
        </w:tabs>
        <w:ind w:left="-275" w:hanging="360"/>
      </w:pPr>
      <w:rPr>
        <w:rFonts w:ascii="Symbol" w:hAnsi="Symbol" w:hint="default"/>
      </w:rPr>
    </w:lvl>
    <w:lvl w:ilvl="1" w:tplc="1F52EE9E">
      <w:start w:val="2050"/>
      <w:numFmt w:val="bullet"/>
      <w:lvlText w:val=""/>
      <w:lvlJc w:val="left"/>
      <w:pPr>
        <w:tabs>
          <w:tab w:val="num" w:pos="445"/>
        </w:tabs>
        <w:ind w:left="445" w:hanging="360"/>
      </w:pPr>
      <w:rPr>
        <w:rFonts w:ascii="Calibri" w:hAnsi="Calibri" w:cs="Times New Roman" w:hint="default"/>
      </w:rPr>
    </w:lvl>
    <w:lvl w:ilvl="2" w:tplc="E4E4A4A6">
      <w:start w:val="1"/>
      <w:numFmt w:val="bullet"/>
      <w:lvlText w:val=""/>
      <w:lvlJc w:val="left"/>
      <w:pPr>
        <w:tabs>
          <w:tab w:val="num" w:pos="1165"/>
        </w:tabs>
        <w:ind w:left="1165" w:hanging="360"/>
      </w:pPr>
      <w:rPr>
        <w:rFonts w:ascii="Symbol" w:hAnsi="Symbol" w:hint="default"/>
      </w:rPr>
    </w:lvl>
    <w:lvl w:ilvl="3" w:tplc="1528FA5A">
      <w:start w:val="1"/>
      <w:numFmt w:val="bullet"/>
      <w:lvlText w:val=""/>
      <w:lvlJc w:val="left"/>
      <w:pPr>
        <w:tabs>
          <w:tab w:val="num" w:pos="1885"/>
        </w:tabs>
        <w:ind w:left="1885" w:hanging="360"/>
      </w:pPr>
      <w:rPr>
        <w:rFonts w:ascii="Symbol" w:hAnsi="Symbol" w:hint="default"/>
      </w:rPr>
    </w:lvl>
    <w:lvl w:ilvl="4" w:tplc="E7820312">
      <w:start w:val="1"/>
      <w:numFmt w:val="bullet"/>
      <w:lvlText w:val=""/>
      <w:lvlJc w:val="left"/>
      <w:pPr>
        <w:tabs>
          <w:tab w:val="num" w:pos="2605"/>
        </w:tabs>
        <w:ind w:left="2605" w:hanging="360"/>
      </w:pPr>
      <w:rPr>
        <w:rFonts w:ascii="Symbol" w:hAnsi="Symbol" w:hint="default"/>
      </w:rPr>
    </w:lvl>
    <w:lvl w:ilvl="5" w:tplc="2DC08F44">
      <w:start w:val="1"/>
      <w:numFmt w:val="bullet"/>
      <w:lvlText w:val=""/>
      <w:lvlJc w:val="left"/>
      <w:pPr>
        <w:tabs>
          <w:tab w:val="num" w:pos="3325"/>
        </w:tabs>
        <w:ind w:left="3325" w:hanging="360"/>
      </w:pPr>
      <w:rPr>
        <w:rFonts w:ascii="Symbol" w:hAnsi="Symbol" w:hint="default"/>
      </w:rPr>
    </w:lvl>
    <w:lvl w:ilvl="6" w:tplc="916093E4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</w:rPr>
    </w:lvl>
    <w:lvl w:ilvl="7" w:tplc="218AFDAC">
      <w:start w:val="1"/>
      <w:numFmt w:val="bullet"/>
      <w:lvlText w:val=""/>
      <w:lvlJc w:val="left"/>
      <w:pPr>
        <w:tabs>
          <w:tab w:val="num" w:pos="4765"/>
        </w:tabs>
        <w:ind w:left="4765" w:hanging="360"/>
      </w:pPr>
      <w:rPr>
        <w:rFonts w:ascii="Symbol" w:hAnsi="Symbol" w:hint="default"/>
      </w:rPr>
    </w:lvl>
    <w:lvl w:ilvl="8" w:tplc="36A85100">
      <w:start w:val="1"/>
      <w:numFmt w:val="bullet"/>
      <w:lvlText w:val=""/>
      <w:lvlJc w:val="left"/>
      <w:pPr>
        <w:tabs>
          <w:tab w:val="num" w:pos="5485"/>
        </w:tabs>
        <w:ind w:left="5485" w:hanging="360"/>
      </w:pPr>
      <w:rPr>
        <w:rFonts w:ascii="Symbol" w:hAnsi="Symbol" w:hint="default"/>
      </w:rPr>
    </w:lvl>
  </w:abstractNum>
  <w:abstractNum w:abstractNumId="13">
    <w:nsid w:val="3F475714"/>
    <w:multiLevelType w:val="hybridMultilevel"/>
    <w:tmpl w:val="F4A892E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FDC2201"/>
    <w:multiLevelType w:val="hybridMultilevel"/>
    <w:tmpl w:val="86AAC9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A5E4721"/>
    <w:multiLevelType w:val="hybridMultilevel"/>
    <w:tmpl w:val="DE121A60"/>
    <w:lvl w:ilvl="0" w:tplc="20D84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7C4F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3EB0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27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34AE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1A6D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40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2C3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3AED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594211C6"/>
    <w:multiLevelType w:val="hybridMultilevel"/>
    <w:tmpl w:val="06AE8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465FF5"/>
    <w:multiLevelType w:val="hybridMultilevel"/>
    <w:tmpl w:val="F43AEB76"/>
    <w:lvl w:ilvl="0" w:tplc="A80421F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4CE92E">
      <w:start w:val="2512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E64C84" w:tentative="1">
      <w:start w:val="1"/>
      <w:numFmt w:val="bullet"/>
      <w:lvlText w:val="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105AEA" w:tentative="1">
      <w:start w:val="1"/>
      <w:numFmt w:val="bullet"/>
      <w:lvlText w:val="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6DAE2" w:tentative="1">
      <w:start w:val="1"/>
      <w:numFmt w:val="bullet"/>
      <w:lvlText w:val="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B2D254" w:tentative="1">
      <w:start w:val="1"/>
      <w:numFmt w:val="bullet"/>
      <w:lvlText w:val="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34EE26" w:tentative="1">
      <w:start w:val="1"/>
      <w:numFmt w:val="bullet"/>
      <w:lvlText w:val="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9A54D6" w:tentative="1">
      <w:start w:val="1"/>
      <w:numFmt w:val="bullet"/>
      <w:lvlText w:val="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2E9BBE" w:tentative="1">
      <w:start w:val="1"/>
      <w:numFmt w:val="bullet"/>
      <w:lvlText w:val="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7E80CF0"/>
    <w:multiLevelType w:val="hybridMultilevel"/>
    <w:tmpl w:val="24343F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9F1CBD"/>
    <w:multiLevelType w:val="hybridMultilevel"/>
    <w:tmpl w:val="8E168B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1D5052"/>
    <w:multiLevelType w:val="hybridMultilevel"/>
    <w:tmpl w:val="B7D86A0C"/>
    <w:lvl w:ilvl="0" w:tplc="040C000F">
      <w:start w:val="1"/>
      <w:numFmt w:val="decimal"/>
      <w:lvlText w:val="%1."/>
      <w:lvlJc w:val="left"/>
      <w:pPr>
        <w:ind w:left="896" w:hanging="360"/>
      </w:pPr>
    </w:lvl>
    <w:lvl w:ilvl="1" w:tplc="040C0019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21">
    <w:nsid w:val="725D179E"/>
    <w:multiLevelType w:val="hybridMultilevel"/>
    <w:tmpl w:val="85DEF6AC"/>
    <w:lvl w:ilvl="0" w:tplc="E00475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2431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AD1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8C7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4283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1895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7879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207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408195F"/>
    <w:multiLevelType w:val="hybridMultilevel"/>
    <w:tmpl w:val="20CEF4DA"/>
    <w:lvl w:ilvl="0" w:tplc="F75C1C9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A459C9"/>
    <w:multiLevelType w:val="hybridMultilevel"/>
    <w:tmpl w:val="8A7C1BE0"/>
    <w:lvl w:ilvl="0" w:tplc="E00475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1CEDE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2431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AD1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8C7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4283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1895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7879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207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94C1D21"/>
    <w:multiLevelType w:val="hybridMultilevel"/>
    <w:tmpl w:val="4C2CA1B0"/>
    <w:lvl w:ilvl="0" w:tplc="F75C1C9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0B105E"/>
    <w:multiLevelType w:val="hybridMultilevel"/>
    <w:tmpl w:val="42B8DEC8"/>
    <w:lvl w:ilvl="0" w:tplc="3DA425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0B7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6242B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8F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62C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7C84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69F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849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E869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11"/>
  </w:num>
  <w:num w:numId="7">
    <w:abstractNumId w:val="25"/>
  </w:num>
  <w:num w:numId="8">
    <w:abstractNumId w:val="0"/>
  </w:num>
  <w:num w:numId="9">
    <w:abstractNumId w:val="14"/>
  </w:num>
  <w:num w:numId="10">
    <w:abstractNumId w:val="7"/>
  </w:num>
  <w:num w:numId="11">
    <w:abstractNumId w:val="15"/>
  </w:num>
  <w:num w:numId="12">
    <w:abstractNumId w:val="19"/>
  </w:num>
  <w:num w:numId="13">
    <w:abstractNumId w:val="6"/>
  </w:num>
  <w:num w:numId="14">
    <w:abstractNumId w:val="3"/>
  </w:num>
  <w:num w:numId="15">
    <w:abstractNumId w:val="16"/>
  </w:num>
  <w:num w:numId="16">
    <w:abstractNumId w:val="12"/>
  </w:num>
  <w:num w:numId="17">
    <w:abstractNumId w:val="2"/>
  </w:num>
  <w:num w:numId="18">
    <w:abstractNumId w:val="20"/>
  </w:num>
  <w:num w:numId="19">
    <w:abstractNumId w:val="9"/>
  </w:num>
  <w:num w:numId="20">
    <w:abstractNumId w:val="18"/>
  </w:num>
  <w:num w:numId="21">
    <w:abstractNumId w:val="22"/>
  </w:num>
  <w:num w:numId="22">
    <w:abstractNumId w:val="24"/>
  </w:num>
  <w:num w:numId="23">
    <w:abstractNumId w:val="8"/>
  </w:num>
  <w:num w:numId="24">
    <w:abstractNumId w:val="17"/>
  </w:num>
  <w:num w:numId="25">
    <w:abstractNumId w:val="23"/>
  </w:num>
  <w:num w:numId="26">
    <w:abstractNumId w:val="2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52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021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1AD6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0FA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6ABC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070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1E45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7BE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5AE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41F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1C97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3FD5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5C66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2F3A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87E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6053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2EB8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3F47"/>
    <w:rsid w:val="006140E5"/>
    <w:rsid w:val="006145EC"/>
    <w:rsid w:val="0061538D"/>
    <w:rsid w:val="00616B4E"/>
    <w:rsid w:val="0062067D"/>
    <w:rsid w:val="00620C4E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9D1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6D4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6E78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B2D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366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378F"/>
    <w:rsid w:val="00A0491C"/>
    <w:rsid w:val="00A05AC5"/>
    <w:rsid w:val="00A05CFC"/>
    <w:rsid w:val="00A05DB9"/>
    <w:rsid w:val="00A060D3"/>
    <w:rsid w:val="00A0682A"/>
    <w:rsid w:val="00A06972"/>
    <w:rsid w:val="00A0729F"/>
    <w:rsid w:val="00A07A7A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78A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1319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0FDA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0DAD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45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731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5D69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B4E"/>
    <w:rsid w:val="00D540CE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97A40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62C0"/>
    <w:rsid w:val="00DD6560"/>
    <w:rsid w:val="00DD680D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BD5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B7D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ADC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051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093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2C6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ommerciaux.celca.caisse-epargne.fr/global-bdd/multicanal/internet/messagerie-securisee/messagerie-securisee-internet/" TargetMode="External"/><Relationship Id="rId18" Type="http://schemas.openxmlformats.org/officeDocument/2006/relationships/hyperlink" Target="http://eav.ecuvie.caisse-epargne.fr/static/jassure/57/index.php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commerciaux.celca.caisse-epargne.fr/download/1054/les-fiches-pratiques/10343/fiche-pratique-ce_instantpayment.pdf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cvc-front-itce.damdy.com/celca/secur-pass-ce-enrolement-video-3271.html" TargetMode="External"/><Relationship Id="rId17" Type="http://schemas.openxmlformats.org/officeDocument/2006/relationships/hyperlink" Target="http://commerciaux.celca.caisse-epargne.fr/download/1185/assurance-auto/9568/le-traitement-du-contrat-definitf.pptx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bpce.aps@natixis.com" TargetMode="External"/><Relationship Id="rId20" Type="http://schemas.openxmlformats.org/officeDocument/2006/relationships/hyperlink" Target="http://commerciaux.celca.caisse-epargne.fr/download/1079/oav-credits-conso/10209/oav-auto-2018-cegee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nneclaire.liaubet@cegee.caisse-epargne.fr" TargetMode="External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commerciaux.celca.caisse-epargne.fr/download/1185/assurance-auto/9566/celca_listing_auto_prv_2018_s27.xlsx" TargetMode="External"/><Relationship Id="rId23" Type="http://schemas.openxmlformats.org/officeDocument/2006/relationships/hyperlink" Target="http://pmmpresentation-pro.sigce.caisse-epargne.fr:8851/GCE.CultureNet.Web/Pages/Contenu.aspx?action=Contenu&amp;mode=ContenuUneEntreprise&amp;indexrss=1&amp;HauteurIframe=255&amp;url=http://PMMPresentation-PRO.sigce.caisse-epargne.fr:8851/GCE.CultureNet.Web/ContenuOAPN//Caisses/cealsace/html_item/UneCaisse_48365.html" TargetMode="External"/><Relationship Id="rId10" Type="http://schemas.openxmlformats.org/officeDocument/2006/relationships/hyperlink" Target="http://pmmpresentation-pro.sigce.caisse-epargne.fr:8851/GCE.CultureNet.Web/Pages/ResultatRechercheRubrique.aspx?action=ResultatRechercheRubrique&amp;nom=PILCOT" TargetMode="External"/><Relationship Id="rId19" Type="http://schemas.openxmlformats.org/officeDocument/2006/relationships/hyperlink" Target="http://commerciaux.celca.caisse-epargne.fr/download/1079/oav-credits-conso/10295/oav-prets-patrimoniaux-cegee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267/pel-en-non-respect/10305/pel-potnetiellement-en-non-respect-du-1809-au-28102018.xlsx" TargetMode="External"/><Relationship Id="rId14" Type="http://schemas.openxmlformats.org/officeDocument/2006/relationships/hyperlink" Target="http://commerciaux.celca.caisse-epargne.fr/download/113/epargne/10345/mode-operatoire-vad-myway-epargne.pdf" TargetMode="External"/><Relationship Id="rId22" Type="http://schemas.openxmlformats.org/officeDocument/2006/relationships/hyperlink" Target="http://commerciaux.celca.caisse-epargne.fr/download/1161/pilcop/9940/2018-07-01-pilcop_modes-operatoires_fdv-bdd_particuliers_agences.xls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CA46B-0B54-44DE-94A1-325F0EFEF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2109</Words>
  <Characters>11601</Characters>
  <Application>Microsoft Office Word</Application>
  <DocSecurity>0</DocSecurity>
  <Lines>96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A5701248</cp:lastModifiedBy>
  <cp:revision>3</cp:revision>
  <dcterms:created xsi:type="dcterms:W3CDTF">2018-09-21T12:43:00Z</dcterms:created>
  <dcterms:modified xsi:type="dcterms:W3CDTF">2018-09-21T12:50:00Z</dcterms:modified>
</cp:coreProperties>
</file>