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1B21E8" w:rsidRDefault="00B6235F" w:rsidP="00182FB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F54883">
              <w:rPr>
                <w:rFonts w:ascii="Times New Roman" w:hAnsi="Times New Roman" w:cs="Times New Roman"/>
                <w:b/>
                <w:sz w:val="32"/>
                <w:szCs w:val="40"/>
              </w:rPr>
              <w:t>41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2C2C1D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613F47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13F47" w:rsidRPr="000520E7" w:rsidRDefault="00613F47" w:rsidP="000C708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13F47" w:rsidRPr="000520E7" w:rsidRDefault="00613F47" w:rsidP="000C708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3F47" w:rsidRPr="000520E7" w:rsidRDefault="002C3BAE" w:rsidP="007F07BD">
            <w:pPr>
              <w:numPr>
                <w:ilvl w:val="0"/>
                <w:numId w:val="31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="00E72E4C" w:rsidRPr="000520E7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E72E4C" w:rsidRPr="000520E7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E72E4C" w:rsidRPr="000520E7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 accéder à la liste des PEL potentiellement en non-respect, échéances du 0</w:t>
            </w:r>
            <w:r w:rsidR="007F07BD" w:rsidRPr="000520E7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9</w:t>
            </w:r>
            <w:r w:rsidR="00E72E4C" w:rsidRPr="000520E7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 xml:space="preserve">/10 au 11/11/2018 qui seront clôturés à J+1 de la date anniversaire (volumétrie </w:t>
            </w:r>
            <w:r w:rsidR="007F07BD" w:rsidRPr="000520E7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67</w:t>
            </w:r>
            <w:r w:rsidR="00E72E4C" w:rsidRPr="000520E7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3 clients).</w:t>
            </w:r>
          </w:p>
        </w:tc>
      </w:tr>
      <w:tr w:rsidR="00662732" w:rsidRPr="008A2C98" w:rsidTr="00241E45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62732" w:rsidRPr="000520E7" w:rsidRDefault="00662732" w:rsidP="000C708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62732" w:rsidRPr="000520E7" w:rsidRDefault="00662732" w:rsidP="007D421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Suivi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="007D4217"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</w:t>
            </w: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lios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B12E5" w:rsidRPr="000520E7" w:rsidRDefault="00CB12E5" w:rsidP="00CB12E5">
            <w:pPr>
              <w:pStyle w:val="Paragraphedeliste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Le rythme de commercialisation d’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Helios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s’intensifie encore, en témoignent les résultats enregistrés au 4 octobre :</w:t>
            </w:r>
          </w:p>
          <w:p w:rsidR="00CB12E5" w:rsidRPr="000520E7" w:rsidRDefault="00CB12E5" w:rsidP="00CB12E5">
            <w:pPr>
              <w:ind w:left="547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La CEG</w:t>
            </w:r>
            <w:r w:rsidR="00513529"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E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E affiche un taux d’atteinte de l’objectif de </w:t>
            </w:r>
            <w:r w:rsidRPr="000520E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38%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</w:t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pour un % temps écoulé de 26%.</w:t>
            </w:r>
          </w:p>
          <w:p w:rsidR="00CB12E5" w:rsidRPr="000520E7" w:rsidRDefault="00CB12E5" w:rsidP="00CB12E5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Voici les résultats par Direction Commerciale : </w:t>
            </w:r>
          </w:p>
          <w:p w:rsidR="00662732" w:rsidRPr="000520E7" w:rsidRDefault="00CB12E5" w:rsidP="00A06D2C">
            <w:pPr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6C3A78C8" wp14:editId="1A388552">
                  <wp:extent cx="5445920" cy="1749055"/>
                  <wp:effectExtent l="0" t="0" r="2540" b="381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50229" cy="1750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CB12E5" w:rsidRPr="000520E7" w:rsidRDefault="00CB12E5" w:rsidP="00CB12E5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Un suivi hebdomadaire par point de vente sera très prochainement mis à votre disposition via la Rubrique des Commerciaux. Nous vous le communiquerons également chaque semaine via le 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Brief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CB12E5" w:rsidRPr="000520E7" w:rsidRDefault="00CB12E5" w:rsidP="00CB12E5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Dans cette attente, chaque agence et secteur peut dès à présent consulter sa propre avancée via </w:t>
            </w:r>
            <w:hyperlink r:id="rId11" w:history="1">
              <w:r w:rsidRPr="000520E7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PILCOT</w:t>
              </w:r>
            </w:hyperlink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CB12E5" w:rsidRPr="000520E7" w:rsidRDefault="00CB12E5" w:rsidP="00CB12E5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NB : si vous rencontrez des difficultés de connexion à PILCOT, merci d’en avertir Anne-Claire LIAUBET </w:t>
            </w:r>
            <w:hyperlink r:id="rId12" w:history="1">
              <w:r w:rsidRPr="000520E7">
                <w:rPr>
                  <w:rStyle w:val="Lienhypertexte"/>
                  <w:rFonts w:ascii="Times New Roman" w:hAnsi="Times New Roman" w:cs="Times New Roman"/>
                  <w:i/>
                  <w:iCs/>
                  <w:sz w:val="20"/>
                  <w:szCs w:val="20"/>
                </w:rPr>
                <w:t>anneclaire.liaubet@cegee.caisse-epargne.fr</w:t>
              </w:r>
            </w:hyperlink>
          </w:p>
        </w:tc>
      </w:tr>
      <w:tr w:rsidR="00EB16AE" w:rsidRPr="008A2C98" w:rsidTr="00241E45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B16AE" w:rsidRPr="000520E7" w:rsidRDefault="00EB16AE" w:rsidP="000C708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B16AE" w:rsidRPr="000520E7" w:rsidRDefault="004B23FE" w:rsidP="00DA738A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Assurance-vie &amp; Val. Mob. : fusion-absorption de fonds monétaires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B23FE" w:rsidRPr="000520E7" w:rsidRDefault="004B23FE" w:rsidP="004B23F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Suite à une directive votée au Parlement Européen en avril 2017 concernant la réglementation des fonds monétaires, </w:t>
            </w:r>
            <w:r w:rsidRPr="000520E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  <w:t>tous les fonds nourriciers (monétaires) de la place financière sont amenés à disparaître</w:t>
            </w:r>
            <w:r w:rsidRPr="000520E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. Les fonds nourriciers seront donc absorbés par leurs fonds maîtres de gestion équivalente.</w:t>
            </w:r>
          </w:p>
          <w:p w:rsidR="004B23FE" w:rsidRPr="000520E7" w:rsidRDefault="004B23FE" w:rsidP="004B23F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Ainsi, 3 fonds monétaires de notre gamme vont être concernés par ces fusions-absorptions :</w:t>
            </w:r>
          </w:p>
          <w:p w:rsidR="003A26B1" w:rsidRPr="000520E7" w:rsidRDefault="00991A2C" w:rsidP="004B23FE">
            <w:pPr>
              <w:numPr>
                <w:ilvl w:val="0"/>
                <w:numId w:val="36"/>
              </w:num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Absorption du fonds nourricier « Ecureuil 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Moné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3 mois (part C) » par le fonds maître « 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Ostrum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Trésorerie (part T) »</w:t>
            </w:r>
          </w:p>
          <w:p w:rsidR="003A26B1" w:rsidRPr="000520E7" w:rsidRDefault="00991A2C" w:rsidP="004B23FE">
            <w:pPr>
              <w:numPr>
                <w:ilvl w:val="0"/>
                <w:numId w:val="36"/>
              </w:num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Absorption du fonds nourricier « Ecureuil 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Tréso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3 mois (part C) » par le fonds maître « 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Ostrum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Trésorerie (part RE) »</w:t>
            </w:r>
          </w:p>
          <w:p w:rsidR="003A26B1" w:rsidRPr="000520E7" w:rsidRDefault="00991A2C" w:rsidP="004B23FE">
            <w:pPr>
              <w:numPr>
                <w:ilvl w:val="0"/>
                <w:numId w:val="36"/>
              </w:num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Absorption du fonds nourricier « Ecureuil Expansion (part R) » par le fonds maître « 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Ostrum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Trésorerie (part RE) »</w:t>
            </w:r>
          </w:p>
          <w:p w:rsidR="004B23FE" w:rsidRPr="000520E7" w:rsidRDefault="004B23FE" w:rsidP="004B23F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Ces opérations feront l’objet d’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  <w:u w:val="single"/>
              </w:rPr>
              <w:t xml:space="preserve">envoi de lettres aux porteurs </w:t>
            </w:r>
            <w:r w:rsidRPr="000520E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u w:val="single"/>
              </w:rPr>
              <w:t>courant octobre</w:t>
            </w:r>
            <w:r w:rsidRPr="000520E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pour une fusion-absorption en novembre. Ces détenteurs n’auront pas de démarche particulière à réaliser.</w:t>
            </w:r>
          </w:p>
          <w:p w:rsidR="004859DA" w:rsidRPr="000520E7" w:rsidRDefault="004859DA" w:rsidP="004B23F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4B23FE" w:rsidRPr="000520E7" w:rsidRDefault="004B23FE" w:rsidP="004B23F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En résumé, ces fusions-absorptions n’entrainent que peu d’impacts pour leurs détenteurs. Les principaux portent sur le changement de code ISIN et sur une évolution à la hausse des frais de gestion </w:t>
            </w:r>
            <w:r w:rsidRPr="000520E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maximum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4B23FE" w:rsidRPr="000520E7" w:rsidRDefault="004B23FE" w:rsidP="004B23FE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NB important : bien que les frais de gestion 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maximum</w:t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puissent évoluer à la hausse, compte tenu du contexte de taux, les frais de gestion qui seront 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réellement</w:t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prélevés resteront éloignés de ces maxima, l’objectif étant de préserver, autant que faire se peut, la performanc</w:t>
            </w:r>
            <w:r w:rsidR="004859DA"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e servie aux clients détenteurs</w:t>
            </w:r>
          </w:p>
          <w:p w:rsidR="004859DA" w:rsidRPr="000520E7" w:rsidRDefault="004859DA" w:rsidP="004B23FE">
            <w:pPr>
              <w:ind w:left="708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EB16AE" w:rsidRPr="000520E7" w:rsidRDefault="004B23FE" w:rsidP="004B23FE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Pour en savoir plus, et notamment </w:t>
            </w:r>
            <w:r w:rsidR="004D01C8"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pour 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visualiser les évolutions des frais de gestion suite à ces opérations de fusion-absorption ou bien </w:t>
            </w:r>
            <w:r w:rsidR="004D01C8"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encore pour </w:t>
            </w: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accéder aux lettres aux porteurs adressés courant octobre, </w:t>
            </w:r>
            <w:hyperlink r:id="rId13" w:history="1">
              <w:r w:rsidRPr="000520E7">
                <w:rPr>
                  <w:rStyle w:val="Lienhypertexte"/>
                  <w:rFonts w:ascii="Times New Roman" w:hAnsi="Times New Roman" w:cs="Times New Roman"/>
                  <w:b/>
                  <w:bCs/>
                  <w:iCs/>
                  <w:sz w:val="20"/>
                  <w:szCs w:val="20"/>
                </w:rPr>
                <w:t>cli</w:t>
              </w:r>
              <w:r w:rsidR="004D01C8" w:rsidRPr="000520E7">
                <w:rPr>
                  <w:rStyle w:val="Lienhypertexte"/>
                  <w:rFonts w:ascii="Times New Roman" w:hAnsi="Times New Roman" w:cs="Times New Roman"/>
                  <w:b/>
                  <w:bCs/>
                  <w:iCs/>
                  <w:sz w:val="20"/>
                  <w:szCs w:val="20"/>
                </w:rPr>
                <w:t>quez</w:t>
              </w:r>
              <w:r w:rsidRPr="000520E7">
                <w:rPr>
                  <w:rStyle w:val="Lienhypertexte"/>
                  <w:rFonts w:ascii="Times New Roman" w:hAnsi="Times New Roman" w:cs="Times New Roman"/>
                  <w:b/>
                  <w:bCs/>
                  <w:iCs/>
                  <w:sz w:val="20"/>
                  <w:szCs w:val="20"/>
                </w:rPr>
                <w:t xml:space="preserve"> ICI</w:t>
              </w:r>
            </w:hyperlink>
          </w:p>
          <w:p w:rsidR="004859DA" w:rsidRPr="000520E7" w:rsidRDefault="004859DA" w:rsidP="004B23F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  <w:tr w:rsidR="00EB16AE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B16AE" w:rsidRPr="001912DF" w:rsidRDefault="00EB16AE" w:rsidP="001912D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lastRenderedPageBreak/>
              <w:t>IARD / PREVOYANCE</w:t>
            </w:r>
          </w:p>
        </w:tc>
      </w:tr>
      <w:tr w:rsidR="00EB16AE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B16AE" w:rsidRPr="000520E7" w:rsidRDefault="00EB16AE" w:rsidP="00422A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B16AE" w:rsidRPr="000520E7" w:rsidRDefault="00A37FCE" w:rsidP="00422AB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IARD Traitement PTF 2 ROUES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A26B1" w:rsidRPr="000520E7" w:rsidRDefault="00991A2C" w:rsidP="00A37FCE">
            <w:pPr>
              <w:pStyle w:val="Paragraphedeliste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Contexte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: le 25 juin dernier, nous lancions notre nouvelle offre 2 roues, nous permettant de passer du statut de distributeur d’un contrat MACIF à assureur en notre nom propre. </w:t>
            </w:r>
          </w:p>
          <w:p w:rsidR="003A26B1" w:rsidRPr="000520E7" w:rsidRDefault="00991A2C" w:rsidP="00991A2C">
            <w:pPr>
              <w:pStyle w:val="Paragraphedeliste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Conséquences sur notre stock de clients assurés 2 roues sur base de notre « </w:t>
            </w:r>
            <w:r w:rsidRPr="000520E7">
              <w:rPr>
                <w:rFonts w:ascii="Times New Roman" w:hAnsi="Times New Roman" w:cs="Times New Roman"/>
                <w:i/>
                <w:iCs/>
                <w:sz w:val="20"/>
                <w:szCs w:val="20"/>
                <w:u w:val="single"/>
              </w:rPr>
              <w:t>ancien contrat</w:t>
            </w:r>
            <w:r w:rsidRPr="000520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 »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: ils ne seront plus assurés à compter du 1</w:t>
            </w:r>
            <w:r w:rsidRPr="000520E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er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janvier 2019. Cette information a été portée à leur connaissance, via un courrier émis par </w:t>
            </w:r>
            <w:proofErr w:type="spellStart"/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BPCEAssurances</w:t>
            </w:r>
            <w:proofErr w:type="spellEnd"/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, dès début juillet. Une lettre de résiliation est actuellement adressée à ceux qui n’ont pas encore fait le choix de souscrire à la « nouvelle offre 2 roues ». </w:t>
            </w: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 courrier, accompagné d’un Relevé d’Information, notifie au client la résiliation de son contrat 2 roues MACIF à effet du 31 décembre 2018 à minuit.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Dans ce courrier, il est aussi invité à contacter </w:t>
            </w:r>
            <w:proofErr w:type="spellStart"/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BPCEAssurances</w:t>
            </w:r>
            <w:proofErr w:type="spellEnd"/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, au 09.69.36.45.45, afin de nous renouveler s</w:t>
            </w:r>
            <w:r w:rsidR="00425522" w:rsidRPr="000520E7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confiance en adhérant au nouveau contrat.</w:t>
            </w:r>
          </w:p>
          <w:p w:rsidR="003A26B1" w:rsidRPr="000520E7" w:rsidRDefault="003A26B1" w:rsidP="00991A2C">
            <w:pPr>
              <w:pStyle w:val="Paragraphedeliste"/>
              <w:ind w:left="36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6B1" w:rsidRPr="000520E7" w:rsidRDefault="00991A2C" w:rsidP="00A37FCE">
            <w:pPr>
              <w:pStyle w:val="Paragraphedeliste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L’information à retenir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: </w:t>
            </w: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tous ces clients vont faire l’objet d’un appel par Direct Ecureuil Est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, à travers lequel notre nouvelle offre leur sera proposée, en mettant en avant notamment le maintien de l’ancien tarif à garanties équivalentes et des frais de gestion offerts la 1</w:t>
            </w:r>
            <w:r w:rsidRPr="000520E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ère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année.</w:t>
            </w:r>
          </w:p>
          <w:p w:rsidR="00A37FCE" w:rsidRPr="000520E7" w:rsidRDefault="00A37FCE" w:rsidP="00A37FCE">
            <w:pPr>
              <w:pStyle w:val="Paragraphedeliste"/>
              <w:ind w:left="3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</w:rPr>
              <w:sym w:font="Wingdings" w:char="F0C4"/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520E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Dit autrement, concrètement pour vous en agence 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A37FCE" w:rsidRPr="000520E7" w:rsidRDefault="00A37FCE" w:rsidP="00A37FCE">
            <w:pPr>
              <w:pStyle w:val="Paragraphedeliste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Vous n’avez plus aucune action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pro-active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à mener auprès des clients encore assurés avec notre ancien contrat 2 roues. DEE s’en charge et toutes leurs concrétisations impacteront directement vos ventes</w:t>
            </w:r>
          </w:p>
          <w:p w:rsidR="00A37FCE" w:rsidRPr="000520E7" w:rsidRDefault="00A37FCE" w:rsidP="00A37FCE">
            <w:pPr>
              <w:pStyle w:val="Paragraphedeliste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Toutefois, en mode « réactif », 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vous aurez potentiellement à traiter ces clients qui se présenteront à vous suite à la réception de ce courrier de résiliation 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vous pourrez dans ce cas leur proposer et concrétiser directement notre nouvelle offre 2 roues</w:t>
            </w:r>
          </w:p>
          <w:p w:rsidR="00A37FCE" w:rsidRPr="000520E7" w:rsidRDefault="00A37FCE" w:rsidP="00A37FCE">
            <w:pPr>
              <w:pStyle w:val="Paragraphedeliste"/>
              <w:ind w:left="108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7FCE" w:rsidRPr="000520E7" w:rsidRDefault="00A37FCE" w:rsidP="00A37FCE">
            <w:pPr>
              <w:contextualSpacing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>Pour toute question, l’Assistance réseau BPCE APS est à votre disposition au 0825 006 018</w:t>
            </w:r>
          </w:p>
          <w:p w:rsidR="00EB16AE" w:rsidRPr="000520E7" w:rsidRDefault="00A37FCE" w:rsidP="00A37F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</w:rPr>
              <w:t xml:space="preserve">Pour accéder au Mini-Site 2 ROUES, </w:t>
            </w:r>
            <w:hyperlink r:id="rId14" w:history="1">
              <w:r w:rsidRPr="000520E7">
                <w:rPr>
                  <w:rStyle w:val="Lienhypertexte"/>
                  <w:rFonts w:ascii="Times New Roman" w:hAnsi="Times New Roman" w:cs="Times New Roman"/>
                  <w:bCs/>
                  <w:i/>
                  <w:sz w:val="20"/>
                  <w:szCs w:val="20"/>
                </w:rPr>
                <w:t>cliquez ici</w:t>
              </w:r>
            </w:hyperlink>
          </w:p>
        </w:tc>
      </w:tr>
      <w:tr w:rsidR="00EB16AE" w:rsidRPr="008A2C98" w:rsidTr="00C53EDF">
        <w:trPr>
          <w:trHeight w:val="27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B16AE" w:rsidRPr="000520E7" w:rsidRDefault="00EB16AE" w:rsidP="00C53EDF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b/>
                <w:sz w:val="20"/>
                <w:szCs w:val="20"/>
              </w:rPr>
            </w:pPr>
            <w:r w:rsidRPr="000520E7">
              <w:rPr>
                <w:b/>
                <w:sz w:val="20"/>
                <w:szCs w:val="20"/>
              </w:rPr>
              <w:t>BANCARISATION</w:t>
            </w:r>
          </w:p>
        </w:tc>
      </w:tr>
      <w:tr w:rsidR="00EB16AE" w:rsidRPr="008A2C98" w:rsidTr="000520E7">
        <w:trPr>
          <w:trHeight w:val="409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B16AE" w:rsidRPr="000520E7" w:rsidRDefault="00EB16AE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EB16AE" w:rsidRPr="000520E7" w:rsidRDefault="00EB16AE" w:rsidP="000C708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IZIcartes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non-mises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en force : possible rattrapage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16AE" w:rsidRPr="000520E7" w:rsidRDefault="00EB16AE" w:rsidP="00DA738A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L’objet de cette info est de régulièrement vous fournir l’état des IZICARTES non-encore mises en force. Si ces </w:t>
            </w:r>
            <w:proofErr w:type="spellStart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process</w:t>
            </w:r>
            <w:proofErr w:type="spellEnd"/>
            <w:r w:rsidRPr="000520E7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non-aboutis reposent souvent sur des explications fondées, il se peut également qu’ils relèvent de causes « rattrapables ». Traiter ces dernières, c’est se donner les moyens de renforcer vos positions sur votre ligne d’objectif « Izicarte », tant individuellement que collectivement.</w:t>
            </w:r>
          </w:p>
          <w:p w:rsidR="00EB16AE" w:rsidRPr="000520E7" w:rsidRDefault="00EB16AE" w:rsidP="00DA738A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sym w:font="Wingdings" w:char="F0E8"/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Cette semaine, nous constatons </w:t>
            </w:r>
            <w:r w:rsidR="00E72E4C"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449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IZICARTES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non-mises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en force,</w:t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à savoir :</w:t>
            </w:r>
          </w:p>
          <w:p w:rsidR="00EB16AE" w:rsidRPr="000520E7" w:rsidRDefault="00E72E4C" w:rsidP="00DA738A">
            <w:pPr>
              <w:numPr>
                <w:ilvl w:val="1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217</w:t>
            </w:r>
            <w:r w:rsidR="00EB16AE"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dossiers </w:t>
            </w:r>
            <w:proofErr w:type="spellStart"/>
            <w:r w:rsidR="00EB16AE"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non-mis</w:t>
            </w:r>
            <w:proofErr w:type="spellEnd"/>
            <w:r w:rsidR="00EB16AE"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en force + 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  <w:r w:rsidR="009C61E0"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2</w:t>
            </w:r>
            <w:r w:rsidR="00EB16AE"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dossiers « écartés »   </w:t>
            </w:r>
          </w:p>
          <w:p w:rsidR="00EB16AE" w:rsidRPr="000520E7" w:rsidRDefault="00EB16AE" w:rsidP="009C61E0">
            <w:pPr>
              <w:numPr>
                <w:ilvl w:val="1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sym w:font="Wingdings" w:char="F0C4"/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Retrouvez votre fichier de traitement des IZICARTES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non-mises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en force au </w:t>
            </w:r>
            <w:r w:rsidR="009C61E0"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30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/</w:t>
            </w:r>
            <w:r w:rsidR="001B4795"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0</w:t>
            </w:r>
            <w:r w:rsidR="009C61E0"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9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0520E7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: </w:t>
            </w:r>
            <w:hyperlink r:id="rId15" w:history="1">
              <w:r w:rsidRPr="000520E7">
                <w:rPr>
                  <w:rStyle w:val="Lienhypertexte"/>
                  <w:rFonts w:ascii="Times New Roman" w:hAnsi="Times New Roman" w:cs="Times New Roman"/>
                  <w:b/>
                  <w:bCs/>
                  <w:i/>
                  <w:iCs/>
                  <w:sz w:val="20"/>
                  <w:szCs w:val="20"/>
                </w:rPr>
                <w:t>CLIC</w:t>
              </w:r>
            </w:hyperlink>
          </w:p>
        </w:tc>
      </w:tr>
      <w:tr w:rsidR="000520E7" w:rsidRPr="008A2C98" w:rsidTr="000520E7">
        <w:trPr>
          <w:trHeight w:val="40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520E7" w:rsidRPr="000520E7" w:rsidRDefault="000520E7" w:rsidP="000520E7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bCs/>
                <w:iCs/>
                <w:sz w:val="20"/>
                <w:szCs w:val="20"/>
              </w:rPr>
            </w:pPr>
            <w:r w:rsidRPr="000520E7">
              <w:rPr>
                <w:b/>
                <w:sz w:val="20"/>
                <w:szCs w:val="20"/>
              </w:rPr>
              <w:t>BANQUE A DISTANCE</w:t>
            </w:r>
          </w:p>
        </w:tc>
      </w:tr>
      <w:tr w:rsidR="000520E7" w:rsidRPr="008A2C98" w:rsidTr="000520E7">
        <w:trPr>
          <w:trHeight w:val="1621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0520E7" w:rsidRPr="000520E7" w:rsidRDefault="000520E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0520E7" w:rsidRPr="000520E7" w:rsidRDefault="000520E7">
            <w:pP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APPLICATION MOBILE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0520E7" w:rsidRPr="000520E7" w:rsidRDefault="000520E7" w:rsidP="000520E7">
            <w:pPr>
              <w:numPr>
                <w:ilvl w:val="0"/>
                <w:numId w:val="3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Une nouvelle version de notre Appli MOBILE (5.2) a été publiée le 3 octobre. Elle intègre différentes nouveautés et évolutions dont : </w:t>
            </w:r>
          </w:p>
          <w:p w:rsidR="000520E7" w:rsidRPr="000520E7" w:rsidRDefault="000520E7" w:rsidP="000520E7">
            <w:pPr>
              <w:pStyle w:val="Sansinterligne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Instant </w:t>
            </w:r>
            <w:proofErr w:type="spellStart"/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Payment</w:t>
            </w:r>
            <w:proofErr w:type="spellEnd"/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(ouverture prochaine du service en CEGEE post fusion informatique), </w:t>
            </w:r>
          </w:p>
          <w:p w:rsidR="000520E7" w:rsidRPr="000520E7" w:rsidRDefault="000520E7" w:rsidP="000520E7">
            <w:pPr>
              <w:pStyle w:val="Sansinterligne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le </w:t>
            </w:r>
            <w:proofErr w:type="spellStart"/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ré-affichage</w:t>
            </w:r>
            <w:proofErr w:type="spellEnd"/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du découvert autorisé, </w:t>
            </w:r>
          </w:p>
          <w:p w:rsidR="000520E7" w:rsidRPr="000520E7" w:rsidRDefault="000520E7" w:rsidP="000520E7">
            <w:pPr>
              <w:pStyle w:val="Sansinterligne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un accès à la notice juridique RGPD </w:t>
            </w:r>
          </w:p>
          <w:p w:rsidR="000520E7" w:rsidRPr="000520E7" w:rsidRDefault="000520E7" w:rsidP="000520E7">
            <w:pPr>
              <w:pStyle w:val="Sansinterligne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mais également la remontée des Assurances </w:t>
            </w:r>
            <w:proofErr w:type="spellStart"/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Millevie</w:t>
            </w:r>
            <w:proofErr w:type="spellEnd"/>
            <w:r w:rsidRPr="000520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  <w:p w:rsidR="000520E7" w:rsidRPr="000520E7" w:rsidRDefault="000520E7" w:rsidP="000520E7">
            <w:pPr>
              <w:numPr>
                <w:ilvl w:val="0"/>
                <w:numId w:val="3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A compter du 9 octobre, pour continuer à utiliser nos services de BAD MOBILE, nos clients auront l’obligation de télécharger cette nouvelle version afin de bénéficier des nouveaux certificats de sécurité. </w:t>
            </w:r>
          </w:p>
        </w:tc>
      </w:tr>
      <w:tr w:rsidR="00EB16AE" w:rsidRPr="00C53EDF" w:rsidTr="003626C5">
        <w:trPr>
          <w:trHeight w:val="27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B16AE" w:rsidRPr="000520E7" w:rsidRDefault="00EB16AE" w:rsidP="003626C5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sz w:val="20"/>
                <w:szCs w:val="20"/>
              </w:rPr>
            </w:pPr>
            <w:r w:rsidRPr="000520E7">
              <w:rPr>
                <w:b/>
                <w:bCs/>
                <w:sz w:val="20"/>
                <w:szCs w:val="20"/>
              </w:rPr>
              <w:t>TOUS DOMAINES</w:t>
            </w:r>
          </w:p>
        </w:tc>
      </w:tr>
      <w:tr w:rsidR="00EB16AE" w:rsidRPr="00084343" w:rsidTr="000520E7">
        <w:trPr>
          <w:trHeight w:val="409"/>
        </w:trPr>
        <w:tc>
          <w:tcPr>
            <w:tcW w:w="1560" w:type="dxa"/>
            <w:vAlign w:val="center"/>
          </w:tcPr>
          <w:p w:rsidR="00EB16AE" w:rsidRPr="000520E7" w:rsidRDefault="00EB16AE" w:rsidP="003626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vAlign w:val="center"/>
          </w:tcPr>
          <w:p w:rsidR="00EB16AE" w:rsidRPr="000520E7" w:rsidRDefault="003251F2" w:rsidP="003626C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Book des évènements GERC</w:t>
            </w:r>
          </w:p>
        </w:tc>
        <w:tc>
          <w:tcPr>
            <w:tcW w:w="12332" w:type="dxa"/>
            <w:shd w:val="clear" w:color="auto" w:fill="auto"/>
            <w:vAlign w:val="center"/>
          </w:tcPr>
          <w:p w:rsidR="003251F2" w:rsidRPr="000520E7" w:rsidRDefault="003251F2" w:rsidP="00491F29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Comme indiqué dans l’HDJ S38 du 20 septembre dernier, le « </w:t>
            </w:r>
            <w:r w:rsidRPr="000520E7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Catalogue de campagnes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MyGERC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»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permet aux managers de personnaliser le contenu de la GERC de chaque point de vente. Courant septembre, ils ont été amenés à choisir les évènements à retenir pour le dernier quadrimestre 2018.</w:t>
            </w:r>
          </w:p>
          <w:p w:rsidR="003251F2" w:rsidRPr="000520E7" w:rsidRDefault="003251F2" w:rsidP="00491F29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L’ensemble des évènements proposés a été rassemblé en 1 seul document, le « </w:t>
            </w:r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book des campagnes </w:t>
            </w:r>
            <w:proofErr w:type="spellStart"/>
            <w:r w:rsidRPr="000520E7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MyGERC</w:t>
            </w:r>
            <w:proofErr w:type="spellEnd"/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». Quels que soient les choix 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opérés par vos managers, vous y trouverez un lien vers la fiche détaillée de chacun pour accompagner leur traitement. Vous y trouverez également les évènements dits « prioritaires » (</w:t>
            </w:r>
            <w:proofErr w:type="spellStart"/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pré-fixés</w:t>
            </w:r>
            <w:proofErr w:type="spellEnd"/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« 3TF ») qui ont été injectés dans vos Plans Des Opportunités, sans choix préalable.</w:t>
            </w:r>
          </w:p>
          <w:p w:rsidR="00204C15" w:rsidRPr="000520E7" w:rsidRDefault="003251F2" w:rsidP="000520E7">
            <w:pPr>
              <w:pStyle w:val="Paragraphedeliste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Ce book est à votre disposition depuis la Rubrique des Commerciaux / Global BDD / Actions commerciales / Actions commerciales en cours / Les cibles ponctuelles à votre disposition </w:t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sym w:font="Wingdings" w:char="F0E0"/>
            </w: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 xml:space="preserve"> « </w:t>
            </w:r>
            <w:hyperlink r:id="rId16" w:history="1">
              <w:r w:rsidRPr="000520E7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book évènements GERC Q3 2018 </w:t>
              </w:r>
            </w:hyperlink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0520E7" w:rsidTr="000520E7">
        <w:trPr>
          <w:trHeight w:val="72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0E7" w:rsidRPr="000520E7" w:rsidRDefault="000520E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DMA</w:t>
            </w:r>
          </w:p>
          <w:p w:rsidR="000520E7" w:rsidRPr="000520E7" w:rsidRDefault="000520E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/Conformité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0E7" w:rsidRPr="000520E7" w:rsidRDefault="000520E7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Affichage réglementaire en agence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20E7" w:rsidRPr="000520E7" w:rsidRDefault="000520E7" w:rsidP="000520E7">
            <w:pPr>
              <w:numPr>
                <w:ilvl w:val="0"/>
                <w:numId w:val="38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sz w:val="20"/>
                <w:szCs w:val="20"/>
              </w:rPr>
              <w:t>La réglementation impose aux établissements bancaires de mettre à disposition du public un ensemble :</w:t>
            </w:r>
          </w:p>
          <w:p w:rsidR="000520E7" w:rsidRPr="000520E7" w:rsidRDefault="000520E7" w:rsidP="000520E7">
            <w:pPr>
              <w:pStyle w:val="Sansinterligne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d’affiches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0520E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réglementaires obligatoires</w:t>
            </w:r>
            <w:bookmarkStart w:id="0" w:name="_GoBack"/>
            <w:bookmarkEnd w:id="0"/>
          </w:p>
          <w:p w:rsidR="000520E7" w:rsidRPr="000520E7" w:rsidRDefault="000520E7" w:rsidP="000520E7">
            <w:pPr>
              <w:pStyle w:val="Sansinterligne"/>
              <w:numPr>
                <w:ilvl w:val="0"/>
                <w:numId w:val="39"/>
              </w:num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de documents réglementaires obligatoires</w:t>
            </w:r>
          </w:p>
          <w:p w:rsidR="000520E7" w:rsidRPr="000520E7" w:rsidRDefault="000520E7" w:rsidP="000520E7">
            <w:pPr>
              <w:numPr>
                <w:ilvl w:val="0"/>
                <w:numId w:val="38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520E7">
              <w:rPr>
                <w:rFonts w:ascii="Times New Roman" w:hAnsi="Times New Roman" w:cs="Times New Roman"/>
                <w:b/>
                <w:sz w:val="20"/>
                <w:szCs w:val="20"/>
              </w:rPr>
              <w:t>Retrouvez dans la Rubrique des Commerciaux / Global BDD / Communication Clients / Affichage réglementaire, le tableau synthétique de l’ensemble des affiches et des documents à tenir à la disposition de nos clients (</w:t>
            </w:r>
            <w:hyperlink r:id="rId17" w:history="1">
              <w:r w:rsidRPr="000520E7">
                <w:rPr>
                  <w:rStyle w:val="Lienhypertexte"/>
                  <w:rFonts w:ascii="Times New Roman" w:hAnsi="Times New Roman" w:cs="Times New Roman"/>
                  <w:b/>
                  <w:sz w:val="20"/>
                  <w:szCs w:val="20"/>
                </w:rPr>
                <w:t>cliquez ici pour y accéder</w:t>
              </w:r>
            </w:hyperlink>
            <w:r w:rsidRPr="000520E7">
              <w:rPr>
                <w:rFonts w:ascii="Times New Roman" w:hAnsi="Times New Roman" w:cs="Times New Roman"/>
                <w:b/>
                <w:sz w:val="20"/>
                <w:szCs w:val="20"/>
              </w:rPr>
              <w:t>).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18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BAE" w:rsidRDefault="002C3BAE" w:rsidP="0035465A">
      <w:pPr>
        <w:spacing w:after="0" w:line="240" w:lineRule="auto"/>
      </w:pPr>
      <w:r>
        <w:separator/>
      </w:r>
    </w:p>
  </w:endnote>
  <w:endnote w:type="continuationSeparator" w:id="0">
    <w:p w:rsidR="002C3BAE" w:rsidRDefault="002C3BAE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BAE" w:rsidRDefault="002C3BAE" w:rsidP="0035465A">
      <w:pPr>
        <w:spacing w:after="0" w:line="240" w:lineRule="auto"/>
      </w:pPr>
      <w:r>
        <w:separator/>
      </w:r>
    </w:p>
  </w:footnote>
  <w:footnote w:type="continuationSeparator" w:id="0">
    <w:p w:rsidR="002C3BAE" w:rsidRDefault="002C3BAE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D1DDF"/>
    <w:multiLevelType w:val="hybridMultilevel"/>
    <w:tmpl w:val="3B24444A"/>
    <w:lvl w:ilvl="0" w:tplc="54246EE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50890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0AD0C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CA42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5C3C1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7C4C5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C8D9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2E7D0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6AAC6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0F2F6C"/>
    <w:multiLevelType w:val="hybridMultilevel"/>
    <w:tmpl w:val="F2B818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162C3F"/>
    <w:multiLevelType w:val="hybridMultilevel"/>
    <w:tmpl w:val="6C5A4428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445"/>
        </w:tabs>
        <w:ind w:left="445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tabs>
          <w:tab w:val="num" w:pos="1165"/>
        </w:tabs>
        <w:ind w:left="1165" w:hanging="360"/>
      </w:pPr>
      <w:rPr>
        <w:rFonts w:ascii="Wingdings" w:hAnsi="Wingdings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4">
    <w:nsid w:val="0EF9140D"/>
    <w:multiLevelType w:val="hybridMultilevel"/>
    <w:tmpl w:val="CB6A4DD8"/>
    <w:lvl w:ilvl="0" w:tplc="B002E5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DC42B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9CFC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0457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E61AA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D8EA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D4BFC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2900B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645D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3C68B4"/>
    <w:multiLevelType w:val="hybridMultilevel"/>
    <w:tmpl w:val="1C4E6148"/>
    <w:lvl w:ilvl="0" w:tplc="7792999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7E73E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84290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0E9B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D4601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2631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EF0D1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2AE2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E85D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327674"/>
    <w:multiLevelType w:val="hybridMultilevel"/>
    <w:tmpl w:val="0F0A6A8C"/>
    <w:lvl w:ilvl="0" w:tplc="F8F4654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16D1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5085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8631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860F4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E651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D6CC6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828B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6E3B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A02A31"/>
    <w:multiLevelType w:val="hybridMultilevel"/>
    <w:tmpl w:val="A34AE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25139"/>
    <w:multiLevelType w:val="hybridMultilevel"/>
    <w:tmpl w:val="72FC9EAC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93A42F1"/>
    <w:multiLevelType w:val="hybridMultilevel"/>
    <w:tmpl w:val="D61476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EEF554E"/>
    <w:multiLevelType w:val="hybridMultilevel"/>
    <w:tmpl w:val="C7A69DF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11B0AC0"/>
    <w:multiLevelType w:val="hybridMultilevel"/>
    <w:tmpl w:val="525877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BAC0160"/>
    <w:multiLevelType w:val="hybridMultilevel"/>
    <w:tmpl w:val="CA383F1C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6">
    <w:nsid w:val="3CEA2346"/>
    <w:multiLevelType w:val="hybridMultilevel"/>
    <w:tmpl w:val="DB90BE2A"/>
    <w:lvl w:ilvl="0" w:tplc="E18C6C7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20F4A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20E24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EE6C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9B65F6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E08D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6680D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0CC51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685F8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D3E29A4"/>
    <w:multiLevelType w:val="hybridMultilevel"/>
    <w:tmpl w:val="8318C5BC"/>
    <w:lvl w:ilvl="0" w:tplc="7076C54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84AB4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C0610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500A9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F0FB6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00CCF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DA529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889B9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BA7CE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F276ADA"/>
    <w:multiLevelType w:val="hybridMultilevel"/>
    <w:tmpl w:val="04F6CD50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1F52EE9E">
      <w:start w:val="2050"/>
      <w:numFmt w:val="bullet"/>
      <w:lvlText w:val=""/>
      <w:lvlJc w:val="left"/>
      <w:pPr>
        <w:tabs>
          <w:tab w:val="num" w:pos="445"/>
        </w:tabs>
        <w:ind w:left="445" w:hanging="360"/>
      </w:pPr>
      <w:rPr>
        <w:rFonts w:ascii="Calibri" w:hAnsi="Calibri" w:cs="Times New Roman" w:hint="default"/>
      </w:rPr>
    </w:lvl>
    <w:lvl w:ilvl="2" w:tplc="E4E4A4A6">
      <w:start w:val="1"/>
      <w:numFmt w:val="bullet"/>
      <w:lvlText w:val=""/>
      <w:lvlJc w:val="left"/>
      <w:pPr>
        <w:tabs>
          <w:tab w:val="num" w:pos="1165"/>
        </w:tabs>
        <w:ind w:left="1165" w:hanging="360"/>
      </w:pPr>
      <w:rPr>
        <w:rFonts w:ascii="Symbol" w:hAnsi="Symbol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19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FDC2201"/>
    <w:multiLevelType w:val="hybridMultilevel"/>
    <w:tmpl w:val="86AAC9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A5E4721"/>
    <w:multiLevelType w:val="hybridMultilevel"/>
    <w:tmpl w:val="DE121A60"/>
    <w:lvl w:ilvl="0" w:tplc="20D84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7C4F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3EB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27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34AE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1A6D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40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2C3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3AE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5B465FF5"/>
    <w:multiLevelType w:val="hybridMultilevel"/>
    <w:tmpl w:val="F43AEB76"/>
    <w:lvl w:ilvl="0" w:tplc="A80421FC">
      <w:start w:val="1"/>
      <w:numFmt w:val="bullet"/>
      <w:lvlText w:val="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4CE92E">
      <w:start w:val="2512"/>
      <w:numFmt w:val="bullet"/>
      <w:lvlText w:val="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E64C84" w:tentative="1">
      <w:start w:val="1"/>
      <w:numFmt w:val="bullet"/>
      <w:lvlText w:val="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105AEA" w:tentative="1">
      <w:start w:val="1"/>
      <w:numFmt w:val="bullet"/>
      <w:lvlText w:val="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6DAE2" w:tentative="1">
      <w:start w:val="1"/>
      <w:numFmt w:val="bullet"/>
      <w:lvlText w:val="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B2D254" w:tentative="1">
      <w:start w:val="1"/>
      <w:numFmt w:val="bullet"/>
      <w:lvlText w:val="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34EE26" w:tentative="1">
      <w:start w:val="1"/>
      <w:numFmt w:val="bullet"/>
      <w:lvlText w:val="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9A54D6" w:tentative="1">
      <w:start w:val="1"/>
      <w:numFmt w:val="bullet"/>
      <w:lvlText w:val="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2E9BBE" w:tentative="1">
      <w:start w:val="1"/>
      <w:numFmt w:val="bullet"/>
      <w:lvlText w:val="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7E80CF0"/>
    <w:multiLevelType w:val="hybridMultilevel"/>
    <w:tmpl w:val="24343F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9F1CBD"/>
    <w:multiLevelType w:val="hybridMultilevel"/>
    <w:tmpl w:val="8E168B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157A21"/>
    <w:multiLevelType w:val="hybridMultilevel"/>
    <w:tmpl w:val="14D6B42A"/>
    <w:lvl w:ilvl="0" w:tplc="2B0836DC">
      <w:start w:val="1"/>
      <w:numFmt w:val="bullet"/>
      <w:lvlText w:val=""/>
      <w:lvlJc w:val="left"/>
      <w:pPr>
        <w:tabs>
          <w:tab w:val="num" w:pos="-275"/>
        </w:tabs>
        <w:ind w:left="-275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445"/>
        </w:tabs>
        <w:ind w:left="445" w:hanging="360"/>
      </w:pPr>
      <w:rPr>
        <w:rFonts w:ascii="Courier New" w:hAnsi="Courier New" w:cs="Courier New" w:hint="default"/>
      </w:rPr>
    </w:lvl>
    <w:lvl w:ilvl="2" w:tplc="E4E4A4A6">
      <w:start w:val="1"/>
      <w:numFmt w:val="bullet"/>
      <w:lvlText w:val=""/>
      <w:lvlJc w:val="left"/>
      <w:pPr>
        <w:tabs>
          <w:tab w:val="num" w:pos="1165"/>
        </w:tabs>
        <w:ind w:left="1165" w:hanging="360"/>
      </w:pPr>
      <w:rPr>
        <w:rFonts w:ascii="Symbol" w:hAnsi="Symbol" w:hint="default"/>
      </w:rPr>
    </w:lvl>
    <w:lvl w:ilvl="3" w:tplc="1528FA5A">
      <w:start w:val="1"/>
      <w:numFmt w:val="bullet"/>
      <w:lvlText w:val=""/>
      <w:lvlJc w:val="left"/>
      <w:pPr>
        <w:tabs>
          <w:tab w:val="num" w:pos="1885"/>
        </w:tabs>
        <w:ind w:left="1885" w:hanging="360"/>
      </w:pPr>
      <w:rPr>
        <w:rFonts w:ascii="Symbol" w:hAnsi="Symbol" w:hint="default"/>
      </w:rPr>
    </w:lvl>
    <w:lvl w:ilvl="4" w:tplc="E7820312">
      <w:start w:val="1"/>
      <w:numFmt w:val="bullet"/>
      <w:lvlText w:val=""/>
      <w:lvlJc w:val="left"/>
      <w:pPr>
        <w:tabs>
          <w:tab w:val="num" w:pos="2605"/>
        </w:tabs>
        <w:ind w:left="2605" w:hanging="360"/>
      </w:pPr>
      <w:rPr>
        <w:rFonts w:ascii="Symbol" w:hAnsi="Symbol" w:hint="default"/>
      </w:rPr>
    </w:lvl>
    <w:lvl w:ilvl="5" w:tplc="2DC08F44">
      <w:start w:val="1"/>
      <w:numFmt w:val="bullet"/>
      <w:lvlText w:val=""/>
      <w:lvlJc w:val="left"/>
      <w:pPr>
        <w:tabs>
          <w:tab w:val="num" w:pos="3325"/>
        </w:tabs>
        <w:ind w:left="3325" w:hanging="360"/>
      </w:pPr>
      <w:rPr>
        <w:rFonts w:ascii="Symbol" w:hAnsi="Symbol" w:hint="default"/>
      </w:rPr>
    </w:lvl>
    <w:lvl w:ilvl="6" w:tplc="916093E4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</w:rPr>
    </w:lvl>
    <w:lvl w:ilvl="7" w:tplc="218AFDAC">
      <w:start w:val="1"/>
      <w:numFmt w:val="bullet"/>
      <w:lvlText w:val=""/>
      <w:lvlJc w:val="left"/>
      <w:pPr>
        <w:tabs>
          <w:tab w:val="num" w:pos="4765"/>
        </w:tabs>
        <w:ind w:left="4765" w:hanging="360"/>
      </w:pPr>
      <w:rPr>
        <w:rFonts w:ascii="Symbol" w:hAnsi="Symbol" w:hint="default"/>
      </w:rPr>
    </w:lvl>
    <w:lvl w:ilvl="8" w:tplc="36A85100">
      <w:start w:val="1"/>
      <w:numFmt w:val="bullet"/>
      <w:lvlText w:val=""/>
      <w:lvlJc w:val="left"/>
      <w:pPr>
        <w:tabs>
          <w:tab w:val="num" w:pos="5485"/>
        </w:tabs>
        <w:ind w:left="5485" w:hanging="360"/>
      </w:pPr>
      <w:rPr>
        <w:rFonts w:ascii="Symbol" w:hAnsi="Symbol" w:hint="default"/>
      </w:rPr>
    </w:lvl>
  </w:abstractNum>
  <w:abstractNum w:abstractNumId="26">
    <w:nsid w:val="701D5052"/>
    <w:multiLevelType w:val="hybridMultilevel"/>
    <w:tmpl w:val="B7D86A0C"/>
    <w:lvl w:ilvl="0" w:tplc="040C000F">
      <w:start w:val="1"/>
      <w:numFmt w:val="decimal"/>
      <w:lvlText w:val="%1."/>
      <w:lvlJc w:val="left"/>
      <w:pPr>
        <w:ind w:left="896" w:hanging="360"/>
      </w:pPr>
    </w:lvl>
    <w:lvl w:ilvl="1" w:tplc="040C0019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7">
    <w:nsid w:val="725D179E"/>
    <w:multiLevelType w:val="hybridMultilevel"/>
    <w:tmpl w:val="85DEF6AC"/>
    <w:lvl w:ilvl="0" w:tplc="E00475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243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AD1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8C7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4283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1895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7879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20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408195F"/>
    <w:multiLevelType w:val="hybridMultilevel"/>
    <w:tmpl w:val="20CEF4DA"/>
    <w:lvl w:ilvl="0" w:tplc="F75C1C9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D0E0B"/>
    <w:multiLevelType w:val="hybridMultilevel"/>
    <w:tmpl w:val="CF80E840"/>
    <w:lvl w:ilvl="0" w:tplc="5DAAAB9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C687A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941A6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0462E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EA9F8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58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9ACB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C2871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D0A92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5A459C9"/>
    <w:multiLevelType w:val="hybridMultilevel"/>
    <w:tmpl w:val="8A7C1BE0"/>
    <w:lvl w:ilvl="0" w:tplc="E00475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1CEDE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2431D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8AD1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E8C7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84283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1895E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7879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D207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9A8712E"/>
    <w:multiLevelType w:val="hybridMultilevel"/>
    <w:tmpl w:val="5FB07D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0B105E"/>
    <w:multiLevelType w:val="hybridMultilevel"/>
    <w:tmpl w:val="42B8DEC8"/>
    <w:lvl w:ilvl="0" w:tplc="3DA425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0B7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6242B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F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62C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7C84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69F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849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E869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9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"/>
  </w:num>
  <w:num w:numId="6">
    <w:abstractNumId w:val="15"/>
  </w:num>
  <w:num w:numId="7">
    <w:abstractNumId w:val="32"/>
  </w:num>
  <w:num w:numId="8">
    <w:abstractNumId w:val="1"/>
  </w:num>
  <w:num w:numId="9">
    <w:abstractNumId w:val="20"/>
  </w:num>
  <w:num w:numId="10">
    <w:abstractNumId w:val="11"/>
  </w:num>
  <w:num w:numId="11">
    <w:abstractNumId w:val="21"/>
  </w:num>
  <w:num w:numId="12">
    <w:abstractNumId w:val="24"/>
  </w:num>
  <w:num w:numId="13">
    <w:abstractNumId w:val="9"/>
  </w:num>
  <w:num w:numId="14">
    <w:abstractNumId w:val="15"/>
  </w:num>
  <w:num w:numId="15">
    <w:abstractNumId w:val="18"/>
  </w:num>
  <w:num w:numId="16">
    <w:abstractNumId w:val="18"/>
  </w:num>
  <w:num w:numId="17">
    <w:abstractNumId w:val="25"/>
  </w:num>
  <w:num w:numId="18">
    <w:abstractNumId w:val="3"/>
  </w:num>
  <w:num w:numId="19">
    <w:abstractNumId w:val="15"/>
  </w:num>
  <w:num w:numId="20">
    <w:abstractNumId w:val="26"/>
  </w:num>
  <w:num w:numId="21">
    <w:abstractNumId w:val="12"/>
  </w:num>
  <w:num w:numId="22">
    <w:abstractNumId w:val="16"/>
  </w:num>
  <w:num w:numId="23">
    <w:abstractNumId w:val="23"/>
  </w:num>
  <w:num w:numId="24">
    <w:abstractNumId w:val="7"/>
  </w:num>
  <w:num w:numId="25">
    <w:abstractNumId w:val="22"/>
  </w:num>
  <w:num w:numId="26">
    <w:abstractNumId w:val="30"/>
  </w:num>
  <w:num w:numId="27">
    <w:abstractNumId w:val="17"/>
  </w:num>
  <w:num w:numId="28">
    <w:abstractNumId w:val="27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</w:num>
  <w:num w:numId="31">
    <w:abstractNumId w:val="15"/>
  </w:num>
  <w:num w:numId="32">
    <w:abstractNumId w:val="29"/>
  </w:num>
  <w:num w:numId="33">
    <w:abstractNumId w:val="13"/>
  </w:num>
  <w:num w:numId="34">
    <w:abstractNumId w:val="10"/>
  </w:num>
  <w:num w:numId="35">
    <w:abstractNumId w:val="28"/>
  </w:num>
  <w:num w:numId="36">
    <w:abstractNumId w:val="4"/>
  </w:num>
  <w:num w:numId="37">
    <w:abstractNumId w:val="0"/>
  </w:num>
  <w:num w:numId="38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13B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00A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20E7"/>
    <w:rsid w:val="0005287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39D7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9D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7E"/>
    <w:rsid w:val="000F11FB"/>
    <w:rsid w:val="000F1673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3E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60AE"/>
    <w:rsid w:val="001163DA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A78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2FBC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1E8"/>
    <w:rsid w:val="001B28E6"/>
    <w:rsid w:val="001B2AF2"/>
    <w:rsid w:val="001B37A4"/>
    <w:rsid w:val="001B423B"/>
    <w:rsid w:val="001B4795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4C15"/>
    <w:rsid w:val="0020547C"/>
    <w:rsid w:val="0020574F"/>
    <w:rsid w:val="00205DD4"/>
    <w:rsid w:val="00205F95"/>
    <w:rsid w:val="00206A86"/>
    <w:rsid w:val="00207207"/>
    <w:rsid w:val="00207542"/>
    <w:rsid w:val="00207E18"/>
    <w:rsid w:val="00207E72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3BAE"/>
    <w:rsid w:val="002C404D"/>
    <w:rsid w:val="002C41E1"/>
    <w:rsid w:val="002C44D2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0D8"/>
    <w:rsid w:val="002D241D"/>
    <w:rsid w:val="002D2871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1F2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2ED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0DC2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3D45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26B1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5BC0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522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85E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716D"/>
    <w:rsid w:val="0046760B"/>
    <w:rsid w:val="00467629"/>
    <w:rsid w:val="00467DCB"/>
    <w:rsid w:val="004702DA"/>
    <w:rsid w:val="004705DE"/>
    <w:rsid w:val="004708D9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C6E"/>
    <w:rsid w:val="00484ED2"/>
    <w:rsid w:val="00485351"/>
    <w:rsid w:val="00485413"/>
    <w:rsid w:val="004859DA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1F29"/>
    <w:rsid w:val="00492021"/>
    <w:rsid w:val="0049212B"/>
    <w:rsid w:val="0049239A"/>
    <w:rsid w:val="00492E62"/>
    <w:rsid w:val="004932C6"/>
    <w:rsid w:val="004934AA"/>
    <w:rsid w:val="00493D77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3F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9B2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C8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CA2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529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6F3C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522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F47"/>
    <w:rsid w:val="006140E5"/>
    <w:rsid w:val="006145EC"/>
    <w:rsid w:val="0061538D"/>
    <w:rsid w:val="00616B4E"/>
    <w:rsid w:val="0062067D"/>
    <w:rsid w:val="00620C4E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20A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732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305F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29A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620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1E88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636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098"/>
    <w:rsid w:val="007D322E"/>
    <w:rsid w:val="007D39BE"/>
    <w:rsid w:val="007D3A93"/>
    <w:rsid w:val="007D4217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F42"/>
    <w:rsid w:val="007F022E"/>
    <w:rsid w:val="007F0693"/>
    <w:rsid w:val="007F07BD"/>
    <w:rsid w:val="007F0CEF"/>
    <w:rsid w:val="007F0F69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5EE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2FF3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447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06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5DC5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1A2C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1E0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7C8"/>
    <w:rsid w:val="009F0869"/>
    <w:rsid w:val="009F0B53"/>
    <w:rsid w:val="009F11BE"/>
    <w:rsid w:val="009F1761"/>
    <w:rsid w:val="009F21B0"/>
    <w:rsid w:val="009F2612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82A"/>
    <w:rsid w:val="00A06972"/>
    <w:rsid w:val="00A06D2C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6BB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37FCE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1EA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A6ABC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479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63C0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A76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5E8"/>
    <w:rsid w:val="00BA1E39"/>
    <w:rsid w:val="00BA1F47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3BE6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AF2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3898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AB6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2E5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2A9F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7CA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4FF"/>
    <w:rsid w:val="00D96BC3"/>
    <w:rsid w:val="00D96D2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38A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60D3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62C0"/>
    <w:rsid w:val="00DD656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95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AE2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57C8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043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2E4C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6AE"/>
    <w:rsid w:val="00EB1B20"/>
    <w:rsid w:val="00EB1BB5"/>
    <w:rsid w:val="00EB1EB4"/>
    <w:rsid w:val="00EB2141"/>
    <w:rsid w:val="00EB2425"/>
    <w:rsid w:val="00EB301E"/>
    <w:rsid w:val="00EB3F6F"/>
    <w:rsid w:val="00EB41E5"/>
    <w:rsid w:val="00EB4280"/>
    <w:rsid w:val="00EB464A"/>
    <w:rsid w:val="00EB46BB"/>
    <w:rsid w:val="00EB49B0"/>
    <w:rsid w:val="00EB53C3"/>
    <w:rsid w:val="00EB5CC7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4FDB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A8E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921"/>
    <w:rsid w:val="00F33BDB"/>
    <w:rsid w:val="00F33E77"/>
    <w:rsid w:val="00F34299"/>
    <w:rsid w:val="00F34B33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883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7F2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1BE6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6660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07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87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0835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407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1177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055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31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977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91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2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282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85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5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6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963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26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1292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5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1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28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752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7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491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78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911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commerciaux.celca.caisse-epargne.fr/download/1422/brief-hebdo-ex-cea/10519/pj-s41-extrait-gazette-du-patri-s36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nneclaire.liaubet@cegee.caisse-epargne.fr" TargetMode="External"/><Relationship Id="rId17" Type="http://schemas.openxmlformats.org/officeDocument/2006/relationships/hyperlink" Target="http://commerciaux.celca.caisse-epargne.fr/global-bdd/communication-client/documents-reglementaires/tableau-synthetique-affichages-reglementaire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commerciaux.celca.caisse-epargne.fr/download/1302/les-cibles-ponctuelles/10311/book-evenements-gerc-q3-2018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mmpresentation-pro.sigce.caisse-epargne.fr:8851/GCE.CultureNet.Web/Pages/ResultatRechercheRubrique.aspx?action=ResultatRechercheRubrique&amp;nom=PILCOT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commerciaux.celca.caisse-epargne.fr/download/1078/izivente-izicarte-oav/10520/izicartes-non-mises-en-force-ce-gee-au-30-09-2018.xlsx" TargetMode="External"/><Relationship Id="rId10" Type="http://schemas.openxmlformats.org/officeDocument/2006/relationships/image" Target="media/image1.gif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10484/pel-potentiellement-en-non-respect-du-0210-au-11112018.xlsx" TargetMode="External"/><Relationship Id="rId14" Type="http://schemas.openxmlformats.org/officeDocument/2006/relationships/hyperlink" Target="http://assurance2roues.bpcea.caisse-epargne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F3614-2BED-4F1A-9415-41F09BFF6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1300</Words>
  <Characters>7156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8440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3</cp:revision>
  <cp:lastPrinted>2018-10-05T08:52:00Z</cp:lastPrinted>
  <dcterms:created xsi:type="dcterms:W3CDTF">2018-10-09T06:38:00Z</dcterms:created>
  <dcterms:modified xsi:type="dcterms:W3CDTF">2018-10-09T06:41:00Z</dcterms:modified>
</cp:coreProperties>
</file>