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B34AF5F0"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8E2E7C">
        <w:trPr>
          <w:trHeight w:val="550"/>
        </w:trPr>
        <w:tc>
          <w:tcPr>
            <w:tcW w:w="15735" w:type="dxa"/>
            <w:tcBorders>
              <w:bottom w:val="single" w:sz="4" w:space="0" w:color="auto"/>
            </w:tcBorders>
            <w:vAlign w:val="center"/>
          </w:tcPr>
          <w:p w:rsidR="0035465A" w:rsidRPr="00EC6CB9" w:rsidRDefault="00B6235F" w:rsidP="00227070">
            <w:pPr>
              <w:jc w:val="center"/>
              <w:rPr>
                <w:rFonts w:ascii="Times New Roman" w:hAnsi="Times New Roman" w:cs="Times New Roman"/>
                <w:b/>
                <w:sz w:val="40"/>
                <w:szCs w:val="40"/>
              </w:rPr>
            </w:pPr>
            <w:r>
              <w:rPr>
                <w:rFonts w:ascii="Times New Roman" w:hAnsi="Times New Roman" w:cs="Times New Roman"/>
                <w:b/>
                <w:sz w:val="32"/>
                <w:szCs w:val="40"/>
              </w:rPr>
              <w:t>BRIEF</w:t>
            </w:r>
            <w:r w:rsidR="00F90648">
              <w:rPr>
                <w:rFonts w:ascii="Times New Roman" w:hAnsi="Times New Roman" w:cs="Times New Roman"/>
                <w:b/>
                <w:sz w:val="32"/>
                <w:szCs w:val="40"/>
              </w:rPr>
              <w:t xml:space="preserve"> </w:t>
            </w:r>
            <w:r>
              <w:rPr>
                <w:rFonts w:ascii="Times New Roman" w:hAnsi="Times New Roman" w:cs="Times New Roman"/>
                <w:b/>
                <w:sz w:val="32"/>
                <w:szCs w:val="40"/>
              </w:rPr>
              <w:t>DES</w:t>
            </w:r>
            <w:r w:rsidR="00F90648">
              <w:rPr>
                <w:rFonts w:ascii="Times New Roman" w:hAnsi="Times New Roman" w:cs="Times New Roman"/>
                <w:b/>
                <w:sz w:val="32"/>
                <w:szCs w:val="40"/>
              </w:rPr>
              <w:t xml:space="preserve"> </w:t>
            </w:r>
            <w:r>
              <w:rPr>
                <w:rFonts w:ascii="Times New Roman" w:hAnsi="Times New Roman" w:cs="Times New Roman"/>
                <w:b/>
                <w:sz w:val="32"/>
                <w:szCs w:val="40"/>
              </w:rPr>
              <w:t>ACTUALITES</w:t>
            </w:r>
            <w:r w:rsidR="00F90648">
              <w:rPr>
                <w:rFonts w:ascii="Times New Roman" w:hAnsi="Times New Roman" w:cs="Times New Roman"/>
                <w:b/>
                <w:sz w:val="32"/>
                <w:szCs w:val="40"/>
              </w:rPr>
              <w:t xml:space="preserve"> </w:t>
            </w:r>
            <w:r w:rsidR="00BB7708">
              <w:rPr>
                <w:rFonts w:ascii="Times New Roman" w:hAnsi="Times New Roman" w:cs="Times New Roman"/>
                <w:b/>
                <w:sz w:val="32"/>
                <w:szCs w:val="40"/>
              </w:rPr>
              <w:t>2018</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sidR="00F9064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sidR="00F90648">
              <w:rPr>
                <w:rFonts w:ascii="Times New Roman" w:hAnsi="Times New Roman" w:cs="Times New Roman"/>
                <w:b/>
                <w:sz w:val="32"/>
                <w:szCs w:val="40"/>
              </w:rPr>
              <w:t xml:space="preserve"> </w:t>
            </w:r>
            <w:r w:rsidR="00493D8B">
              <w:rPr>
                <w:rFonts w:ascii="Times New Roman" w:hAnsi="Times New Roman" w:cs="Times New Roman"/>
                <w:b/>
                <w:sz w:val="32"/>
                <w:szCs w:val="40"/>
              </w:rPr>
              <w:t>42</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8A2C98" w:rsidTr="00F5215E">
        <w:trPr>
          <w:trHeight w:val="559"/>
        </w:trPr>
        <w:tc>
          <w:tcPr>
            <w:tcW w:w="1560"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vAlign w:val="center"/>
          </w:tcPr>
          <w:p w:rsidR="0035465A" w:rsidRPr="008A2C98" w:rsidRDefault="0035465A" w:rsidP="00F5215E">
            <w:pPr>
              <w:jc w:val="center"/>
              <w:rPr>
                <w:rFonts w:ascii="Times New Roman" w:hAnsi="Times New Roman" w:cs="Times New Roman"/>
                <w:b/>
                <w:sz w:val="20"/>
                <w:szCs w:val="20"/>
              </w:rPr>
            </w:pPr>
            <w:r w:rsidRPr="008A2C98">
              <w:rPr>
                <w:rFonts w:ascii="Times New Roman" w:hAnsi="Times New Roman" w:cs="Times New Roman"/>
                <w:b/>
                <w:sz w:val="20"/>
                <w:szCs w:val="20"/>
              </w:rPr>
              <w:t>Plan</w:t>
            </w:r>
          </w:p>
        </w:tc>
      </w:tr>
      <w:tr w:rsidR="00A62E1D" w:rsidRPr="008A2C98" w:rsidTr="00E9513F">
        <w:trPr>
          <w:trHeight w:val="391"/>
        </w:trPr>
        <w:tc>
          <w:tcPr>
            <w:tcW w:w="15735" w:type="dxa"/>
            <w:gridSpan w:val="3"/>
            <w:tcBorders>
              <w:bottom w:val="single" w:sz="4" w:space="0" w:color="auto"/>
            </w:tcBorders>
            <w:shd w:val="clear" w:color="auto" w:fill="76923C" w:themeFill="accent3" w:themeFillShade="BF"/>
            <w:vAlign w:val="center"/>
          </w:tcPr>
          <w:p w:rsidR="00A62E1D" w:rsidRPr="008A2C98" w:rsidRDefault="00A62E1D" w:rsidP="004625A3">
            <w:pPr>
              <w:jc w:val="center"/>
              <w:rPr>
                <w:rFonts w:ascii="Times New Roman" w:hAnsi="Times New Roman" w:cs="Times New Roman"/>
                <w:b/>
                <w:bCs/>
                <w:sz w:val="20"/>
                <w:szCs w:val="20"/>
              </w:rPr>
            </w:pPr>
            <w:r w:rsidRPr="008A2C98">
              <w:rPr>
                <w:rFonts w:ascii="Times New Roman" w:hAnsi="Times New Roman" w:cs="Times New Roman"/>
                <w:b/>
                <w:bCs/>
                <w:color w:val="FFFFFF" w:themeColor="background1"/>
                <w:sz w:val="20"/>
                <w:szCs w:val="20"/>
              </w:rPr>
              <w:t>POUR</w:t>
            </w:r>
            <w:r w:rsidR="00F90648" w:rsidRPr="008A2C98">
              <w:rPr>
                <w:rFonts w:ascii="Times New Roman" w:hAnsi="Times New Roman" w:cs="Times New Roman"/>
                <w:b/>
                <w:bCs/>
                <w:color w:val="FFFFFF" w:themeColor="background1"/>
                <w:sz w:val="20"/>
                <w:szCs w:val="20"/>
              </w:rPr>
              <w:t xml:space="preserve"> </w:t>
            </w:r>
            <w:r w:rsidRPr="008A2C98">
              <w:rPr>
                <w:rFonts w:ascii="Times New Roman" w:hAnsi="Times New Roman" w:cs="Times New Roman"/>
                <w:b/>
                <w:bCs/>
                <w:color w:val="FFFFFF" w:themeColor="background1"/>
                <w:sz w:val="20"/>
                <w:szCs w:val="20"/>
              </w:rPr>
              <w:t>INFORMATION</w:t>
            </w:r>
          </w:p>
        </w:tc>
      </w:tr>
      <w:tr w:rsidR="002C2C1D" w:rsidRPr="00084343" w:rsidTr="002C2C1D">
        <w:trPr>
          <w:trHeight w:val="273"/>
        </w:trPr>
        <w:tc>
          <w:tcPr>
            <w:tcW w:w="15735" w:type="dxa"/>
            <w:gridSpan w:val="3"/>
            <w:tcBorders>
              <w:bottom w:val="single" w:sz="4" w:space="0" w:color="auto"/>
            </w:tcBorders>
            <w:shd w:val="clear" w:color="auto" w:fill="BFBFBF" w:themeFill="background1" w:themeFillShade="BF"/>
            <w:vAlign w:val="center"/>
          </w:tcPr>
          <w:p w:rsidR="002C2C1D" w:rsidRPr="008A5AFC" w:rsidRDefault="002C2C1D" w:rsidP="00450AC9">
            <w:pPr>
              <w:pStyle w:val="wordsection1"/>
              <w:spacing w:before="0" w:beforeAutospacing="0" w:after="0" w:afterAutospacing="0"/>
              <w:ind w:left="34" w:hanging="34"/>
              <w:jc w:val="center"/>
              <w:rPr>
                <w:sz w:val="20"/>
                <w:szCs w:val="20"/>
              </w:rPr>
            </w:pPr>
            <w:r>
              <w:rPr>
                <w:b/>
                <w:bCs/>
                <w:sz w:val="20"/>
                <w:szCs w:val="20"/>
              </w:rPr>
              <w:t>Epargne</w:t>
            </w:r>
          </w:p>
        </w:tc>
      </w:tr>
      <w:tr w:rsidR="002C4E27" w:rsidRPr="008A2C98" w:rsidTr="00084343">
        <w:trPr>
          <w:trHeight w:val="593"/>
        </w:trPr>
        <w:tc>
          <w:tcPr>
            <w:tcW w:w="1560" w:type="dxa"/>
            <w:tcBorders>
              <w:bottom w:val="single" w:sz="4" w:space="0" w:color="auto"/>
            </w:tcBorders>
            <w:vAlign w:val="center"/>
          </w:tcPr>
          <w:p w:rsidR="002C4E27" w:rsidRPr="002C4E27" w:rsidRDefault="002C4E27" w:rsidP="00821AF4">
            <w:pPr>
              <w:rPr>
                <w:rFonts w:ascii="Times New Roman" w:hAnsi="Times New Roman" w:cs="Times New Roman"/>
                <w:b/>
                <w:bCs/>
                <w:sz w:val="20"/>
                <w:szCs w:val="20"/>
              </w:rPr>
            </w:pPr>
            <w:r w:rsidRPr="002C4E27">
              <w:rPr>
                <w:rFonts w:ascii="Times New Roman" w:hAnsi="Times New Roman" w:cs="Times New Roman"/>
                <w:b/>
                <w:bCs/>
                <w:sz w:val="20"/>
                <w:szCs w:val="20"/>
              </w:rPr>
              <w:t>Com. DMA</w:t>
            </w:r>
          </w:p>
        </w:tc>
        <w:tc>
          <w:tcPr>
            <w:tcW w:w="1843" w:type="dxa"/>
            <w:tcBorders>
              <w:bottom w:val="single" w:sz="4" w:space="0" w:color="auto"/>
            </w:tcBorders>
            <w:vAlign w:val="center"/>
          </w:tcPr>
          <w:p w:rsidR="002C4E27" w:rsidRPr="002C4E27" w:rsidRDefault="00043363" w:rsidP="00B80553">
            <w:pPr>
              <w:rPr>
                <w:rFonts w:ascii="Times New Roman" w:hAnsi="Times New Roman" w:cs="Times New Roman"/>
                <w:b/>
                <w:bCs/>
                <w:color w:val="000000"/>
                <w:sz w:val="20"/>
                <w:szCs w:val="20"/>
              </w:rPr>
            </w:pPr>
            <w:r>
              <w:rPr>
                <w:rFonts w:ascii="Times New Roman" w:hAnsi="Times New Roman" w:cs="Times New Roman"/>
                <w:b/>
                <w:bCs/>
                <w:color w:val="000000"/>
                <w:sz w:val="20"/>
                <w:szCs w:val="20"/>
              </w:rPr>
              <w:t>Résultats définitifs Temps Fort 1-2018 (ex-CELCA)</w:t>
            </w:r>
          </w:p>
        </w:tc>
        <w:tc>
          <w:tcPr>
            <w:tcW w:w="12332" w:type="dxa"/>
            <w:tcBorders>
              <w:bottom w:val="single" w:sz="4" w:space="0" w:color="auto"/>
            </w:tcBorders>
            <w:shd w:val="clear" w:color="auto" w:fill="auto"/>
            <w:vAlign w:val="center"/>
          </w:tcPr>
          <w:p w:rsidR="00043363" w:rsidRPr="00043363" w:rsidRDefault="00043363" w:rsidP="00043363">
            <w:pPr>
              <w:ind w:left="176"/>
              <w:contextualSpacing/>
              <w:jc w:val="both"/>
              <w:rPr>
                <w:rFonts w:ascii="Times New Roman" w:hAnsi="Times New Roman" w:cs="Times New Roman"/>
                <w:b/>
                <w:bCs/>
                <w:color w:val="000000"/>
                <w:sz w:val="20"/>
                <w:szCs w:val="20"/>
              </w:rPr>
            </w:pPr>
          </w:p>
          <w:p w:rsidR="00043363" w:rsidRPr="00043363" w:rsidRDefault="00043363" w:rsidP="00043363">
            <w:pPr>
              <w:numPr>
                <w:ilvl w:val="0"/>
                <w:numId w:val="6"/>
              </w:numPr>
              <w:ind w:left="176" w:hanging="176"/>
              <w:contextualSpacing/>
              <w:jc w:val="both"/>
              <w:rPr>
                <w:rFonts w:ascii="Times New Roman" w:hAnsi="Times New Roman" w:cs="Times New Roman"/>
                <w:b/>
                <w:bCs/>
                <w:color w:val="000000"/>
                <w:sz w:val="20"/>
                <w:szCs w:val="20"/>
              </w:rPr>
            </w:pPr>
            <w:r w:rsidRPr="00043363">
              <w:rPr>
                <w:rFonts w:ascii="Times New Roman" w:hAnsi="Times New Roman" w:cs="Times New Roman"/>
                <w:bCs/>
                <w:iCs/>
                <w:sz w:val="20"/>
                <w:szCs w:val="20"/>
              </w:rPr>
              <w:t xml:space="preserve">Vous trouverez en </w:t>
            </w:r>
            <w:r>
              <w:rPr>
                <w:rFonts w:ascii="Times New Roman" w:hAnsi="Times New Roman" w:cs="Times New Roman"/>
                <w:bCs/>
                <w:iCs/>
                <w:sz w:val="20"/>
                <w:szCs w:val="20"/>
              </w:rPr>
              <w:t xml:space="preserve">cliquant sur chaque lien, </w:t>
            </w:r>
            <w:r w:rsidRPr="00043363">
              <w:rPr>
                <w:rFonts w:ascii="Times New Roman" w:hAnsi="Times New Roman" w:cs="Times New Roman"/>
                <w:b/>
                <w:bCs/>
                <w:iCs/>
                <w:sz w:val="20"/>
                <w:szCs w:val="20"/>
              </w:rPr>
              <w:t>les résultats définitifs, post-contrôles de conformité, des challenges</w:t>
            </w:r>
            <w:r>
              <w:rPr>
                <w:rFonts w:ascii="Times New Roman" w:hAnsi="Times New Roman" w:cs="Times New Roman"/>
                <w:bCs/>
                <w:iCs/>
                <w:sz w:val="20"/>
                <w:szCs w:val="20"/>
              </w:rPr>
              <w:t> :</w:t>
            </w:r>
          </w:p>
          <w:p w:rsidR="00043363" w:rsidRPr="00043363" w:rsidRDefault="00043363" w:rsidP="00043363">
            <w:pPr>
              <w:numPr>
                <w:ilvl w:val="1"/>
                <w:numId w:val="6"/>
              </w:numPr>
              <w:contextualSpacing/>
              <w:jc w:val="both"/>
              <w:rPr>
                <w:rFonts w:ascii="Times New Roman" w:hAnsi="Times New Roman" w:cs="Times New Roman"/>
                <w:b/>
                <w:bCs/>
                <w:sz w:val="20"/>
                <w:szCs w:val="20"/>
              </w:rPr>
            </w:pPr>
            <w:r w:rsidRPr="00043363">
              <w:rPr>
                <w:rFonts w:ascii="Times New Roman" w:hAnsi="Times New Roman" w:cs="Times New Roman"/>
                <w:bCs/>
                <w:iCs/>
                <w:sz w:val="20"/>
                <w:szCs w:val="20"/>
              </w:rPr>
              <w:t>TEMPS FORT 1 (</w:t>
            </w:r>
            <w:hyperlink r:id="rId9" w:history="1">
              <w:r w:rsidRPr="00043363">
                <w:rPr>
                  <w:rStyle w:val="Lienhypertexte"/>
                  <w:rFonts w:ascii="Times New Roman" w:hAnsi="Times New Roman" w:cs="Times New Roman"/>
                  <w:bCs/>
                  <w:iCs/>
                  <w:sz w:val="20"/>
                  <w:szCs w:val="20"/>
                </w:rPr>
                <w:t>cliquez ici pour y accéder</w:t>
              </w:r>
            </w:hyperlink>
            <w:r w:rsidRPr="00043363">
              <w:rPr>
                <w:rFonts w:ascii="Times New Roman" w:hAnsi="Times New Roman" w:cs="Times New Roman"/>
                <w:bCs/>
                <w:iCs/>
                <w:sz w:val="20"/>
                <w:szCs w:val="20"/>
              </w:rPr>
              <w:t xml:space="preserve">), </w:t>
            </w:r>
          </w:p>
          <w:p w:rsidR="00043363" w:rsidRPr="00043363" w:rsidRDefault="00043363" w:rsidP="00043363">
            <w:pPr>
              <w:numPr>
                <w:ilvl w:val="1"/>
                <w:numId w:val="6"/>
              </w:numPr>
              <w:contextualSpacing/>
              <w:jc w:val="both"/>
              <w:rPr>
                <w:rFonts w:ascii="Times New Roman" w:hAnsi="Times New Roman" w:cs="Times New Roman"/>
                <w:b/>
                <w:bCs/>
                <w:color w:val="000000"/>
                <w:sz w:val="20"/>
                <w:szCs w:val="20"/>
              </w:rPr>
            </w:pPr>
            <w:r w:rsidRPr="00043363">
              <w:rPr>
                <w:rFonts w:ascii="Times New Roman" w:hAnsi="Times New Roman" w:cs="Times New Roman"/>
                <w:bCs/>
                <w:iCs/>
                <w:sz w:val="20"/>
                <w:szCs w:val="20"/>
              </w:rPr>
              <w:t>BONUS QHD (</w:t>
            </w:r>
            <w:hyperlink r:id="rId10" w:history="1">
              <w:r w:rsidRPr="00043363">
                <w:rPr>
                  <w:rStyle w:val="Lienhypertexte"/>
                  <w:rFonts w:ascii="Times New Roman" w:hAnsi="Times New Roman" w:cs="Times New Roman"/>
                  <w:bCs/>
                  <w:iCs/>
                  <w:sz w:val="20"/>
                  <w:szCs w:val="20"/>
                </w:rPr>
                <w:t>cliquez ici pour y accéder</w:t>
              </w:r>
            </w:hyperlink>
            <w:r>
              <w:rPr>
                <w:rFonts w:ascii="Times New Roman" w:hAnsi="Times New Roman" w:cs="Times New Roman"/>
                <w:bCs/>
                <w:iCs/>
                <w:sz w:val="20"/>
                <w:szCs w:val="20"/>
              </w:rPr>
              <w:t>)</w:t>
            </w:r>
            <w:r w:rsidRPr="00043363">
              <w:rPr>
                <w:rFonts w:ascii="Times New Roman" w:hAnsi="Times New Roman" w:cs="Times New Roman"/>
                <w:bCs/>
                <w:iCs/>
                <w:sz w:val="20"/>
                <w:szCs w:val="20"/>
              </w:rPr>
              <w:t>,</w:t>
            </w:r>
          </w:p>
          <w:p w:rsidR="00043363" w:rsidRPr="00043363" w:rsidRDefault="00043363" w:rsidP="00043363">
            <w:pPr>
              <w:numPr>
                <w:ilvl w:val="1"/>
                <w:numId w:val="6"/>
              </w:numPr>
              <w:contextualSpacing/>
              <w:jc w:val="both"/>
              <w:rPr>
                <w:rFonts w:ascii="Times New Roman" w:hAnsi="Times New Roman" w:cs="Times New Roman"/>
                <w:b/>
                <w:bCs/>
                <w:color w:val="000000"/>
                <w:sz w:val="20"/>
                <w:szCs w:val="20"/>
              </w:rPr>
            </w:pPr>
            <w:r>
              <w:rPr>
                <w:rFonts w:ascii="Times New Roman" w:hAnsi="Times New Roman" w:cs="Times New Roman"/>
                <w:bCs/>
                <w:iCs/>
                <w:sz w:val="20"/>
                <w:szCs w:val="20"/>
              </w:rPr>
              <w:t>COUP DE POING 3 (</w:t>
            </w:r>
            <w:hyperlink r:id="rId11" w:history="1">
              <w:r w:rsidRPr="00043363">
                <w:rPr>
                  <w:rStyle w:val="Lienhypertexte"/>
                  <w:rFonts w:ascii="Times New Roman" w:hAnsi="Times New Roman" w:cs="Times New Roman"/>
                  <w:bCs/>
                  <w:iCs/>
                  <w:sz w:val="20"/>
                  <w:szCs w:val="20"/>
                </w:rPr>
                <w:t>cliquez ici pour y accéder</w:t>
              </w:r>
            </w:hyperlink>
            <w:r>
              <w:rPr>
                <w:rFonts w:ascii="Times New Roman" w:hAnsi="Times New Roman" w:cs="Times New Roman"/>
                <w:bCs/>
                <w:iCs/>
                <w:sz w:val="20"/>
                <w:szCs w:val="20"/>
              </w:rPr>
              <w:t>).</w:t>
            </w:r>
          </w:p>
          <w:p w:rsidR="002C4E27" w:rsidRPr="00043363" w:rsidRDefault="00043363" w:rsidP="00043363">
            <w:pPr>
              <w:numPr>
                <w:ilvl w:val="0"/>
                <w:numId w:val="6"/>
              </w:numPr>
              <w:ind w:left="176" w:hanging="176"/>
              <w:contextualSpacing/>
              <w:jc w:val="both"/>
              <w:rPr>
                <w:rFonts w:ascii="Times New Roman" w:hAnsi="Times New Roman" w:cs="Times New Roman"/>
                <w:b/>
                <w:bCs/>
                <w:color w:val="000000"/>
                <w:sz w:val="20"/>
                <w:szCs w:val="20"/>
              </w:rPr>
            </w:pPr>
            <w:r w:rsidRPr="00043363">
              <w:rPr>
                <w:rFonts w:ascii="Times New Roman" w:hAnsi="Times New Roman" w:cs="Times New Roman"/>
                <w:bCs/>
                <w:iCs/>
                <w:sz w:val="20"/>
                <w:szCs w:val="20"/>
              </w:rPr>
              <w:t xml:space="preserve">Afin de pouvoir mettre à disposition des agences concernées les chèques cadeaux en rapport avec leurs gains, </w:t>
            </w:r>
            <w:r w:rsidRPr="00043363">
              <w:rPr>
                <w:rFonts w:ascii="Times New Roman" w:hAnsi="Times New Roman" w:cs="Times New Roman"/>
                <w:b/>
                <w:bCs/>
                <w:iCs/>
                <w:sz w:val="20"/>
                <w:szCs w:val="20"/>
              </w:rPr>
              <w:t xml:space="preserve">le détail nominatif de la répartition des enveloppes de récompenses est à transmettre à </w:t>
            </w:r>
            <w:hyperlink r:id="rId12" w:history="1">
              <w:r w:rsidRPr="00043363">
                <w:rPr>
                  <w:rStyle w:val="Lienhypertexte"/>
                  <w:rFonts w:ascii="Times New Roman" w:hAnsi="Times New Roman" w:cs="Times New Roman"/>
                  <w:b/>
                  <w:bCs/>
                  <w:iCs/>
                  <w:sz w:val="20"/>
                  <w:szCs w:val="20"/>
                </w:rPr>
                <w:t>francis.legendre@cegee.caisse-epargne.fr</w:t>
              </w:r>
            </w:hyperlink>
            <w:r>
              <w:rPr>
                <w:rFonts w:ascii="Times New Roman" w:hAnsi="Times New Roman" w:cs="Times New Roman"/>
                <w:b/>
                <w:bCs/>
                <w:iCs/>
                <w:sz w:val="20"/>
                <w:szCs w:val="20"/>
              </w:rPr>
              <w:t>.</w:t>
            </w:r>
          </w:p>
          <w:p w:rsidR="00043363" w:rsidRPr="002C4E27" w:rsidRDefault="00043363" w:rsidP="00043363">
            <w:pPr>
              <w:ind w:left="176"/>
              <w:contextualSpacing/>
              <w:jc w:val="both"/>
              <w:rPr>
                <w:rFonts w:ascii="Times New Roman" w:hAnsi="Times New Roman" w:cs="Times New Roman"/>
                <w:b/>
                <w:bCs/>
                <w:color w:val="000000"/>
                <w:sz w:val="20"/>
                <w:szCs w:val="20"/>
              </w:rPr>
            </w:pPr>
          </w:p>
        </w:tc>
      </w:tr>
      <w:tr w:rsidR="00992FC9" w:rsidRPr="008A2C98" w:rsidTr="00084343">
        <w:trPr>
          <w:trHeight w:val="593"/>
        </w:trPr>
        <w:tc>
          <w:tcPr>
            <w:tcW w:w="1560" w:type="dxa"/>
            <w:tcBorders>
              <w:bottom w:val="single" w:sz="4" w:space="0" w:color="auto"/>
            </w:tcBorders>
            <w:vAlign w:val="center"/>
          </w:tcPr>
          <w:p w:rsidR="00992FC9" w:rsidRPr="00084343" w:rsidRDefault="00992FC9" w:rsidP="00C66DB1">
            <w:pPr>
              <w:rPr>
                <w:rFonts w:ascii="Times New Roman" w:hAnsi="Times New Roman" w:cs="Times New Roman"/>
                <w:b/>
                <w:bCs/>
                <w:sz w:val="20"/>
                <w:szCs w:val="20"/>
              </w:rPr>
            </w:pPr>
            <w:r w:rsidRPr="00084343">
              <w:rPr>
                <w:rFonts w:ascii="Times New Roman" w:hAnsi="Times New Roman" w:cs="Times New Roman"/>
                <w:b/>
                <w:bCs/>
                <w:sz w:val="20"/>
                <w:szCs w:val="20"/>
              </w:rPr>
              <w:t>Com. DMA</w:t>
            </w:r>
          </w:p>
        </w:tc>
        <w:tc>
          <w:tcPr>
            <w:tcW w:w="1843" w:type="dxa"/>
            <w:tcBorders>
              <w:bottom w:val="single" w:sz="4" w:space="0" w:color="auto"/>
            </w:tcBorders>
            <w:vAlign w:val="center"/>
          </w:tcPr>
          <w:p w:rsidR="00992FC9" w:rsidRPr="00084343" w:rsidRDefault="00992FC9" w:rsidP="00C66DB1">
            <w:pPr>
              <w:rPr>
                <w:rFonts w:ascii="Times New Roman" w:hAnsi="Times New Roman" w:cs="Times New Roman"/>
                <w:b/>
                <w:bCs/>
                <w:color w:val="000000"/>
                <w:sz w:val="20"/>
                <w:szCs w:val="20"/>
              </w:rPr>
            </w:pPr>
            <w:r w:rsidRPr="00EB112C">
              <w:rPr>
                <w:rFonts w:ascii="Times New Roman" w:hAnsi="Times New Roman" w:cs="Times New Roman"/>
                <w:b/>
                <w:bCs/>
                <w:sz w:val="20"/>
                <w:szCs w:val="20"/>
              </w:rPr>
              <w:t>PEL non-respect</w:t>
            </w:r>
          </w:p>
        </w:tc>
        <w:tc>
          <w:tcPr>
            <w:tcW w:w="12332" w:type="dxa"/>
            <w:tcBorders>
              <w:bottom w:val="single" w:sz="4" w:space="0" w:color="auto"/>
            </w:tcBorders>
            <w:shd w:val="clear" w:color="auto" w:fill="auto"/>
            <w:vAlign w:val="center"/>
          </w:tcPr>
          <w:p w:rsidR="00992FC9" w:rsidRPr="00E72E4C" w:rsidRDefault="00163C5C" w:rsidP="00C66DB1">
            <w:pPr>
              <w:numPr>
                <w:ilvl w:val="0"/>
                <w:numId w:val="6"/>
              </w:numPr>
              <w:tabs>
                <w:tab w:val="num" w:pos="720"/>
              </w:tabs>
              <w:ind w:left="176" w:hanging="176"/>
              <w:contextualSpacing/>
              <w:jc w:val="both"/>
              <w:rPr>
                <w:rFonts w:ascii="Calibri" w:hAnsi="Calibri" w:cs="Calibri"/>
              </w:rPr>
            </w:pPr>
            <w:hyperlink r:id="rId13" w:history="1">
              <w:r w:rsidR="00992FC9">
                <w:rPr>
                  <w:rStyle w:val="Lienhypertexte"/>
                  <w:rFonts w:ascii="Times New Roman" w:hAnsi="Times New Roman" w:cs="Times New Roman"/>
                  <w:sz w:val="20"/>
                  <w:szCs w:val="20"/>
                  <w:lang w:eastAsia="fr-FR"/>
                </w:rPr>
                <w:t>CLIQUEZ ICI</w:t>
              </w:r>
            </w:hyperlink>
            <w:r w:rsidR="00992FC9">
              <w:rPr>
                <w:rFonts w:ascii="Times New Roman" w:hAnsi="Times New Roman" w:cs="Times New Roman"/>
                <w:color w:val="000000"/>
                <w:sz w:val="20"/>
                <w:szCs w:val="20"/>
                <w:lang w:eastAsia="fr-FR"/>
              </w:rPr>
              <w:t xml:space="preserve"> </w:t>
            </w:r>
            <w:r w:rsidR="00992FC9">
              <w:rPr>
                <w:rFonts w:ascii="Times New Roman" w:hAnsi="Times New Roman" w:cs="Times New Roman"/>
                <w:sz w:val="20"/>
                <w:szCs w:val="20"/>
                <w:lang w:eastAsia="fr-FR"/>
              </w:rPr>
              <w:t>pour accéder à la liste des PEL potentiellement en non-respect, échéances du 16/10 au 10/11/2018 qui seront clôturés à J+1 de la date anniversaire (volumétrie 508 clients).</w:t>
            </w:r>
          </w:p>
        </w:tc>
      </w:tr>
      <w:tr w:rsidR="00992FC9" w:rsidRPr="008A2C98" w:rsidTr="00084343">
        <w:trPr>
          <w:trHeight w:val="593"/>
        </w:trPr>
        <w:tc>
          <w:tcPr>
            <w:tcW w:w="1560" w:type="dxa"/>
            <w:tcBorders>
              <w:bottom w:val="single" w:sz="4" w:space="0" w:color="auto"/>
            </w:tcBorders>
            <w:vAlign w:val="center"/>
          </w:tcPr>
          <w:p w:rsidR="00992FC9" w:rsidRPr="00992FC9" w:rsidRDefault="00992FC9" w:rsidP="00C66DB1">
            <w:pPr>
              <w:rPr>
                <w:rFonts w:ascii="Times New Roman" w:hAnsi="Times New Roman" w:cs="Times New Roman"/>
                <w:b/>
                <w:bCs/>
                <w:sz w:val="20"/>
                <w:szCs w:val="20"/>
              </w:rPr>
            </w:pPr>
            <w:r w:rsidRPr="00992FC9">
              <w:rPr>
                <w:rFonts w:ascii="Times New Roman" w:hAnsi="Times New Roman" w:cs="Times New Roman"/>
                <w:b/>
                <w:bCs/>
                <w:sz w:val="20"/>
                <w:szCs w:val="20"/>
              </w:rPr>
              <w:t>Com. DMA</w:t>
            </w:r>
          </w:p>
        </w:tc>
        <w:tc>
          <w:tcPr>
            <w:tcW w:w="1843" w:type="dxa"/>
            <w:tcBorders>
              <w:bottom w:val="single" w:sz="4" w:space="0" w:color="auto"/>
            </w:tcBorders>
            <w:vAlign w:val="center"/>
          </w:tcPr>
          <w:p w:rsidR="00992FC9" w:rsidRPr="00992FC9" w:rsidRDefault="00992FC9" w:rsidP="00C66DB1">
            <w:pPr>
              <w:contextualSpacing/>
              <w:jc w:val="both"/>
              <w:rPr>
                <w:rFonts w:ascii="Times New Roman" w:hAnsi="Times New Roman" w:cs="Times New Roman"/>
                <w:b/>
                <w:bCs/>
                <w:color w:val="000000"/>
                <w:sz w:val="20"/>
                <w:szCs w:val="20"/>
              </w:rPr>
            </w:pPr>
            <w:r w:rsidRPr="00992FC9">
              <w:rPr>
                <w:rFonts w:ascii="Times New Roman" w:hAnsi="Times New Roman" w:cs="Times New Roman"/>
                <w:b/>
                <w:bCs/>
                <w:sz w:val="20"/>
                <w:szCs w:val="20"/>
              </w:rPr>
              <w:t xml:space="preserve">Suivi </w:t>
            </w:r>
            <w:proofErr w:type="spellStart"/>
            <w:r w:rsidRPr="00992FC9">
              <w:rPr>
                <w:rFonts w:ascii="Times New Roman" w:hAnsi="Times New Roman" w:cs="Times New Roman"/>
                <w:b/>
                <w:bCs/>
                <w:sz w:val="20"/>
                <w:szCs w:val="20"/>
              </w:rPr>
              <w:t>Helios</w:t>
            </w:r>
            <w:proofErr w:type="spellEnd"/>
            <w:r w:rsidRPr="00992FC9">
              <w:rPr>
                <w:rFonts w:ascii="Times New Roman" w:hAnsi="Times New Roman" w:cs="Times New Roman"/>
                <w:b/>
                <w:bCs/>
                <w:sz w:val="20"/>
                <w:szCs w:val="20"/>
              </w:rPr>
              <w:t xml:space="preserve"> Janvier 2029</w:t>
            </w:r>
          </w:p>
        </w:tc>
        <w:tc>
          <w:tcPr>
            <w:tcW w:w="12332" w:type="dxa"/>
            <w:tcBorders>
              <w:bottom w:val="single" w:sz="4" w:space="0" w:color="auto"/>
            </w:tcBorders>
            <w:shd w:val="clear" w:color="auto" w:fill="auto"/>
            <w:vAlign w:val="center"/>
          </w:tcPr>
          <w:p w:rsidR="00992FC9" w:rsidRPr="00992FC9" w:rsidRDefault="00992FC9" w:rsidP="00992FC9">
            <w:pPr>
              <w:ind w:left="176"/>
              <w:contextualSpacing/>
              <w:jc w:val="both"/>
              <w:rPr>
                <w:rFonts w:ascii="Times New Roman" w:hAnsi="Times New Roman" w:cs="Times New Roman"/>
                <w:bCs/>
                <w:iCs/>
                <w:sz w:val="20"/>
                <w:szCs w:val="20"/>
              </w:rPr>
            </w:pP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Le rythme de commercialisation soutenu d’</w:t>
            </w:r>
            <w:proofErr w:type="spellStart"/>
            <w:r w:rsidRPr="00992FC9">
              <w:rPr>
                <w:rFonts w:ascii="Times New Roman" w:hAnsi="Times New Roman" w:cs="Times New Roman"/>
                <w:bCs/>
                <w:iCs/>
                <w:sz w:val="20"/>
                <w:szCs w:val="20"/>
              </w:rPr>
              <w:t>Helios</w:t>
            </w:r>
            <w:proofErr w:type="spellEnd"/>
            <w:r w:rsidRPr="00992FC9">
              <w:rPr>
                <w:rFonts w:ascii="Times New Roman" w:hAnsi="Times New Roman" w:cs="Times New Roman"/>
                <w:bCs/>
                <w:iCs/>
                <w:sz w:val="20"/>
                <w:szCs w:val="20"/>
              </w:rPr>
              <w:t>, initié dès les 1ers jours, se maintient. En témoignent les résultats enregistrés au 10 octobre :</w:t>
            </w:r>
          </w:p>
          <w:p w:rsidR="00992FC9" w:rsidRPr="00992FC9" w:rsidRDefault="00992FC9" w:rsidP="00C66DB1">
            <w:pPr>
              <w:ind w:left="547"/>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La CEGEE affiche un taux d’atteinte de l’objectif de </w:t>
            </w:r>
            <w:r w:rsidRPr="00992FC9">
              <w:rPr>
                <w:rFonts w:ascii="Times New Roman" w:hAnsi="Times New Roman" w:cs="Times New Roman"/>
                <w:b/>
                <w:bCs/>
                <w:iCs/>
                <w:sz w:val="20"/>
                <w:szCs w:val="20"/>
              </w:rPr>
              <w:t>45%</w:t>
            </w:r>
            <w:r w:rsidRPr="00992FC9">
              <w:rPr>
                <w:rFonts w:ascii="Times New Roman" w:hAnsi="Times New Roman" w:cs="Times New Roman"/>
                <w:bCs/>
                <w:iCs/>
                <w:sz w:val="20"/>
                <w:szCs w:val="20"/>
              </w:rPr>
              <w:t xml:space="preserve">, </w:t>
            </w:r>
            <w:r w:rsidRPr="00992FC9">
              <w:rPr>
                <w:rFonts w:ascii="Times New Roman" w:hAnsi="Times New Roman" w:cs="Times New Roman"/>
                <w:bCs/>
                <w:i/>
                <w:iCs/>
                <w:sz w:val="20"/>
                <w:szCs w:val="20"/>
              </w:rPr>
              <w:t>pour un % temps écoulé de 32%.</w:t>
            </w:r>
          </w:p>
          <w:p w:rsidR="00992FC9" w:rsidRPr="00992FC9" w:rsidRDefault="00992FC9" w:rsidP="00C66DB1">
            <w:pPr>
              <w:ind w:left="708"/>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sym w:font="Wingdings" w:char="F0C4"/>
            </w:r>
            <w:r w:rsidRPr="00992FC9">
              <w:rPr>
                <w:rFonts w:ascii="Times New Roman" w:hAnsi="Times New Roman" w:cs="Times New Roman"/>
                <w:bCs/>
                <w:iCs/>
                <w:sz w:val="20"/>
                <w:szCs w:val="20"/>
              </w:rPr>
              <w:t xml:space="preserve"> Voici les résultats par Direction Commerciale : </w:t>
            </w:r>
          </w:p>
          <w:p w:rsidR="00992FC9" w:rsidRPr="00992FC9" w:rsidRDefault="00992FC9" w:rsidP="00C66DB1">
            <w:pPr>
              <w:contextualSpacing/>
              <w:jc w:val="center"/>
              <w:rPr>
                <w:rFonts w:ascii="Times New Roman" w:hAnsi="Times New Roman" w:cs="Times New Roman"/>
                <w:bCs/>
                <w:iCs/>
                <w:sz w:val="20"/>
                <w:szCs w:val="20"/>
              </w:rPr>
            </w:pPr>
            <w:r w:rsidRPr="00992FC9">
              <w:rPr>
                <w:rFonts w:ascii="Times New Roman" w:hAnsi="Times New Roman" w:cs="Times New Roman"/>
                <w:bCs/>
                <w:iCs/>
                <w:noProof/>
                <w:sz w:val="20"/>
                <w:szCs w:val="20"/>
                <w:lang w:eastAsia="fr-FR"/>
              </w:rPr>
              <w:drawing>
                <wp:inline distT="0" distB="0" distL="0" distR="0" wp14:anchorId="38875E86" wp14:editId="3C421F62">
                  <wp:extent cx="5972810" cy="1917700"/>
                  <wp:effectExtent l="0" t="0" r="8890" b="6350"/>
                  <wp:docPr id="1085"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 name="Picture 6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2810" cy="1917700"/>
                          </a:xfrm>
                          <a:prstGeom prst="rect">
                            <a:avLst/>
                          </a:prstGeom>
                          <a:noFill/>
                          <a:ln>
                            <a:noFill/>
                          </a:ln>
                          <a:effectLst/>
                          <a:extLst/>
                        </pic:spPr>
                      </pic:pic>
                    </a:graphicData>
                  </a:graphic>
                </wp:inline>
              </w:drawing>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Un suivi hebdomadaire par point de vente sera très prochainement mis à votre disposition via la Rubrique des Commerciaux. Nous vous le communiquerons également chaque semaine via le </w:t>
            </w:r>
            <w:proofErr w:type="spellStart"/>
            <w:r w:rsidRPr="00992FC9">
              <w:rPr>
                <w:rFonts w:ascii="Times New Roman" w:hAnsi="Times New Roman" w:cs="Times New Roman"/>
                <w:bCs/>
                <w:iCs/>
                <w:sz w:val="20"/>
                <w:szCs w:val="20"/>
              </w:rPr>
              <w:t>Brief</w:t>
            </w:r>
            <w:proofErr w:type="spellEnd"/>
            <w:r w:rsidRPr="00992FC9">
              <w:rPr>
                <w:rFonts w:ascii="Times New Roman" w:hAnsi="Times New Roman" w:cs="Times New Roman"/>
                <w:bCs/>
                <w:iCs/>
                <w:sz w:val="20"/>
                <w:szCs w:val="20"/>
              </w:rPr>
              <w:t>.</w:t>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Dans cette attente, chaque agence et secteur peut dès à présent consulter sa propre avancée via </w:t>
            </w:r>
            <w:hyperlink r:id="rId15" w:history="1">
              <w:r w:rsidRPr="00992FC9">
                <w:rPr>
                  <w:rStyle w:val="Lienhypertexte"/>
                  <w:rFonts w:ascii="Times New Roman" w:hAnsi="Times New Roman" w:cs="Times New Roman"/>
                  <w:bCs/>
                  <w:iCs/>
                  <w:sz w:val="20"/>
                  <w:szCs w:val="20"/>
                </w:rPr>
                <w:t>PILCOT</w:t>
              </w:r>
            </w:hyperlink>
            <w:r w:rsidRPr="00992FC9">
              <w:rPr>
                <w:rFonts w:ascii="Times New Roman" w:hAnsi="Times New Roman" w:cs="Times New Roman"/>
                <w:bCs/>
                <w:iCs/>
                <w:sz w:val="20"/>
                <w:szCs w:val="20"/>
              </w:rPr>
              <w:t>.</w:t>
            </w:r>
          </w:p>
          <w:p w:rsidR="00992FC9" w:rsidRPr="00992FC9" w:rsidRDefault="00992FC9" w:rsidP="00992FC9">
            <w:pPr>
              <w:numPr>
                <w:ilvl w:val="0"/>
                <w:numId w:val="6"/>
              </w:numPr>
              <w:tabs>
                <w:tab w:val="num" w:pos="720"/>
              </w:tabs>
              <w:ind w:left="176" w:hanging="176"/>
              <w:contextualSpacing/>
              <w:jc w:val="both"/>
              <w:rPr>
                <w:rStyle w:val="Lienhypertexte"/>
                <w:rFonts w:ascii="Times New Roman" w:hAnsi="Times New Roman" w:cs="Times New Roman"/>
                <w:iCs/>
                <w:sz w:val="20"/>
                <w:szCs w:val="20"/>
              </w:rPr>
            </w:pPr>
            <w:r w:rsidRPr="00992FC9">
              <w:rPr>
                <w:rFonts w:ascii="Times New Roman" w:hAnsi="Times New Roman" w:cs="Times New Roman"/>
                <w:iCs/>
                <w:color w:val="000000"/>
                <w:sz w:val="20"/>
                <w:szCs w:val="20"/>
              </w:rPr>
              <w:t xml:space="preserve">NB : si vous rencontrez des difficultés de connexion à PILCOT, merci d’en avertir Anne-Claire LIAUBET </w:t>
            </w:r>
            <w:hyperlink r:id="rId16" w:history="1">
              <w:r w:rsidRPr="00992FC9">
                <w:rPr>
                  <w:rStyle w:val="Lienhypertexte"/>
                  <w:rFonts w:ascii="Times New Roman" w:hAnsi="Times New Roman" w:cs="Times New Roman"/>
                  <w:iCs/>
                  <w:sz w:val="20"/>
                  <w:szCs w:val="20"/>
                </w:rPr>
                <w:t>anneclaire.liaubet@cegee.caisse-epargne.fr</w:t>
              </w:r>
            </w:hyperlink>
          </w:p>
          <w:p w:rsidR="00992FC9" w:rsidRPr="00992FC9" w:rsidRDefault="00992FC9" w:rsidP="00C66DB1">
            <w:pPr>
              <w:contextualSpacing/>
              <w:jc w:val="both"/>
              <w:rPr>
                <w:rFonts w:ascii="Times New Roman" w:hAnsi="Times New Roman" w:cs="Times New Roman"/>
                <w:bCs/>
                <w:iCs/>
                <w:sz w:val="20"/>
                <w:szCs w:val="20"/>
              </w:rPr>
            </w:pPr>
          </w:p>
        </w:tc>
      </w:tr>
      <w:tr w:rsidR="00992FC9" w:rsidRPr="00992FC9" w:rsidTr="00084343">
        <w:trPr>
          <w:trHeight w:val="593"/>
        </w:trPr>
        <w:tc>
          <w:tcPr>
            <w:tcW w:w="1560" w:type="dxa"/>
            <w:tcBorders>
              <w:bottom w:val="single" w:sz="4" w:space="0" w:color="auto"/>
            </w:tcBorders>
            <w:vAlign w:val="center"/>
          </w:tcPr>
          <w:p w:rsidR="00992FC9" w:rsidRPr="00992FC9" w:rsidRDefault="00992FC9" w:rsidP="00C66DB1">
            <w:pPr>
              <w:rPr>
                <w:rFonts w:ascii="Times New Roman" w:hAnsi="Times New Roman" w:cs="Times New Roman"/>
                <w:b/>
                <w:bCs/>
                <w:sz w:val="20"/>
                <w:szCs w:val="20"/>
              </w:rPr>
            </w:pPr>
            <w:r w:rsidRPr="00992FC9">
              <w:rPr>
                <w:rFonts w:ascii="Times New Roman" w:hAnsi="Times New Roman" w:cs="Times New Roman"/>
                <w:b/>
                <w:bCs/>
                <w:sz w:val="20"/>
                <w:szCs w:val="20"/>
              </w:rPr>
              <w:t>Com. DMA</w:t>
            </w:r>
          </w:p>
        </w:tc>
        <w:tc>
          <w:tcPr>
            <w:tcW w:w="1843" w:type="dxa"/>
            <w:tcBorders>
              <w:bottom w:val="single" w:sz="4" w:space="0" w:color="auto"/>
            </w:tcBorders>
            <w:vAlign w:val="center"/>
          </w:tcPr>
          <w:p w:rsidR="00992FC9" w:rsidRPr="00992FC9" w:rsidRDefault="00992FC9" w:rsidP="00C66DB1">
            <w:pPr>
              <w:contextualSpacing/>
              <w:jc w:val="both"/>
              <w:rPr>
                <w:rFonts w:ascii="Times New Roman" w:hAnsi="Times New Roman" w:cs="Times New Roman"/>
                <w:b/>
                <w:bCs/>
                <w:color w:val="000000"/>
                <w:sz w:val="20"/>
                <w:szCs w:val="20"/>
              </w:rPr>
            </w:pPr>
            <w:r w:rsidRPr="00992FC9">
              <w:rPr>
                <w:rFonts w:ascii="Times New Roman" w:hAnsi="Times New Roman" w:cs="Times New Roman"/>
                <w:b/>
                <w:bCs/>
                <w:color w:val="000000"/>
                <w:sz w:val="20"/>
                <w:szCs w:val="20"/>
              </w:rPr>
              <w:t>Complément de rémunération assurance-vie</w:t>
            </w:r>
          </w:p>
        </w:tc>
        <w:tc>
          <w:tcPr>
            <w:tcW w:w="12332" w:type="dxa"/>
            <w:tcBorders>
              <w:bottom w:val="single" w:sz="4" w:space="0" w:color="auto"/>
            </w:tcBorders>
            <w:shd w:val="clear" w:color="auto" w:fill="auto"/>
            <w:vAlign w:val="center"/>
          </w:tcPr>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
                <w:bCs/>
                <w:iCs/>
                <w:sz w:val="20"/>
                <w:szCs w:val="20"/>
                <w:u w:val="single"/>
              </w:rPr>
              <w:t>Principe</w:t>
            </w:r>
            <w:r>
              <w:rPr>
                <w:rFonts w:ascii="Times New Roman" w:hAnsi="Times New Roman" w:cs="Times New Roman"/>
                <w:b/>
                <w:bCs/>
                <w:iCs/>
                <w:sz w:val="20"/>
                <w:szCs w:val="20"/>
                <w:u w:val="single"/>
              </w:rPr>
              <w:t>s</w:t>
            </w:r>
            <w:r w:rsidRPr="00992FC9">
              <w:rPr>
                <w:rFonts w:ascii="Times New Roman" w:hAnsi="Times New Roman" w:cs="Times New Roman"/>
                <w:b/>
                <w:bCs/>
                <w:iCs/>
                <w:sz w:val="20"/>
                <w:szCs w:val="20"/>
              </w:rPr>
              <w:t xml:space="preserve"> :</w:t>
            </w:r>
            <w:r w:rsidRPr="00992FC9">
              <w:rPr>
                <w:rFonts w:ascii="Times New Roman" w:hAnsi="Times New Roman" w:cs="Times New Roman"/>
                <w:bCs/>
                <w:iCs/>
                <w:sz w:val="20"/>
                <w:szCs w:val="20"/>
              </w:rPr>
              <w:t xml:space="preserve"> afin d’accompagner nos clients dans la </w:t>
            </w:r>
            <w:r w:rsidRPr="00992FC9">
              <w:rPr>
                <w:rFonts w:ascii="Times New Roman" w:hAnsi="Times New Roman" w:cs="Times New Roman"/>
                <w:b/>
                <w:bCs/>
                <w:iCs/>
                <w:sz w:val="20"/>
                <w:szCs w:val="20"/>
              </w:rPr>
              <w:t>collecte UC en assurance-vie</w:t>
            </w:r>
            <w:r w:rsidRPr="00992FC9">
              <w:rPr>
                <w:rFonts w:ascii="Times New Roman" w:hAnsi="Times New Roman" w:cs="Times New Roman"/>
                <w:bCs/>
                <w:iCs/>
                <w:sz w:val="20"/>
                <w:szCs w:val="20"/>
              </w:rPr>
              <w:t>, un accélérateur-client est mis en place pour cette fin d’année (</w:t>
            </w:r>
            <w:r w:rsidRPr="00992FC9">
              <w:rPr>
                <w:rFonts w:ascii="Times New Roman" w:hAnsi="Times New Roman" w:cs="Times New Roman"/>
                <w:bCs/>
                <w:i/>
                <w:iCs/>
                <w:sz w:val="20"/>
                <w:szCs w:val="20"/>
              </w:rPr>
              <w:t xml:space="preserve">dans le cadre des parcours clients accompagnés - </w:t>
            </w:r>
            <w:proofErr w:type="spellStart"/>
            <w:r w:rsidRPr="00992FC9">
              <w:rPr>
                <w:rFonts w:ascii="Times New Roman" w:hAnsi="Times New Roman" w:cs="Times New Roman"/>
                <w:bCs/>
                <w:i/>
                <w:iCs/>
                <w:sz w:val="20"/>
                <w:szCs w:val="20"/>
              </w:rPr>
              <w:t>cf</w:t>
            </w:r>
            <w:proofErr w:type="spellEnd"/>
            <w:r w:rsidRPr="00992FC9">
              <w:rPr>
                <w:rFonts w:ascii="Times New Roman" w:hAnsi="Times New Roman" w:cs="Times New Roman"/>
                <w:bCs/>
                <w:i/>
                <w:iCs/>
                <w:sz w:val="20"/>
                <w:szCs w:val="20"/>
              </w:rPr>
              <w:t xml:space="preserve"> LEA</w:t>
            </w:r>
            <w:r w:rsidRPr="00992FC9">
              <w:rPr>
                <w:rFonts w:ascii="Times New Roman" w:hAnsi="Times New Roman" w:cs="Times New Roman"/>
                <w:bCs/>
                <w:iCs/>
                <w:sz w:val="20"/>
                <w:szCs w:val="20"/>
              </w:rPr>
              <w:t xml:space="preserve">). Il revêt la forme de versement d’un </w:t>
            </w:r>
            <w:r w:rsidRPr="00992FC9">
              <w:rPr>
                <w:rFonts w:ascii="Times New Roman" w:hAnsi="Times New Roman" w:cs="Times New Roman"/>
                <w:b/>
                <w:bCs/>
                <w:iCs/>
                <w:sz w:val="20"/>
                <w:szCs w:val="20"/>
              </w:rPr>
              <w:t>complément de rémunération sur le fonds en €uros</w:t>
            </w:r>
            <w:r w:rsidRPr="00992FC9">
              <w:rPr>
                <w:rFonts w:ascii="Times New Roman" w:hAnsi="Times New Roman" w:cs="Times New Roman"/>
                <w:bCs/>
                <w:iCs/>
                <w:sz w:val="20"/>
                <w:szCs w:val="20"/>
              </w:rPr>
              <w:t xml:space="preserve">. </w:t>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
                <w:bCs/>
                <w:iCs/>
                <w:sz w:val="20"/>
                <w:szCs w:val="20"/>
              </w:rPr>
            </w:pPr>
            <w:r w:rsidRPr="00992FC9">
              <w:rPr>
                <w:rFonts w:ascii="Times New Roman" w:hAnsi="Times New Roman" w:cs="Times New Roman"/>
                <w:b/>
                <w:bCs/>
                <w:iCs/>
                <w:sz w:val="20"/>
                <w:szCs w:val="20"/>
                <w:u w:val="single"/>
              </w:rPr>
              <w:lastRenderedPageBreak/>
              <w:t>Modalités</w:t>
            </w:r>
            <w:r w:rsidRPr="00992FC9">
              <w:rPr>
                <w:rFonts w:ascii="Times New Roman" w:hAnsi="Times New Roman" w:cs="Times New Roman"/>
                <w:b/>
                <w:bCs/>
                <w:iCs/>
                <w:sz w:val="20"/>
                <w:szCs w:val="20"/>
              </w:rPr>
              <w:t xml:space="preserve"> :</w:t>
            </w:r>
          </w:p>
          <w:p w:rsidR="00992FC9" w:rsidRPr="00992FC9" w:rsidRDefault="00992FC9" w:rsidP="00C66DB1">
            <w:pPr>
              <w:contextualSpacing/>
              <w:jc w:val="both"/>
              <w:rPr>
                <w:rFonts w:ascii="Times New Roman" w:hAnsi="Times New Roman" w:cs="Times New Roman"/>
                <w:bCs/>
                <w:iCs/>
                <w:sz w:val="20"/>
                <w:szCs w:val="20"/>
              </w:rPr>
            </w:pPr>
            <w:r w:rsidRPr="00992FC9">
              <w:rPr>
                <w:rFonts w:ascii="Times New Roman" w:hAnsi="Times New Roman" w:cs="Times New Roman"/>
                <w:bCs/>
                <w:iCs/>
                <w:noProof/>
                <w:sz w:val="20"/>
                <w:szCs w:val="20"/>
                <w:lang w:eastAsia="fr-FR"/>
              </w:rPr>
              <w:drawing>
                <wp:inline distT="0" distB="0" distL="0" distR="0" wp14:anchorId="55773BB1" wp14:editId="5A39E71E">
                  <wp:extent cx="5279666" cy="2367599"/>
                  <wp:effectExtent l="171450" t="171450" r="378460" b="35687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17">
                            <a:extLst>
                              <a:ext uri="{28A0092B-C50C-407E-A947-70E740481C1C}">
                                <a14:useLocalDpi xmlns:a14="http://schemas.microsoft.com/office/drawing/2010/main" val="0"/>
                              </a:ext>
                            </a:extLst>
                          </a:blip>
                          <a:srcRect l="2248" t="2392"/>
                          <a:stretch/>
                        </pic:blipFill>
                        <pic:spPr bwMode="auto">
                          <a:xfrm>
                            <a:off x="0" y="0"/>
                            <a:ext cx="5280887" cy="2368147"/>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chemeClr val="accent1"/>
                                </a:solidFill>
                              </a14:hiddenFill>
                            </a:ext>
                          </a:extLst>
                        </pic:spPr>
                      </pic:pic>
                    </a:graphicData>
                  </a:graphic>
                </wp:inline>
              </w:drawing>
            </w:r>
          </w:p>
          <w:p w:rsidR="00992FC9" w:rsidRPr="00992FC9" w:rsidRDefault="00992FC9" w:rsidP="00992FC9">
            <w:pPr>
              <w:contextualSpacing/>
              <w:jc w:val="both"/>
              <w:rPr>
                <w:rFonts w:ascii="Times New Roman" w:hAnsi="Times New Roman" w:cs="Times New Roman"/>
                <w:bCs/>
                <w:i/>
                <w:iCs/>
                <w:sz w:val="20"/>
                <w:szCs w:val="20"/>
              </w:rPr>
            </w:pPr>
            <w:r w:rsidRPr="00992FC9">
              <w:rPr>
                <w:rFonts w:ascii="Times New Roman" w:hAnsi="Times New Roman" w:cs="Times New Roman"/>
                <w:bCs/>
                <w:i/>
                <w:iCs/>
                <w:sz w:val="20"/>
                <w:szCs w:val="20"/>
              </w:rPr>
              <w:t>NB : dans la limite d’une enveloppe nationale de 800 M€, non-contingentée par CE. Dit autrement, 1ers arrivés, 1ers servis.</w:t>
            </w:r>
          </w:p>
          <w:p w:rsidR="00992FC9" w:rsidRPr="00992FC9" w:rsidRDefault="00992FC9" w:rsidP="00992FC9">
            <w:pPr>
              <w:contextualSpacing/>
              <w:jc w:val="both"/>
              <w:rPr>
                <w:rFonts w:ascii="Times New Roman" w:hAnsi="Times New Roman" w:cs="Times New Roman"/>
                <w:bCs/>
                <w:i/>
                <w:iCs/>
                <w:sz w:val="20"/>
                <w:szCs w:val="20"/>
              </w:rPr>
            </w:pPr>
          </w:p>
          <w:p w:rsidR="00992FC9" w:rsidRPr="00992FC9" w:rsidRDefault="00992FC9" w:rsidP="00992FC9">
            <w:pPr>
              <w:contextualSpacing/>
              <w:jc w:val="both"/>
              <w:rPr>
                <w:rFonts w:ascii="Times New Roman" w:hAnsi="Times New Roman" w:cs="Times New Roman"/>
                <w:bCs/>
                <w:i/>
                <w:iCs/>
                <w:sz w:val="20"/>
                <w:szCs w:val="20"/>
              </w:rPr>
            </w:pPr>
            <w:r w:rsidRPr="00992FC9">
              <w:rPr>
                <w:rFonts w:ascii="Times New Roman" w:hAnsi="Times New Roman" w:cs="Times New Roman"/>
                <w:bCs/>
                <w:i/>
                <w:iCs/>
                <w:sz w:val="20"/>
                <w:szCs w:val="20"/>
              </w:rPr>
              <w:t>INFO :</w:t>
            </w:r>
            <w:r w:rsidRPr="00992FC9">
              <w:rPr>
                <w:rFonts w:ascii="Times New Roman" w:eastAsiaTheme="minorEastAsia" w:hAnsi="Times New Roman" w:cs="Times New Roman"/>
                <w:i/>
                <w:iCs/>
                <w:color w:val="0070C0"/>
                <w:kern w:val="24"/>
                <w:sz w:val="20"/>
                <w:szCs w:val="20"/>
                <w:lang w:eastAsia="fr-FR"/>
              </w:rPr>
              <w:t xml:space="preserve"> </w:t>
            </w:r>
            <w:r w:rsidRPr="00992FC9">
              <w:rPr>
                <w:rFonts w:ascii="Times New Roman" w:hAnsi="Times New Roman" w:cs="Times New Roman"/>
                <w:bCs/>
                <w:i/>
                <w:iCs/>
                <w:sz w:val="20"/>
                <w:szCs w:val="20"/>
              </w:rPr>
              <w:t xml:space="preserve">des bannières web à destination de nos clients seront déployées sur notre site dès le 15 octobre. Côté Conseillers, un lien sera également accessible depuis </w:t>
            </w:r>
            <w:proofErr w:type="spellStart"/>
            <w:r w:rsidRPr="00992FC9">
              <w:rPr>
                <w:rFonts w:ascii="Times New Roman" w:hAnsi="Times New Roman" w:cs="Times New Roman"/>
                <w:bCs/>
                <w:i/>
                <w:iCs/>
                <w:sz w:val="20"/>
                <w:szCs w:val="20"/>
              </w:rPr>
              <w:t>MyAssur</w:t>
            </w:r>
            <w:proofErr w:type="spellEnd"/>
            <w:r w:rsidRPr="00992FC9">
              <w:rPr>
                <w:rFonts w:ascii="Times New Roman" w:hAnsi="Times New Roman" w:cs="Times New Roman"/>
                <w:bCs/>
                <w:i/>
                <w:iCs/>
                <w:sz w:val="20"/>
                <w:szCs w:val="20"/>
              </w:rPr>
              <w:t xml:space="preserve"> pour y retrouver le détail de l’opération Mission UC.</w:t>
            </w:r>
          </w:p>
          <w:p w:rsidR="00992FC9" w:rsidRPr="00992FC9" w:rsidRDefault="00992FC9" w:rsidP="00992FC9">
            <w:pPr>
              <w:contextualSpacing/>
              <w:jc w:val="both"/>
              <w:rPr>
                <w:rFonts w:ascii="Times New Roman" w:hAnsi="Times New Roman" w:cs="Times New Roman"/>
                <w:bCs/>
                <w:i/>
                <w:iCs/>
                <w:sz w:val="20"/>
                <w:szCs w:val="20"/>
              </w:rPr>
            </w:pP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u w:val="single"/>
              </w:rPr>
              <w:t>Modalités de versement</w:t>
            </w:r>
            <w:r w:rsidRPr="00992FC9">
              <w:rPr>
                <w:rFonts w:ascii="Times New Roman" w:hAnsi="Times New Roman" w:cs="Times New Roman"/>
                <w:bCs/>
                <w:iCs/>
                <w:sz w:val="20"/>
                <w:szCs w:val="20"/>
              </w:rPr>
              <w:t xml:space="preserve"> :</w:t>
            </w:r>
          </w:p>
          <w:p w:rsidR="00992FC9" w:rsidRPr="00992FC9" w:rsidRDefault="00992FC9" w:rsidP="00992FC9">
            <w:pPr>
              <w:numPr>
                <w:ilvl w:val="1"/>
                <w:numId w:val="31"/>
              </w:numPr>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La </w:t>
            </w:r>
            <w:r w:rsidRPr="00992FC9">
              <w:rPr>
                <w:rFonts w:ascii="Times New Roman" w:hAnsi="Times New Roman" w:cs="Times New Roman"/>
                <w:b/>
                <w:bCs/>
                <w:iCs/>
                <w:sz w:val="20"/>
                <w:szCs w:val="20"/>
              </w:rPr>
              <w:t xml:space="preserve">part du versement investie sur le support en € </w:t>
            </w:r>
            <w:r w:rsidRPr="00992FC9">
              <w:rPr>
                <w:rFonts w:ascii="Times New Roman" w:hAnsi="Times New Roman" w:cs="Times New Roman"/>
                <w:bCs/>
                <w:iCs/>
                <w:sz w:val="20"/>
                <w:szCs w:val="20"/>
              </w:rPr>
              <w:t xml:space="preserve">bénéficiera du </w:t>
            </w:r>
            <w:r w:rsidRPr="00992FC9">
              <w:rPr>
                <w:rFonts w:ascii="Times New Roman" w:hAnsi="Times New Roman" w:cs="Times New Roman"/>
                <w:b/>
                <w:bCs/>
                <w:iCs/>
                <w:sz w:val="20"/>
                <w:szCs w:val="20"/>
              </w:rPr>
              <w:t xml:space="preserve">supplément de rémunération de +0,35% </w:t>
            </w:r>
            <w:r w:rsidRPr="00992FC9">
              <w:rPr>
                <w:rFonts w:ascii="Times New Roman" w:hAnsi="Times New Roman" w:cs="Times New Roman"/>
                <w:bCs/>
                <w:iCs/>
                <w:sz w:val="20"/>
                <w:szCs w:val="20"/>
              </w:rPr>
              <w:t>à</w:t>
            </w:r>
            <w:r w:rsidR="00115FEB">
              <w:rPr>
                <w:rFonts w:ascii="Times New Roman" w:hAnsi="Times New Roman" w:cs="Times New Roman"/>
                <w:bCs/>
                <w:iCs/>
                <w:sz w:val="20"/>
                <w:szCs w:val="20"/>
              </w:rPr>
              <w:t xml:space="preserve"> </w:t>
            </w:r>
            <w:r w:rsidRPr="00992FC9">
              <w:rPr>
                <w:rFonts w:ascii="Times New Roman" w:hAnsi="Times New Roman" w:cs="Times New Roman"/>
                <w:bCs/>
                <w:iCs/>
                <w:sz w:val="20"/>
                <w:szCs w:val="20"/>
              </w:rPr>
              <w:t>celle</w:t>
            </w:r>
            <w:r w:rsidR="00115FEB">
              <w:rPr>
                <w:rFonts w:ascii="Times New Roman" w:hAnsi="Times New Roman" w:cs="Times New Roman"/>
                <w:bCs/>
                <w:iCs/>
                <w:sz w:val="20"/>
                <w:szCs w:val="20"/>
              </w:rPr>
              <w:t xml:space="preserve"> </w:t>
            </w:r>
            <w:r w:rsidRPr="00992FC9">
              <w:rPr>
                <w:rFonts w:ascii="Times New Roman" w:hAnsi="Times New Roman" w:cs="Times New Roman"/>
                <w:bCs/>
                <w:iCs/>
                <w:sz w:val="20"/>
                <w:szCs w:val="20"/>
              </w:rPr>
              <w:t>qui sera attribuée au 31/12/2018 et au 31/12/2019</w:t>
            </w:r>
          </w:p>
          <w:p w:rsidR="00992FC9" w:rsidRPr="00992FC9" w:rsidRDefault="00992FC9" w:rsidP="00992FC9">
            <w:pPr>
              <w:numPr>
                <w:ilvl w:val="1"/>
                <w:numId w:val="31"/>
              </w:numPr>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Ce taux est net de frais sur encours et hors prélèvements fiscaux &amp; sociaux. Il s’apprécie par versement (</w:t>
            </w:r>
            <w:r w:rsidRPr="00992FC9">
              <w:rPr>
                <w:rFonts w:ascii="Times New Roman" w:hAnsi="Times New Roman" w:cs="Times New Roman"/>
                <w:bCs/>
                <w:i/>
                <w:iCs/>
                <w:sz w:val="20"/>
                <w:szCs w:val="20"/>
              </w:rPr>
              <w:t>et non pas par cumul des versements sur la période de l’offre</w:t>
            </w:r>
            <w:r w:rsidRPr="00992FC9">
              <w:rPr>
                <w:rFonts w:ascii="Times New Roman" w:hAnsi="Times New Roman" w:cs="Times New Roman"/>
                <w:bCs/>
                <w:iCs/>
                <w:sz w:val="20"/>
                <w:szCs w:val="20"/>
              </w:rPr>
              <w:t>)</w:t>
            </w:r>
          </w:p>
          <w:p w:rsidR="00992FC9" w:rsidRPr="00992FC9" w:rsidRDefault="00992FC9" w:rsidP="00992FC9">
            <w:pPr>
              <w:numPr>
                <w:ilvl w:val="1"/>
                <w:numId w:val="31"/>
              </w:numPr>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Il s’appliquera </w:t>
            </w:r>
            <w:r w:rsidRPr="00992FC9">
              <w:rPr>
                <w:rFonts w:ascii="Times New Roman" w:hAnsi="Times New Roman" w:cs="Times New Roman"/>
                <w:bCs/>
                <w:i/>
                <w:iCs/>
                <w:sz w:val="20"/>
                <w:szCs w:val="20"/>
              </w:rPr>
              <w:t xml:space="preserve">prorata </w:t>
            </w:r>
            <w:proofErr w:type="spellStart"/>
            <w:r w:rsidRPr="00992FC9">
              <w:rPr>
                <w:rFonts w:ascii="Times New Roman" w:hAnsi="Times New Roman" w:cs="Times New Roman"/>
                <w:bCs/>
                <w:i/>
                <w:iCs/>
                <w:sz w:val="20"/>
                <w:szCs w:val="20"/>
              </w:rPr>
              <w:t>temporis</w:t>
            </w:r>
            <w:proofErr w:type="spellEnd"/>
            <w:r w:rsidRPr="00992FC9">
              <w:rPr>
                <w:rFonts w:ascii="Times New Roman" w:hAnsi="Times New Roman" w:cs="Times New Roman"/>
                <w:bCs/>
                <w:iCs/>
                <w:sz w:val="20"/>
                <w:szCs w:val="20"/>
              </w:rPr>
              <w:t xml:space="preserve"> entre la date d’effet du versement et le 31/12/2018, puis du 01/01/2019 au 31/12/2019, à condition que la part du versement investie sur le support en € soit toujours présente au 31/12 de l’année concernée.</w:t>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u w:val="single"/>
              </w:rPr>
              <w:t>Les cibles « Assurance-vie » du moment auprès desquelles mettre en avant cet accélérateur</w:t>
            </w:r>
            <w:r w:rsidRPr="00992FC9">
              <w:rPr>
                <w:rFonts w:ascii="Times New Roman" w:hAnsi="Times New Roman" w:cs="Times New Roman"/>
                <w:bCs/>
                <w:iCs/>
                <w:sz w:val="20"/>
                <w:szCs w:val="20"/>
              </w:rPr>
              <w:t xml:space="preserve"> :</w:t>
            </w:r>
            <w:r w:rsidRPr="00992FC9">
              <w:rPr>
                <w:rFonts w:ascii="Times New Roman" w:eastAsiaTheme="minorEastAsia" w:hAnsi="Times New Roman" w:cs="Times New Roman"/>
                <w:color w:val="000000"/>
                <w:kern w:val="24"/>
                <w:sz w:val="20"/>
                <w:szCs w:val="20"/>
              </w:rPr>
              <w:t xml:space="preserve"> </w:t>
            </w:r>
            <w:proofErr w:type="spellStart"/>
            <w:r w:rsidRPr="00992FC9">
              <w:rPr>
                <w:rFonts w:ascii="Times New Roman" w:hAnsi="Times New Roman" w:cs="Times New Roman"/>
                <w:bCs/>
                <w:iCs/>
                <w:sz w:val="20"/>
                <w:szCs w:val="20"/>
              </w:rPr>
              <w:t>cf</w:t>
            </w:r>
            <w:proofErr w:type="spellEnd"/>
            <w:r w:rsidRPr="00992FC9">
              <w:rPr>
                <w:rFonts w:ascii="Times New Roman" w:hAnsi="Times New Roman" w:cs="Times New Roman"/>
                <w:bCs/>
                <w:iCs/>
                <w:sz w:val="20"/>
                <w:szCs w:val="20"/>
              </w:rPr>
              <w:t xml:space="preserve"> cibles « épargne » du Book </w:t>
            </w:r>
            <w:proofErr w:type="spellStart"/>
            <w:r w:rsidRPr="00992FC9">
              <w:rPr>
                <w:rFonts w:ascii="Times New Roman" w:hAnsi="Times New Roman" w:cs="Times New Roman"/>
                <w:bCs/>
                <w:iCs/>
                <w:sz w:val="20"/>
                <w:szCs w:val="20"/>
              </w:rPr>
              <w:t>MyGERC</w:t>
            </w:r>
            <w:proofErr w:type="spellEnd"/>
            <w:r w:rsidRPr="00992FC9">
              <w:rPr>
                <w:rFonts w:ascii="Times New Roman" w:hAnsi="Times New Roman" w:cs="Times New Roman"/>
                <w:bCs/>
                <w:iCs/>
                <w:sz w:val="20"/>
                <w:szCs w:val="20"/>
              </w:rPr>
              <w:t xml:space="preserve"> [</w:t>
            </w:r>
            <w:hyperlink r:id="rId18" w:history="1">
              <w:r w:rsidRPr="00992FC9">
                <w:rPr>
                  <w:rStyle w:val="Lienhypertexte"/>
                  <w:rFonts w:ascii="Times New Roman" w:hAnsi="Times New Roman" w:cs="Times New Roman"/>
                  <w:bCs/>
                  <w:iCs/>
                  <w:sz w:val="20"/>
                  <w:szCs w:val="20"/>
                </w:rPr>
                <w:t>clic</w:t>
              </w:r>
            </w:hyperlink>
            <w:r w:rsidRPr="00992FC9">
              <w:rPr>
                <w:rFonts w:ascii="Times New Roman" w:hAnsi="Times New Roman" w:cs="Times New Roman"/>
                <w:bCs/>
                <w:iCs/>
                <w:sz w:val="20"/>
                <w:szCs w:val="20"/>
              </w:rPr>
              <w:t>]</w:t>
            </w:r>
          </w:p>
          <w:p w:rsidR="00992FC9" w:rsidRPr="00992FC9" w:rsidRDefault="00992FC9" w:rsidP="00992FC9">
            <w:pPr>
              <w:ind w:left="720"/>
              <w:contextualSpacing/>
              <w:jc w:val="both"/>
              <w:rPr>
                <w:rFonts w:ascii="Times New Roman" w:hAnsi="Times New Roman" w:cs="Times New Roman"/>
                <w:bCs/>
                <w:iCs/>
                <w:sz w:val="20"/>
                <w:szCs w:val="20"/>
              </w:rPr>
            </w:pP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u w:val="single"/>
              </w:rPr>
              <w:t>Pour joindre l’utile à l’agréable</w:t>
            </w:r>
            <w:r w:rsidRPr="00992FC9">
              <w:rPr>
                <w:rFonts w:ascii="Times New Roman" w:hAnsi="Times New Roman" w:cs="Times New Roman"/>
                <w:bCs/>
                <w:iCs/>
                <w:sz w:val="20"/>
                <w:szCs w:val="20"/>
              </w:rPr>
              <w:t xml:space="preserve"> : la promesse d’attribution de ce complément de rémunération peut aussi être une opportunité pour mettre en avant, sur nos contrats </w:t>
            </w:r>
            <w:proofErr w:type="spellStart"/>
            <w:r w:rsidRPr="00992FC9">
              <w:rPr>
                <w:rFonts w:ascii="Times New Roman" w:hAnsi="Times New Roman" w:cs="Times New Roman"/>
                <w:bCs/>
                <w:iCs/>
                <w:sz w:val="20"/>
                <w:szCs w:val="20"/>
              </w:rPr>
              <w:t>Millevie</w:t>
            </w:r>
            <w:proofErr w:type="spellEnd"/>
            <w:r w:rsidRPr="00992FC9">
              <w:rPr>
                <w:rFonts w:ascii="Times New Roman" w:hAnsi="Times New Roman" w:cs="Times New Roman"/>
                <w:bCs/>
                <w:iCs/>
                <w:sz w:val="20"/>
                <w:szCs w:val="20"/>
              </w:rPr>
              <w:t>, l’une de nos options d’arbitrage automatique, à savoir la « </w:t>
            </w:r>
            <w:r w:rsidRPr="00992FC9">
              <w:rPr>
                <w:rFonts w:ascii="Times New Roman" w:hAnsi="Times New Roman" w:cs="Times New Roman"/>
                <w:b/>
                <w:bCs/>
                <w:iCs/>
                <w:sz w:val="20"/>
                <w:szCs w:val="20"/>
              </w:rPr>
              <w:t>sécurisation des plus-values</w:t>
            </w:r>
            <w:r w:rsidRPr="00992FC9">
              <w:rPr>
                <w:rFonts w:ascii="Times New Roman" w:hAnsi="Times New Roman" w:cs="Times New Roman"/>
                <w:bCs/>
                <w:iCs/>
                <w:sz w:val="20"/>
                <w:szCs w:val="20"/>
              </w:rPr>
              <w:t> »</w:t>
            </w:r>
            <w:r w:rsidRPr="00992FC9">
              <w:rPr>
                <w:rFonts w:ascii="Times New Roman" w:hAnsi="Times New Roman" w:cs="Times New Roman"/>
                <w:bCs/>
                <w:i/>
                <w:iCs/>
                <w:sz w:val="20"/>
                <w:szCs w:val="20"/>
              </w:rPr>
              <w:t xml:space="preserve"> (surtout auprès de clients acceptant d’investir au moins 65% de leurs versements en UC)</w:t>
            </w:r>
          </w:p>
          <w:p w:rsidR="00992FC9" w:rsidRPr="00992FC9" w:rsidRDefault="00992FC9" w:rsidP="00992FC9">
            <w:pPr>
              <w:pStyle w:val="Paragraphedeliste"/>
              <w:jc w:val="both"/>
              <w:rPr>
                <w:rFonts w:ascii="Times New Roman" w:hAnsi="Times New Roman" w:cs="Times New Roman"/>
                <w:bCs/>
                <w:iCs/>
                <w:sz w:val="20"/>
                <w:szCs w:val="20"/>
              </w:rPr>
            </w:pPr>
          </w:p>
          <w:p w:rsidR="00992FC9" w:rsidRPr="00992FC9" w:rsidRDefault="00992FC9" w:rsidP="00992FC9">
            <w:pPr>
              <w:contextualSpacing/>
              <w:jc w:val="both"/>
              <w:rPr>
                <w:rFonts w:ascii="Times New Roman" w:hAnsi="Times New Roman" w:cs="Times New Roman"/>
                <w:bCs/>
                <w:iCs/>
                <w:sz w:val="20"/>
                <w:szCs w:val="20"/>
              </w:rPr>
            </w:pPr>
            <w:r w:rsidRPr="00992FC9">
              <w:rPr>
                <w:rFonts w:ascii="Times New Roman" w:hAnsi="Times New Roman" w:cs="Times New Roman"/>
                <w:bCs/>
                <w:i/>
                <w:iCs/>
                <w:sz w:val="20"/>
                <w:szCs w:val="20"/>
              </w:rPr>
              <w:sym w:font="Wingdings" w:char="F0C4"/>
            </w:r>
            <w:r w:rsidRPr="00992FC9">
              <w:rPr>
                <w:rFonts w:ascii="Times New Roman" w:hAnsi="Times New Roman" w:cs="Times New Roman"/>
                <w:bCs/>
                <w:i/>
                <w:iCs/>
                <w:sz w:val="20"/>
                <w:szCs w:val="20"/>
              </w:rPr>
              <w:t xml:space="preserve"> Exemple : « </w:t>
            </w:r>
            <w:r w:rsidRPr="00992FC9">
              <w:rPr>
                <w:rFonts w:ascii="Times New Roman" w:hAnsi="Times New Roman" w:cs="Times New Roman"/>
                <w:bCs/>
                <w:i/>
                <w:iCs/>
                <w:color w:val="7030A0"/>
                <w:sz w:val="20"/>
                <w:szCs w:val="20"/>
              </w:rPr>
              <w:t xml:space="preserve">ce supplément de rémunération de 0,35%, c’est un peu comme une plus-value que vous sécuriseriez sur le fonds en €. Et que pensez-vous de l’idée de faire </w:t>
            </w:r>
            <w:r w:rsidRPr="00992FC9">
              <w:rPr>
                <w:rFonts w:ascii="Times New Roman" w:hAnsi="Times New Roman" w:cs="Times New Roman"/>
                <w:b/>
                <w:bCs/>
                <w:i/>
                <w:iCs/>
                <w:color w:val="7030A0"/>
                <w:sz w:val="20"/>
                <w:szCs w:val="20"/>
              </w:rPr>
              <w:t>automatiquement</w:t>
            </w:r>
            <w:r w:rsidRPr="00992FC9">
              <w:rPr>
                <w:rFonts w:ascii="Times New Roman" w:hAnsi="Times New Roman" w:cs="Times New Roman"/>
                <w:bCs/>
                <w:i/>
                <w:iCs/>
                <w:color w:val="7030A0"/>
                <w:sz w:val="20"/>
                <w:szCs w:val="20"/>
              </w:rPr>
              <w:t xml:space="preserve"> et </w:t>
            </w:r>
            <w:r w:rsidRPr="00992FC9">
              <w:rPr>
                <w:rFonts w:ascii="Times New Roman" w:hAnsi="Times New Roman" w:cs="Times New Roman"/>
                <w:b/>
                <w:bCs/>
                <w:i/>
                <w:iCs/>
                <w:color w:val="7030A0"/>
                <w:sz w:val="20"/>
                <w:szCs w:val="20"/>
              </w:rPr>
              <w:t xml:space="preserve">gratuitement </w:t>
            </w:r>
            <w:r w:rsidRPr="00992FC9">
              <w:rPr>
                <w:rFonts w:ascii="Times New Roman" w:hAnsi="Times New Roman" w:cs="Times New Roman"/>
                <w:bCs/>
                <w:i/>
                <w:iCs/>
                <w:color w:val="7030A0"/>
                <w:sz w:val="20"/>
                <w:szCs w:val="20"/>
              </w:rPr>
              <w:t xml:space="preserve">de même, sur toutes les autres plus-values que vous pourrez dégager à l’avenir sur votre contrat </w:t>
            </w:r>
            <w:proofErr w:type="spellStart"/>
            <w:r w:rsidRPr="00992FC9">
              <w:rPr>
                <w:rFonts w:ascii="Times New Roman" w:hAnsi="Times New Roman" w:cs="Times New Roman"/>
                <w:bCs/>
                <w:i/>
                <w:iCs/>
                <w:color w:val="7030A0"/>
                <w:sz w:val="20"/>
                <w:szCs w:val="20"/>
              </w:rPr>
              <w:t>Millevie</w:t>
            </w:r>
            <w:proofErr w:type="spellEnd"/>
            <w:r w:rsidRPr="00992FC9">
              <w:rPr>
                <w:rFonts w:ascii="Times New Roman" w:hAnsi="Times New Roman" w:cs="Times New Roman"/>
                <w:bCs/>
                <w:i/>
                <w:iCs/>
                <w:color w:val="7030A0"/>
                <w:sz w:val="20"/>
                <w:szCs w:val="20"/>
              </w:rPr>
              <w:t xml:space="preserve"> ? Avec notre option de sécurisation des plus-values, ce qui est gagné est gagné. </w:t>
            </w:r>
            <w:r w:rsidRPr="00992FC9">
              <w:rPr>
                <w:rFonts w:ascii="Times New Roman" w:hAnsi="Times New Roman" w:cs="Times New Roman"/>
                <w:bCs/>
                <w:i/>
                <w:iCs/>
                <w:sz w:val="20"/>
                <w:szCs w:val="20"/>
              </w:rPr>
              <w:t xml:space="preserve">» </w:t>
            </w:r>
          </w:p>
          <w:p w:rsidR="00992FC9" w:rsidRPr="00992FC9" w:rsidRDefault="00992FC9" w:rsidP="00992FC9">
            <w:pPr>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 </w:t>
            </w:r>
          </w:p>
        </w:tc>
      </w:tr>
      <w:tr w:rsidR="00992FC9" w:rsidRPr="00992FC9" w:rsidTr="00084343">
        <w:trPr>
          <w:trHeight w:val="593"/>
        </w:trPr>
        <w:tc>
          <w:tcPr>
            <w:tcW w:w="1560" w:type="dxa"/>
            <w:tcBorders>
              <w:bottom w:val="single" w:sz="4" w:space="0" w:color="auto"/>
            </w:tcBorders>
            <w:vAlign w:val="center"/>
          </w:tcPr>
          <w:p w:rsidR="00992FC9" w:rsidRPr="00992FC9" w:rsidRDefault="00992FC9" w:rsidP="00C66DB1">
            <w:pPr>
              <w:rPr>
                <w:rFonts w:ascii="Times New Roman" w:hAnsi="Times New Roman" w:cs="Times New Roman"/>
                <w:b/>
                <w:bCs/>
                <w:sz w:val="20"/>
                <w:szCs w:val="20"/>
              </w:rPr>
            </w:pPr>
            <w:r w:rsidRPr="00992FC9">
              <w:rPr>
                <w:rFonts w:ascii="Times New Roman" w:hAnsi="Times New Roman" w:cs="Times New Roman"/>
                <w:b/>
                <w:bCs/>
                <w:sz w:val="20"/>
                <w:szCs w:val="20"/>
              </w:rPr>
              <w:lastRenderedPageBreak/>
              <w:t>Com. DMA</w:t>
            </w:r>
          </w:p>
        </w:tc>
        <w:tc>
          <w:tcPr>
            <w:tcW w:w="1843" w:type="dxa"/>
            <w:tcBorders>
              <w:bottom w:val="single" w:sz="4" w:space="0" w:color="auto"/>
            </w:tcBorders>
            <w:vAlign w:val="center"/>
          </w:tcPr>
          <w:p w:rsidR="00992FC9" w:rsidRPr="00992FC9" w:rsidRDefault="00992FC9" w:rsidP="00C66DB1">
            <w:pPr>
              <w:contextualSpacing/>
              <w:jc w:val="both"/>
              <w:rPr>
                <w:rFonts w:ascii="Times New Roman" w:hAnsi="Times New Roman" w:cs="Times New Roman"/>
                <w:b/>
                <w:bCs/>
                <w:color w:val="000000"/>
                <w:sz w:val="20"/>
                <w:szCs w:val="20"/>
              </w:rPr>
            </w:pPr>
            <w:r w:rsidRPr="00992FC9">
              <w:rPr>
                <w:rFonts w:ascii="Times New Roman" w:hAnsi="Times New Roman" w:cs="Times New Roman"/>
                <w:b/>
                <w:bCs/>
                <w:color w:val="000000"/>
                <w:sz w:val="20"/>
                <w:szCs w:val="20"/>
              </w:rPr>
              <w:t xml:space="preserve">Blocage potentiel d’ouverture de produit éligible </w:t>
            </w:r>
            <w:r w:rsidRPr="00992FC9">
              <w:rPr>
                <w:rFonts w:ascii="Times New Roman" w:hAnsi="Times New Roman" w:cs="Times New Roman"/>
                <w:b/>
                <w:bCs/>
                <w:color w:val="000000"/>
                <w:sz w:val="20"/>
                <w:szCs w:val="20"/>
              </w:rPr>
              <w:lastRenderedPageBreak/>
              <w:t>EAI</w:t>
            </w:r>
          </w:p>
        </w:tc>
        <w:tc>
          <w:tcPr>
            <w:tcW w:w="12332" w:type="dxa"/>
            <w:tcBorders>
              <w:bottom w:val="single" w:sz="4" w:space="0" w:color="auto"/>
            </w:tcBorders>
            <w:shd w:val="clear" w:color="auto" w:fill="auto"/>
            <w:vAlign w:val="center"/>
          </w:tcPr>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u w:val="single"/>
              </w:rPr>
            </w:pPr>
            <w:r w:rsidRPr="00992FC9">
              <w:rPr>
                <w:rFonts w:ascii="Times New Roman" w:hAnsi="Times New Roman" w:cs="Times New Roman"/>
                <w:b/>
                <w:bCs/>
                <w:iCs/>
                <w:sz w:val="20"/>
                <w:szCs w:val="20"/>
                <w:u w:val="single"/>
              </w:rPr>
              <w:lastRenderedPageBreak/>
              <w:t>Rappels :</w:t>
            </w:r>
          </w:p>
          <w:p w:rsidR="00992FC9" w:rsidRPr="00992FC9" w:rsidRDefault="00992FC9" w:rsidP="00992FC9">
            <w:pPr>
              <w:ind w:left="176"/>
              <w:contextualSpacing/>
              <w:jc w:val="both"/>
              <w:rPr>
                <w:rFonts w:ascii="Times New Roman" w:hAnsi="Times New Roman" w:cs="Times New Roman"/>
                <w:bCs/>
                <w:iCs/>
                <w:sz w:val="20"/>
                <w:szCs w:val="20"/>
              </w:rPr>
            </w:pPr>
            <w:r w:rsidRPr="00992FC9">
              <w:rPr>
                <w:rFonts w:ascii="Times New Roman" w:hAnsi="Times New Roman" w:cs="Times New Roman"/>
                <w:b/>
                <w:bCs/>
                <w:iCs/>
                <w:sz w:val="20"/>
                <w:szCs w:val="20"/>
              </w:rPr>
              <w:t xml:space="preserve">L'EAI vise à mieux lutter contre l'évasion fiscale </w:t>
            </w:r>
            <w:r w:rsidRPr="00992FC9">
              <w:rPr>
                <w:rFonts w:ascii="Times New Roman" w:hAnsi="Times New Roman" w:cs="Times New Roman"/>
                <w:bCs/>
                <w:iCs/>
                <w:sz w:val="20"/>
                <w:szCs w:val="20"/>
              </w:rPr>
              <w:t>: son but est d’accroître la transparence fiscale au niveau mondial et de permettre aux gouvernements de réduire les pertes de revenus liées à cette évasion</w:t>
            </w:r>
            <w:r>
              <w:rPr>
                <w:rFonts w:ascii="Times New Roman" w:hAnsi="Times New Roman" w:cs="Times New Roman"/>
                <w:bCs/>
                <w:iCs/>
                <w:sz w:val="20"/>
                <w:szCs w:val="20"/>
              </w:rPr>
              <w:t xml:space="preserve">. </w:t>
            </w:r>
          </w:p>
          <w:p w:rsidR="00992FC9" w:rsidRPr="00992FC9" w:rsidRDefault="00992FC9" w:rsidP="00992FC9">
            <w:pPr>
              <w:ind w:left="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lastRenderedPageBreak/>
              <w:t xml:space="preserve">Elle impose aux institutions financières </w:t>
            </w:r>
            <w:r w:rsidRPr="00992FC9">
              <w:rPr>
                <w:rFonts w:ascii="Times New Roman" w:hAnsi="Times New Roman" w:cs="Times New Roman"/>
                <w:b/>
                <w:bCs/>
                <w:iCs/>
                <w:sz w:val="20"/>
                <w:szCs w:val="20"/>
              </w:rPr>
              <w:t xml:space="preserve">d'identifier la résidence fiscale de leurs clients </w:t>
            </w:r>
            <w:r w:rsidRPr="00992FC9">
              <w:rPr>
                <w:rFonts w:ascii="Times New Roman" w:hAnsi="Times New Roman" w:cs="Times New Roman"/>
                <w:bCs/>
                <w:iCs/>
                <w:sz w:val="20"/>
                <w:szCs w:val="20"/>
              </w:rPr>
              <w:t>et de déclarer annuellement les informations relatives aux comptes financiers</w:t>
            </w:r>
          </w:p>
          <w:p w:rsidR="00992FC9" w:rsidRPr="00992FC9" w:rsidRDefault="00992FC9" w:rsidP="00992FC9">
            <w:pPr>
              <w:ind w:left="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Ainsi, lors de toute nouvelle ouverture d’un nouveau compte et d’un </w:t>
            </w:r>
            <w:hyperlink r:id="rId19" w:history="1">
              <w:r w:rsidRPr="00992FC9">
                <w:rPr>
                  <w:rStyle w:val="Lienhypertexte"/>
                  <w:rFonts w:ascii="Times New Roman" w:hAnsi="Times New Roman" w:cs="Times New Roman"/>
                  <w:bCs/>
                  <w:iCs/>
                  <w:sz w:val="20"/>
                  <w:szCs w:val="20"/>
                  <w:u w:val="none"/>
                </w:rPr>
                <w:t>produit éligible EAI</w:t>
              </w:r>
            </w:hyperlink>
            <w:r w:rsidRPr="00992FC9">
              <w:rPr>
                <w:rFonts w:ascii="Times New Roman" w:hAnsi="Times New Roman" w:cs="Times New Roman"/>
                <w:bCs/>
                <w:iCs/>
                <w:sz w:val="20"/>
                <w:szCs w:val="20"/>
              </w:rPr>
              <w:t xml:space="preserve">, </w:t>
            </w:r>
            <w:r w:rsidRPr="00992FC9">
              <w:rPr>
                <w:rFonts w:ascii="Times New Roman" w:hAnsi="Times New Roman" w:cs="Times New Roman"/>
                <w:b/>
                <w:bCs/>
                <w:iCs/>
                <w:sz w:val="20"/>
                <w:szCs w:val="20"/>
              </w:rPr>
              <w:t>le client doit impérativement renseigner l’auto-certification</w:t>
            </w:r>
            <w:r w:rsidRPr="00992FC9">
              <w:rPr>
                <w:rFonts w:ascii="Times New Roman" w:hAnsi="Times New Roman" w:cs="Times New Roman"/>
                <w:bCs/>
                <w:iCs/>
                <w:sz w:val="20"/>
                <w:szCs w:val="20"/>
              </w:rPr>
              <w:t xml:space="preserve">. </w:t>
            </w:r>
          </w:p>
          <w:p w:rsidR="00992FC9" w:rsidRPr="00992FC9" w:rsidRDefault="00992FC9" w:rsidP="00992FC9">
            <w:pPr>
              <w:ind w:left="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Cette certification a une validité permanente (sauf cas de changement de circonstances)</w:t>
            </w:r>
          </w:p>
          <w:p w:rsidR="00992FC9" w:rsidRPr="00992FC9" w:rsidRDefault="00992FC9" w:rsidP="00992FC9">
            <w:pPr>
              <w:ind w:left="176"/>
              <w:contextualSpacing/>
              <w:jc w:val="both"/>
              <w:rPr>
                <w:rFonts w:ascii="Times New Roman" w:hAnsi="Times New Roman" w:cs="Times New Roman"/>
                <w:bCs/>
                <w:iCs/>
                <w:sz w:val="10"/>
                <w:szCs w:val="20"/>
              </w:rPr>
            </w:pPr>
          </w:p>
          <w:p w:rsidR="00992FC9" w:rsidRPr="00992FC9" w:rsidRDefault="00992FC9" w:rsidP="00992FC9">
            <w:pPr>
              <w:ind w:left="176"/>
              <w:contextualSpacing/>
              <w:jc w:val="both"/>
              <w:rPr>
                <w:rFonts w:ascii="Times New Roman" w:hAnsi="Times New Roman" w:cs="Times New Roman"/>
                <w:bCs/>
                <w:iCs/>
                <w:sz w:val="20"/>
                <w:szCs w:val="20"/>
                <w:u w:val="single"/>
              </w:rPr>
            </w:pPr>
            <w:r w:rsidRPr="00992FC9">
              <w:rPr>
                <w:rFonts w:ascii="Times New Roman" w:hAnsi="Times New Roman" w:cs="Times New Roman"/>
                <w:b/>
                <w:bCs/>
                <w:iCs/>
                <w:sz w:val="20"/>
                <w:szCs w:val="20"/>
                <w:u w:val="single"/>
              </w:rPr>
              <w:t>NOUVEAUTÉ</w:t>
            </w:r>
            <w:r w:rsidRPr="00992FC9">
              <w:rPr>
                <w:rFonts w:ascii="Times New Roman" w:hAnsi="Times New Roman" w:cs="Times New Roman"/>
                <w:b/>
                <w:bCs/>
                <w:iCs/>
                <w:sz w:val="20"/>
                <w:szCs w:val="20"/>
              </w:rPr>
              <w:t> :</w:t>
            </w:r>
            <w:r w:rsidRPr="00992FC9">
              <w:rPr>
                <w:rFonts w:ascii="Times New Roman" w:hAnsi="Times New Roman" w:cs="Times New Roman"/>
                <w:b/>
                <w:bCs/>
                <w:iCs/>
                <w:sz w:val="20"/>
                <w:szCs w:val="20"/>
                <w:u w:val="single"/>
              </w:rPr>
              <w:t xml:space="preserve"> </w:t>
            </w:r>
          </w:p>
          <w:p w:rsidR="00992FC9" w:rsidRPr="00992FC9" w:rsidRDefault="00992FC9" w:rsidP="00992FC9">
            <w:pPr>
              <w:ind w:left="176"/>
              <w:contextualSpacing/>
              <w:jc w:val="both"/>
              <w:rPr>
                <w:rFonts w:ascii="Times New Roman" w:hAnsi="Times New Roman" w:cs="Times New Roman"/>
                <w:bCs/>
                <w:iCs/>
                <w:sz w:val="20"/>
                <w:szCs w:val="20"/>
              </w:rPr>
            </w:pPr>
            <w:r w:rsidRPr="00992FC9">
              <w:rPr>
                <w:rFonts w:ascii="Times New Roman" w:hAnsi="Times New Roman" w:cs="Times New Roman"/>
                <w:b/>
                <w:bCs/>
                <w:iCs/>
                <w:sz w:val="20"/>
                <w:szCs w:val="20"/>
              </w:rPr>
              <w:t>La Loi de Finance du 30/12/2017 a durci la réglementation en interdisant l’ouverture de produits éligibles sans Auto-Certification EAI valide et vraisemblable.</w:t>
            </w:r>
          </w:p>
          <w:p w:rsidR="00992FC9" w:rsidRPr="00992FC9" w:rsidRDefault="00992FC9" w:rsidP="00992FC9">
            <w:pPr>
              <w:ind w:left="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Jusqu’à présent, si le client ne fournissait pas d’auto-certification, il était relancé automatiquement par courrier mais l’ouverture du produit pouvait tout de même être finalisée. Mais ça, c’était avant.</w:t>
            </w:r>
          </w:p>
          <w:p w:rsidR="00992FC9" w:rsidRPr="00992FC9" w:rsidRDefault="00992FC9" w:rsidP="00992FC9">
            <w:pPr>
              <w:ind w:left="720"/>
              <w:contextualSpacing/>
              <w:jc w:val="both"/>
              <w:rPr>
                <w:rFonts w:ascii="Times New Roman" w:hAnsi="Times New Roman" w:cs="Times New Roman"/>
                <w:bCs/>
                <w:iCs/>
                <w:sz w:val="20"/>
                <w:szCs w:val="20"/>
                <w:u w:val="single"/>
              </w:rPr>
            </w:pPr>
          </w:p>
          <w:p w:rsidR="00992FC9" w:rsidRPr="00992FC9" w:rsidRDefault="00992FC9" w:rsidP="00992FC9">
            <w:pPr>
              <w:numPr>
                <w:ilvl w:val="0"/>
                <w:numId w:val="32"/>
              </w:numPr>
              <w:contextualSpacing/>
              <w:jc w:val="both"/>
              <w:rPr>
                <w:rFonts w:ascii="Times New Roman" w:hAnsi="Times New Roman" w:cs="Times New Roman"/>
                <w:bCs/>
                <w:iCs/>
                <w:sz w:val="20"/>
                <w:szCs w:val="20"/>
                <w:u w:val="single"/>
              </w:rPr>
            </w:pPr>
            <w:r w:rsidRPr="00992FC9">
              <w:rPr>
                <w:rFonts w:ascii="Times New Roman" w:hAnsi="Times New Roman" w:cs="Times New Roman"/>
                <w:b/>
                <w:bCs/>
                <w:iCs/>
                <w:sz w:val="20"/>
                <w:szCs w:val="20"/>
                <w:u w:val="single"/>
              </w:rPr>
              <w:t>A compter du 15 octobre 2018, tant que l’auto-certification n’aura pas été remplie, l’écran d’ouverture/souscription de produit ne sera pas affiché et l’offre ne sera pas contractualisée</w:t>
            </w:r>
            <w:r w:rsidRPr="00992FC9">
              <w:rPr>
                <w:rFonts w:ascii="Times New Roman" w:hAnsi="Times New Roman" w:cs="Times New Roman"/>
                <w:b/>
                <w:bCs/>
                <w:i/>
                <w:iCs/>
                <w:sz w:val="20"/>
                <w:szCs w:val="20"/>
                <w:u w:val="single"/>
              </w:rPr>
              <w:t>.</w:t>
            </w:r>
          </w:p>
          <w:p w:rsidR="00992FC9" w:rsidRPr="00992FC9" w:rsidRDefault="00992FC9" w:rsidP="00992FC9">
            <w:pPr>
              <w:ind w:left="720"/>
              <w:contextualSpacing/>
              <w:jc w:val="both"/>
              <w:rPr>
                <w:rFonts w:ascii="Times New Roman" w:hAnsi="Times New Roman" w:cs="Times New Roman"/>
                <w:bCs/>
                <w:iCs/>
                <w:sz w:val="12"/>
                <w:szCs w:val="20"/>
                <w:u w:val="single"/>
              </w:rPr>
            </w:pPr>
          </w:p>
          <w:p w:rsidR="00992FC9" w:rsidRPr="00992FC9" w:rsidRDefault="00992FC9" w:rsidP="00992FC9">
            <w:pPr>
              <w:numPr>
                <w:ilvl w:val="0"/>
                <w:numId w:val="32"/>
              </w:numPr>
              <w:contextualSpacing/>
              <w:jc w:val="both"/>
              <w:rPr>
                <w:rFonts w:ascii="Times New Roman" w:hAnsi="Times New Roman" w:cs="Times New Roman"/>
                <w:bCs/>
                <w:iCs/>
                <w:sz w:val="20"/>
                <w:szCs w:val="20"/>
                <w:u w:val="single"/>
              </w:rPr>
            </w:pPr>
            <w:r w:rsidRPr="00992FC9">
              <w:rPr>
                <w:rFonts w:ascii="Times New Roman" w:hAnsi="Times New Roman" w:cs="Times New Roman"/>
                <w:bCs/>
                <w:iCs/>
                <w:sz w:val="20"/>
                <w:szCs w:val="20"/>
              </w:rPr>
              <w:t xml:space="preserve">Les évolutions ci-après concernent tous les clients, nouveaux ou en stock. </w:t>
            </w:r>
          </w:p>
          <w:p w:rsidR="00992FC9" w:rsidRPr="00992FC9" w:rsidRDefault="00992FC9" w:rsidP="00992FC9">
            <w:pPr>
              <w:pStyle w:val="Paragraphedeliste"/>
              <w:jc w:val="both"/>
              <w:rPr>
                <w:rFonts w:ascii="Times New Roman" w:hAnsi="Times New Roman" w:cs="Times New Roman"/>
                <w:bCs/>
                <w:iCs/>
                <w:sz w:val="20"/>
                <w:szCs w:val="20"/>
                <w:u w:val="single"/>
              </w:rPr>
            </w:pP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
                <w:bCs/>
                <w:iCs/>
                <w:sz w:val="20"/>
                <w:szCs w:val="20"/>
              </w:rPr>
              <w:t xml:space="preserve">EVOLUTION N°1 : </w:t>
            </w:r>
            <w:r w:rsidRPr="00992FC9">
              <w:rPr>
                <w:rFonts w:ascii="Times New Roman" w:hAnsi="Times New Roman" w:cs="Times New Roman"/>
                <w:bCs/>
                <w:iCs/>
                <w:sz w:val="20"/>
                <w:szCs w:val="20"/>
              </w:rPr>
              <w:t>une nouvelle fenêtre apparaitra à l’écran lors de la souscription d’un produit éligible</w:t>
            </w:r>
          </w:p>
          <w:p w:rsidR="00992FC9" w:rsidRPr="00992FC9" w:rsidRDefault="00992FC9" w:rsidP="00992FC9">
            <w:pPr>
              <w:pStyle w:val="Paragraphedeliste"/>
              <w:ind w:left="547"/>
              <w:jc w:val="both"/>
              <w:rPr>
                <w:rFonts w:ascii="Times New Roman" w:hAnsi="Times New Roman" w:cs="Times New Roman"/>
                <w:bCs/>
                <w:iCs/>
                <w:sz w:val="20"/>
                <w:szCs w:val="20"/>
              </w:rPr>
            </w:pPr>
            <w:r w:rsidRPr="00992FC9">
              <w:rPr>
                <w:rFonts w:ascii="Times New Roman" w:hAnsi="Times New Roman" w:cs="Times New Roman"/>
                <w:bCs/>
                <w:iCs/>
                <w:noProof/>
                <w:sz w:val="20"/>
                <w:szCs w:val="20"/>
                <w:lang w:eastAsia="fr-FR"/>
              </w:rPr>
              <w:drawing>
                <wp:inline distT="0" distB="0" distL="0" distR="0" wp14:anchorId="54F43553" wp14:editId="37AE8C6A">
                  <wp:extent cx="2383427" cy="898497"/>
                  <wp:effectExtent l="0" t="0" r="0" b="0"/>
                  <wp:docPr id="4" name="Image 17"/>
                  <wp:cNvGraphicFramePr/>
                  <a:graphic xmlns:a="http://schemas.openxmlformats.org/drawingml/2006/main">
                    <a:graphicData uri="http://schemas.openxmlformats.org/drawingml/2006/picture">
                      <pic:pic xmlns:pic="http://schemas.openxmlformats.org/drawingml/2006/picture">
                        <pic:nvPicPr>
                          <pic:cNvPr id="18" name="Image 17"/>
                          <pic:cNvPicPr/>
                        </pic:nvPicPr>
                        <pic:blipFill>
                          <a:blip r:embed="rId20">
                            <a:extLst>
                              <a:ext uri="{28A0092B-C50C-407E-A947-70E740481C1C}">
                                <a14:useLocalDpi xmlns:a14="http://schemas.microsoft.com/office/drawing/2010/main" val="0"/>
                              </a:ext>
                            </a:extLst>
                          </a:blip>
                          <a:srcRect l="36237" t="39217" r="35719" b="40056"/>
                          <a:stretch>
                            <a:fillRect/>
                          </a:stretch>
                        </pic:blipFill>
                        <pic:spPr bwMode="auto">
                          <a:xfrm>
                            <a:off x="0" y="0"/>
                            <a:ext cx="2386843" cy="899785"/>
                          </a:xfrm>
                          <a:prstGeom prst="rect">
                            <a:avLst/>
                          </a:prstGeom>
                          <a:noFill/>
                          <a:ln>
                            <a:noFill/>
                          </a:ln>
                        </pic:spPr>
                      </pic:pic>
                    </a:graphicData>
                  </a:graphic>
                </wp:inline>
              </w:drawing>
            </w:r>
          </w:p>
          <w:p w:rsidR="00992FC9" w:rsidRPr="00992FC9" w:rsidRDefault="00992FC9" w:rsidP="00992FC9">
            <w:pPr>
              <w:pStyle w:val="Paragraphedeliste"/>
              <w:ind w:left="386"/>
              <w:jc w:val="both"/>
              <w:rPr>
                <w:rFonts w:ascii="Times New Roman" w:hAnsi="Times New Roman" w:cs="Times New Roman"/>
                <w:bCs/>
                <w:iCs/>
                <w:sz w:val="20"/>
                <w:szCs w:val="20"/>
              </w:rPr>
            </w:pPr>
            <w:r w:rsidRPr="00992FC9">
              <w:rPr>
                <w:rFonts w:ascii="Times New Roman" w:hAnsi="Times New Roman" w:cs="Times New Roman"/>
                <w:b/>
                <w:bCs/>
                <w:iCs/>
                <w:sz w:val="20"/>
                <w:szCs w:val="20"/>
              </w:rPr>
              <w:t xml:space="preserve">OK = Continuer </w:t>
            </w:r>
            <w:r w:rsidRPr="00992FC9">
              <w:rPr>
                <w:rFonts w:ascii="Times New Roman" w:hAnsi="Times New Roman" w:cs="Times New Roman"/>
                <w:b/>
                <w:bCs/>
                <w:iCs/>
                <w:sz w:val="20"/>
                <w:szCs w:val="20"/>
              </w:rPr>
              <w:sym w:font="Wingdings" w:char="F0E0"/>
            </w:r>
            <w:r w:rsidRPr="00992FC9">
              <w:rPr>
                <w:rFonts w:ascii="Times New Roman" w:hAnsi="Times New Roman" w:cs="Times New Roman"/>
                <w:b/>
                <w:bCs/>
                <w:iCs/>
                <w:sz w:val="20"/>
                <w:szCs w:val="20"/>
              </w:rPr>
              <w:t xml:space="preserve"> </w:t>
            </w:r>
            <w:r w:rsidRPr="00992FC9">
              <w:rPr>
                <w:rFonts w:ascii="Times New Roman" w:hAnsi="Times New Roman" w:cs="Times New Roman"/>
                <w:bCs/>
                <w:iCs/>
                <w:sz w:val="20"/>
                <w:szCs w:val="20"/>
              </w:rPr>
              <w:t>Le conseiller renseigne, valide, imprime et numérise une auto-certification par titulaire</w:t>
            </w:r>
            <w:r w:rsidR="00115FEB">
              <w:rPr>
                <w:rFonts w:ascii="Times New Roman" w:hAnsi="Times New Roman" w:cs="Times New Roman"/>
                <w:bCs/>
                <w:iCs/>
                <w:sz w:val="20"/>
                <w:szCs w:val="20"/>
              </w:rPr>
              <w:t xml:space="preserve"> </w:t>
            </w:r>
          </w:p>
          <w:p w:rsidR="00992FC9" w:rsidRPr="00992FC9" w:rsidRDefault="00992FC9" w:rsidP="00992FC9">
            <w:pPr>
              <w:pStyle w:val="Paragraphedeliste"/>
              <w:ind w:left="225"/>
              <w:jc w:val="both"/>
              <w:rPr>
                <w:rFonts w:ascii="Times New Roman" w:hAnsi="Times New Roman" w:cs="Times New Roman"/>
                <w:bCs/>
                <w:i/>
                <w:iCs/>
                <w:sz w:val="20"/>
                <w:szCs w:val="20"/>
              </w:rPr>
            </w:pPr>
            <w:r w:rsidRPr="00992FC9">
              <w:rPr>
                <w:rFonts w:ascii="Times New Roman" w:hAnsi="Times New Roman" w:cs="Times New Roman"/>
                <w:bCs/>
                <w:iCs/>
                <w:sz w:val="20"/>
                <w:szCs w:val="20"/>
              </w:rPr>
              <w:t xml:space="preserve">Emplacement dans Classeur client : </w:t>
            </w:r>
            <w:r w:rsidRPr="00992FC9">
              <w:rPr>
                <w:rFonts w:ascii="Times New Roman" w:hAnsi="Times New Roman" w:cs="Times New Roman"/>
                <w:bCs/>
                <w:i/>
                <w:iCs/>
                <w:sz w:val="20"/>
                <w:szCs w:val="20"/>
              </w:rPr>
              <w:t>« Connaissance Client » &gt; « Ouverture auto-certification EAI et NIF »</w:t>
            </w:r>
          </w:p>
          <w:p w:rsidR="00992FC9" w:rsidRPr="00992FC9" w:rsidRDefault="00992FC9" w:rsidP="00992FC9">
            <w:pPr>
              <w:pStyle w:val="Paragraphedeliste"/>
              <w:ind w:left="225"/>
              <w:jc w:val="both"/>
              <w:rPr>
                <w:rFonts w:ascii="Times New Roman" w:hAnsi="Times New Roman" w:cs="Times New Roman"/>
                <w:bCs/>
                <w:i/>
                <w:iCs/>
                <w:sz w:val="20"/>
                <w:szCs w:val="20"/>
              </w:rPr>
            </w:pPr>
          </w:p>
          <w:p w:rsidR="00992FC9" w:rsidRPr="00992FC9" w:rsidRDefault="00992FC9" w:rsidP="00992FC9">
            <w:pPr>
              <w:pStyle w:val="Paragraphedeliste"/>
              <w:ind w:left="386"/>
              <w:jc w:val="both"/>
              <w:rPr>
                <w:rFonts w:ascii="Times New Roman" w:hAnsi="Times New Roman" w:cs="Times New Roman"/>
                <w:bCs/>
                <w:iCs/>
                <w:sz w:val="20"/>
                <w:szCs w:val="20"/>
              </w:rPr>
            </w:pPr>
            <w:r w:rsidRPr="00992FC9">
              <w:rPr>
                <w:rFonts w:ascii="Times New Roman" w:hAnsi="Times New Roman" w:cs="Times New Roman"/>
                <w:b/>
                <w:bCs/>
                <w:iCs/>
                <w:sz w:val="20"/>
                <w:szCs w:val="20"/>
              </w:rPr>
              <w:t xml:space="preserve">Annuler = Abandonner </w:t>
            </w:r>
            <w:r w:rsidRPr="00992FC9">
              <w:rPr>
                <w:rFonts w:ascii="Times New Roman" w:hAnsi="Times New Roman" w:cs="Times New Roman"/>
                <w:bCs/>
                <w:iCs/>
                <w:sz w:val="20"/>
                <w:szCs w:val="20"/>
              </w:rPr>
              <w:t xml:space="preserve">le processus d’ouverture/souscription dans son intégralité, en revenant sur l’écran d’accueil client (synthèse client ou menu </w:t>
            </w:r>
            <w:proofErr w:type="spellStart"/>
            <w:r w:rsidRPr="00992FC9">
              <w:rPr>
                <w:rFonts w:ascii="Times New Roman" w:hAnsi="Times New Roman" w:cs="Times New Roman"/>
                <w:bCs/>
                <w:iCs/>
                <w:sz w:val="20"/>
                <w:szCs w:val="20"/>
              </w:rPr>
              <w:t>MyWay</w:t>
            </w:r>
            <w:proofErr w:type="spellEnd"/>
            <w:r w:rsidRPr="00992FC9">
              <w:rPr>
                <w:rFonts w:ascii="Times New Roman" w:hAnsi="Times New Roman" w:cs="Times New Roman"/>
                <w:bCs/>
                <w:iCs/>
                <w:sz w:val="20"/>
                <w:szCs w:val="20"/>
              </w:rPr>
              <w:t>).</w:t>
            </w:r>
          </w:p>
          <w:p w:rsidR="00992FC9" w:rsidRPr="00992FC9" w:rsidRDefault="00992FC9" w:rsidP="00992FC9">
            <w:pPr>
              <w:pStyle w:val="Paragraphedeliste"/>
              <w:ind w:left="547"/>
              <w:jc w:val="both"/>
              <w:rPr>
                <w:rFonts w:ascii="Times New Roman" w:hAnsi="Times New Roman" w:cs="Times New Roman"/>
                <w:bCs/>
                <w:iCs/>
                <w:sz w:val="10"/>
                <w:szCs w:val="20"/>
              </w:rPr>
            </w:pP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
                <w:bCs/>
                <w:iCs/>
                <w:sz w:val="20"/>
                <w:szCs w:val="20"/>
              </w:rPr>
              <w:t xml:space="preserve">EVOLUTION N°2 : </w:t>
            </w:r>
            <w:r w:rsidRPr="00992FC9">
              <w:rPr>
                <w:rFonts w:ascii="Times New Roman" w:hAnsi="Times New Roman" w:cs="Times New Roman"/>
                <w:bCs/>
                <w:iCs/>
                <w:sz w:val="20"/>
                <w:szCs w:val="20"/>
              </w:rPr>
              <w:t>pour les clients dont le statut de l’auto-certification est « à remédier</w:t>
            </w:r>
            <w:r w:rsidRPr="00992FC9">
              <w:rPr>
                <w:rFonts w:ascii="Times New Roman" w:hAnsi="Times New Roman" w:cs="Times New Roman"/>
                <w:b/>
                <w:bCs/>
                <w:iCs/>
                <w:sz w:val="20"/>
                <w:szCs w:val="20"/>
              </w:rPr>
              <w:t>*</w:t>
            </w:r>
            <w:r w:rsidRPr="00992FC9">
              <w:rPr>
                <w:rFonts w:ascii="Times New Roman" w:hAnsi="Times New Roman" w:cs="Times New Roman"/>
                <w:bCs/>
                <w:iCs/>
                <w:sz w:val="20"/>
                <w:szCs w:val="20"/>
              </w:rPr>
              <w:t> », l’ouverture d’un nouveau produit éligible EAI ne sera pas possible tant que le processus n’aura pas été finalisé.</w:t>
            </w:r>
          </w:p>
          <w:p w:rsidR="00992FC9" w:rsidRPr="00992FC9" w:rsidRDefault="00992FC9" w:rsidP="00992FC9">
            <w:pPr>
              <w:pStyle w:val="Paragraphedeliste"/>
              <w:ind w:left="176"/>
              <w:jc w:val="both"/>
              <w:rPr>
                <w:rFonts w:ascii="Times New Roman" w:hAnsi="Times New Roman" w:cs="Times New Roman"/>
                <w:bCs/>
                <w:iCs/>
                <w:sz w:val="20"/>
                <w:szCs w:val="20"/>
              </w:rPr>
            </w:pPr>
            <w:r w:rsidRPr="00992FC9">
              <w:rPr>
                <w:rFonts w:ascii="Times New Roman" w:hAnsi="Times New Roman" w:cs="Times New Roman"/>
                <w:bCs/>
                <w:i/>
                <w:iCs/>
                <w:sz w:val="20"/>
                <w:szCs w:val="20"/>
              </w:rPr>
              <w:t>* une auto-certification « à remédier » est incomplète ou absente, non-vraisemblable ou invalide. A noter que les clients qui ne remplissent pas l’auto-certification s’exposent à une amende de 1500€ (+ pénalité de 200€ pour la CEGEE)</w:t>
            </w:r>
          </w:p>
          <w:p w:rsidR="00992FC9" w:rsidRPr="00992FC9" w:rsidRDefault="00992FC9" w:rsidP="00992FC9">
            <w:pPr>
              <w:pStyle w:val="Paragraphedeliste"/>
              <w:ind w:left="547"/>
              <w:jc w:val="both"/>
              <w:rPr>
                <w:rFonts w:ascii="Times New Roman" w:hAnsi="Times New Roman" w:cs="Times New Roman"/>
                <w:bCs/>
                <w:iCs/>
                <w:sz w:val="20"/>
                <w:szCs w:val="20"/>
              </w:rPr>
            </w:pPr>
          </w:p>
          <w:p w:rsidR="00992FC9" w:rsidRPr="00992FC9" w:rsidRDefault="00992FC9" w:rsidP="00992FC9">
            <w:pPr>
              <w:pStyle w:val="Paragraphedeliste"/>
              <w:ind w:left="547"/>
              <w:jc w:val="both"/>
              <w:rPr>
                <w:rFonts w:ascii="Times New Roman" w:hAnsi="Times New Roman" w:cs="Times New Roman"/>
                <w:bCs/>
                <w:iCs/>
                <w:sz w:val="20"/>
                <w:szCs w:val="20"/>
              </w:rPr>
            </w:pPr>
            <w:r w:rsidRPr="00992FC9">
              <w:rPr>
                <w:rFonts w:ascii="Times New Roman" w:hAnsi="Times New Roman" w:cs="Times New Roman"/>
                <w:b/>
                <w:bCs/>
                <w:iCs/>
                <w:sz w:val="20"/>
                <w:szCs w:val="20"/>
              </w:rPr>
              <w:t>PROCESS A SUIVRE FACE A UNE AUTO-CERTIFICATION « A REMEDIER » :</w:t>
            </w:r>
          </w:p>
          <w:p w:rsidR="00992FC9" w:rsidRPr="00992FC9" w:rsidRDefault="00992FC9" w:rsidP="00992FC9">
            <w:pPr>
              <w:pStyle w:val="Paragraphedeliste"/>
              <w:numPr>
                <w:ilvl w:val="0"/>
                <w:numId w:val="33"/>
              </w:numPr>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En phase de préparation de RDV avec le client, vous pouvez identifier si le client affiche un statut « à remédier » </w:t>
            </w:r>
            <w:r w:rsidRPr="00992FC9">
              <w:rPr>
                <w:rFonts w:ascii="Times New Roman" w:hAnsi="Times New Roman" w:cs="Times New Roman"/>
                <w:bCs/>
                <w:iCs/>
                <w:sz w:val="20"/>
                <w:szCs w:val="20"/>
              </w:rPr>
              <w:sym w:font="Wingdings" w:char="F0E0"/>
            </w:r>
            <w:r w:rsidRPr="00992FC9">
              <w:rPr>
                <w:rFonts w:ascii="Times New Roman" w:hAnsi="Times New Roman" w:cs="Times New Roman"/>
                <w:bCs/>
                <w:iCs/>
                <w:sz w:val="20"/>
                <w:szCs w:val="20"/>
              </w:rPr>
              <w:t xml:space="preserve"> vérifiez son statut dans </w:t>
            </w:r>
            <w:r w:rsidRPr="00992FC9">
              <w:rPr>
                <w:rFonts w:ascii="Times New Roman" w:hAnsi="Times New Roman" w:cs="Times New Roman"/>
                <w:b/>
                <w:bCs/>
                <w:iCs/>
                <w:sz w:val="20"/>
                <w:szCs w:val="20"/>
              </w:rPr>
              <w:t>Gestion Personne &gt; Gestion EAI</w:t>
            </w:r>
          </w:p>
          <w:p w:rsidR="00992FC9" w:rsidRPr="00992FC9" w:rsidRDefault="00992FC9" w:rsidP="00992FC9">
            <w:pPr>
              <w:pStyle w:val="Paragraphedeliste"/>
              <w:numPr>
                <w:ilvl w:val="0"/>
                <w:numId w:val="33"/>
              </w:numPr>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Si le statut est « à remédier » contactez la </w:t>
            </w:r>
            <w:hyperlink r:id="rId21" w:history="1">
              <w:r w:rsidRPr="00992FC9">
                <w:rPr>
                  <w:rStyle w:val="Lienhypertexte"/>
                  <w:rFonts w:ascii="Times New Roman" w:hAnsi="Times New Roman" w:cs="Times New Roman"/>
                  <w:bCs/>
                  <w:iCs/>
                  <w:sz w:val="20"/>
                  <w:szCs w:val="20"/>
                </w:rPr>
                <w:t>BG-513-DSB-TITRES-BOURSE@celca.caisse-epargne.fr</w:t>
              </w:r>
            </w:hyperlink>
            <w:r w:rsidR="00115FEB">
              <w:rPr>
                <w:rFonts w:ascii="Times New Roman" w:hAnsi="Times New Roman" w:cs="Times New Roman"/>
                <w:bCs/>
                <w:iCs/>
                <w:sz w:val="20"/>
                <w:szCs w:val="20"/>
                <w:u w:val="single"/>
              </w:rPr>
              <w:t xml:space="preserve"> </w:t>
            </w:r>
            <w:r w:rsidRPr="00992FC9">
              <w:rPr>
                <w:rFonts w:ascii="Times New Roman" w:hAnsi="Times New Roman" w:cs="Times New Roman"/>
                <w:bCs/>
                <w:iCs/>
                <w:sz w:val="20"/>
                <w:szCs w:val="20"/>
              </w:rPr>
              <w:t>(Direction Solutions Clients, Collecte et Placement, adresse valable pour les territoires Alsace et LCA) pour qu’une personne habilitée active le statut « </w:t>
            </w:r>
            <w:r w:rsidRPr="00992FC9">
              <w:rPr>
                <w:rFonts w:ascii="Times New Roman" w:hAnsi="Times New Roman" w:cs="Times New Roman"/>
                <w:b/>
                <w:bCs/>
                <w:iCs/>
                <w:sz w:val="20"/>
                <w:szCs w:val="20"/>
              </w:rPr>
              <w:t>AC Validée remédiée </w:t>
            </w:r>
            <w:r w:rsidRPr="00992FC9">
              <w:rPr>
                <w:rFonts w:ascii="Times New Roman" w:hAnsi="Times New Roman" w:cs="Times New Roman"/>
                <w:bCs/>
                <w:iCs/>
                <w:sz w:val="20"/>
                <w:szCs w:val="20"/>
              </w:rPr>
              <w:t>»</w:t>
            </w:r>
            <w:r w:rsidR="00115FEB">
              <w:rPr>
                <w:rFonts w:ascii="Times New Roman" w:hAnsi="Times New Roman" w:cs="Times New Roman"/>
                <w:bCs/>
                <w:iCs/>
                <w:sz w:val="20"/>
                <w:szCs w:val="20"/>
              </w:rPr>
              <w:t xml:space="preserve"> </w:t>
            </w:r>
            <w:r w:rsidRPr="00992FC9">
              <w:rPr>
                <w:rFonts w:ascii="Times New Roman" w:hAnsi="Times New Roman" w:cs="Times New Roman"/>
                <w:bCs/>
                <w:iCs/>
                <w:sz w:val="20"/>
                <w:szCs w:val="20"/>
              </w:rPr>
              <w:t>et recueille éventuellement les pièces manquantes.</w:t>
            </w:r>
          </w:p>
          <w:p w:rsidR="00992FC9" w:rsidRPr="00992FC9" w:rsidRDefault="00992FC9" w:rsidP="00992FC9">
            <w:pPr>
              <w:pStyle w:val="Paragraphedeliste"/>
              <w:numPr>
                <w:ilvl w:val="0"/>
                <w:numId w:val="33"/>
              </w:numPr>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Vous pouvez procéder à l’ouverture du produit. </w:t>
            </w:r>
          </w:p>
          <w:p w:rsidR="00992FC9" w:rsidRPr="00992FC9" w:rsidRDefault="00992FC9" w:rsidP="00992FC9">
            <w:pPr>
              <w:pStyle w:val="Paragraphedeliste"/>
              <w:ind w:left="547"/>
              <w:jc w:val="both"/>
              <w:rPr>
                <w:rFonts w:ascii="Times New Roman" w:hAnsi="Times New Roman" w:cs="Times New Roman"/>
                <w:b/>
                <w:bCs/>
                <w:iCs/>
                <w:sz w:val="20"/>
                <w:szCs w:val="20"/>
                <w:u w:val="single"/>
              </w:rPr>
            </w:pP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
                <w:bCs/>
                <w:iCs/>
                <w:sz w:val="20"/>
                <w:szCs w:val="20"/>
              </w:rPr>
              <w:t xml:space="preserve">EVOLUTION N°3 : </w:t>
            </w:r>
            <w:r w:rsidRPr="00992FC9">
              <w:rPr>
                <w:rFonts w:ascii="Times New Roman" w:hAnsi="Times New Roman" w:cs="Times New Roman"/>
                <w:bCs/>
                <w:iCs/>
                <w:sz w:val="20"/>
                <w:szCs w:val="20"/>
              </w:rPr>
              <w:t>création d’une nouvelle rubrique « </w:t>
            </w:r>
            <w:r w:rsidRPr="00992FC9">
              <w:rPr>
                <w:rFonts w:ascii="Times New Roman" w:hAnsi="Times New Roman" w:cs="Times New Roman"/>
                <w:b/>
                <w:bCs/>
                <w:iCs/>
                <w:sz w:val="20"/>
                <w:szCs w:val="20"/>
              </w:rPr>
              <w:t>Justificatif NIF</w:t>
            </w:r>
            <w:r w:rsidRPr="00992FC9">
              <w:rPr>
                <w:rFonts w:ascii="Times New Roman" w:hAnsi="Times New Roman" w:cs="Times New Roman"/>
                <w:bCs/>
                <w:iCs/>
                <w:sz w:val="20"/>
                <w:szCs w:val="20"/>
              </w:rPr>
              <w:t xml:space="preserve"> » dans le </w:t>
            </w:r>
            <w:r w:rsidRPr="00992FC9">
              <w:rPr>
                <w:rFonts w:ascii="Times New Roman" w:hAnsi="Times New Roman" w:cs="Times New Roman"/>
                <w:b/>
                <w:bCs/>
                <w:iCs/>
                <w:sz w:val="20"/>
                <w:szCs w:val="20"/>
              </w:rPr>
              <w:t>Classeur Client</w:t>
            </w:r>
          </w:p>
          <w:p w:rsidR="00992FC9" w:rsidRPr="00992FC9" w:rsidRDefault="00992FC9" w:rsidP="00992FC9">
            <w:pPr>
              <w:pStyle w:val="Paragraphedeliste"/>
              <w:numPr>
                <w:ilvl w:val="0"/>
                <w:numId w:val="34"/>
              </w:numPr>
              <w:jc w:val="both"/>
              <w:rPr>
                <w:rFonts w:ascii="Times New Roman" w:hAnsi="Times New Roman" w:cs="Times New Roman"/>
                <w:bCs/>
                <w:iCs/>
                <w:sz w:val="20"/>
                <w:szCs w:val="20"/>
              </w:rPr>
            </w:pPr>
            <w:r w:rsidRPr="00992FC9">
              <w:rPr>
                <w:rFonts w:ascii="Times New Roman" w:hAnsi="Times New Roman" w:cs="Times New Roman"/>
                <w:bCs/>
                <w:iCs/>
                <w:sz w:val="20"/>
                <w:szCs w:val="20"/>
              </w:rPr>
              <w:t>Une rubrique dédiée a été créée pour numériser les documents justificatifs NIF</w:t>
            </w:r>
          </w:p>
          <w:p w:rsidR="00992FC9" w:rsidRPr="00992FC9" w:rsidRDefault="00992FC9" w:rsidP="00992FC9">
            <w:pPr>
              <w:pStyle w:val="Paragraphedeliste"/>
              <w:numPr>
                <w:ilvl w:val="0"/>
                <w:numId w:val="34"/>
              </w:numPr>
              <w:jc w:val="both"/>
              <w:rPr>
                <w:rFonts w:ascii="Times New Roman" w:hAnsi="Times New Roman" w:cs="Times New Roman"/>
                <w:bCs/>
                <w:iCs/>
                <w:sz w:val="20"/>
                <w:szCs w:val="20"/>
              </w:rPr>
            </w:pPr>
            <w:r w:rsidRPr="00992FC9">
              <w:rPr>
                <w:rFonts w:ascii="Times New Roman" w:hAnsi="Times New Roman" w:cs="Times New Roman"/>
                <w:bCs/>
                <w:iCs/>
                <w:sz w:val="20"/>
                <w:szCs w:val="20"/>
              </w:rPr>
              <w:t xml:space="preserve">Le type de justificatif à collecter varie selon les pays. </w:t>
            </w:r>
            <w:r w:rsidRPr="00992FC9">
              <w:rPr>
                <w:rFonts w:ascii="Times New Roman" w:hAnsi="Times New Roman" w:cs="Times New Roman"/>
                <w:bCs/>
                <w:i/>
                <w:iCs/>
                <w:sz w:val="20"/>
                <w:szCs w:val="20"/>
              </w:rPr>
              <w:t xml:space="preserve">Ex : carte de sécurité sociale pour les Belges et les Luxembourgeois, carte d’assurance-maladie pour les Italiens, etc. La liste des justificatifs est disponible dans la Rubrique des Commerciaux ou en </w:t>
            </w:r>
            <w:hyperlink r:id="rId22" w:history="1">
              <w:r w:rsidRPr="00992FC9">
                <w:rPr>
                  <w:rStyle w:val="Lienhypertexte"/>
                  <w:rFonts w:ascii="Times New Roman" w:hAnsi="Times New Roman" w:cs="Times New Roman"/>
                  <w:b/>
                  <w:bCs/>
                  <w:i/>
                  <w:iCs/>
                  <w:sz w:val="20"/>
                  <w:szCs w:val="20"/>
                </w:rPr>
                <w:t>cliquant ici</w:t>
              </w:r>
            </w:hyperlink>
            <w:r w:rsidRPr="00992FC9">
              <w:rPr>
                <w:rFonts w:ascii="Times New Roman" w:hAnsi="Times New Roman" w:cs="Times New Roman"/>
                <w:b/>
                <w:bCs/>
                <w:i/>
                <w:iCs/>
                <w:color w:val="FF0000"/>
                <w:sz w:val="20"/>
                <w:szCs w:val="20"/>
              </w:rPr>
              <w:t>.</w:t>
            </w:r>
          </w:p>
        </w:tc>
      </w:tr>
      <w:tr w:rsidR="00992FC9" w:rsidRPr="00992FC9" w:rsidTr="00084343">
        <w:trPr>
          <w:trHeight w:val="593"/>
        </w:trPr>
        <w:tc>
          <w:tcPr>
            <w:tcW w:w="1560" w:type="dxa"/>
            <w:tcBorders>
              <w:bottom w:val="single" w:sz="4" w:space="0" w:color="auto"/>
            </w:tcBorders>
            <w:vAlign w:val="center"/>
          </w:tcPr>
          <w:p w:rsidR="00992FC9" w:rsidRPr="00992FC9" w:rsidRDefault="00992FC9" w:rsidP="00C66DB1">
            <w:pPr>
              <w:rPr>
                <w:rFonts w:ascii="Times New Roman" w:hAnsi="Times New Roman" w:cs="Times New Roman"/>
                <w:b/>
                <w:bCs/>
                <w:sz w:val="20"/>
                <w:szCs w:val="20"/>
              </w:rPr>
            </w:pPr>
            <w:r w:rsidRPr="00992FC9">
              <w:rPr>
                <w:rFonts w:ascii="Times New Roman" w:hAnsi="Times New Roman" w:cs="Times New Roman"/>
                <w:b/>
                <w:bCs/>
                <w:sz w:val="20"/>
                <w:szCs w:val="20"/>
              </w:rPr>
              <w:lastRenderedPageBreak/>
              <w:t>Com. DMA</w:t>
            </w:r>
          </w:p>
        </w:tc>
        <w:tc>
          <w:tcPr>
            <w:tcW w:w="1843" w:type="dxa"/>
            <w:tcBorders>
              <w:bottom w:val="single" w:sz="4" w:space="0" w:color="auto"/>
            </w:tcBorders>
            <w:vAlign w:val="center"/>
          </w:tcPr>
          <w:p w:rsidR="00992FC9" w:rsidRPr="00992FC9" w:rsidRDefault="00992FC9" w:rsidP="00C66DB1">
            <w:pPr>
              <w:contextualSpacing/>
              <w:jc w:val="both"/>
              <w:rPr>
                <w:rFonts w:ascii="Times New Roman" w:hAnsi="Times New Roman" w:cs="Times New Roman"/>
                <w:b/>
                <w:bCs/>
                <w:color w:val="000000"/>
                <w:sz w:val="20"/>
                <w:szCs w:val="20"/>
              </w:rPr>
            </w:pPr>
            <w:r w:rsidRPr="00992FC9">
              <w:rPr>
                <w:rFonts w:ascii="Times New Roman" w:hAnsi="Times New Roman" w:cs="Times New Roman"/>
                <w:b/>
                <w:bCs/>
                <w:color w:val="000000"/>
                <w:sz w:val="20"/>
                <w:szCs w:val="20"/>
              </w:rPr>
              <w:t>Epargne financière : le quiz des grands chefs</w:t>
            </w:r>
          </w:p>
        </w:tc>
        <w:tc>
          <w:tcPr>
            <w:tcW w:w="12332" w:type="dxa"/>
            <w:tcBorders>
              <w:bottom w:val="single" w:sz="4" w:space="0" w:color="auto"/>
            </w:tcBorders>
            <w:shd w:val="clear" w:color="auto" w:fill="auto"/>
            <w:vAlign w:val="center"/>
          </w:tcPr>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
                <w:bCs/>
                <w:iCs/>
                <w:sz w:val="20"/>
                <w:szCs w:val="20"/>
              </w:rPr>
            </w:pPr>
            <w:r w:rsidRPr="00992FC9">
              <w:rPr>
                <w:rFonts w:ascii="Times New Roman" w:hAnsi="Times New Roman" w:cs="Times New Roman"/>
                <w:b/>
                <w:bCs/>
                <w:iCs/>
                <w:sz w:val="20"/>
                <w:szCs w:val="20"/>
              </w:rPr>
              <w:t>Dans le cadre de notre Plan d’Action Epargne Financière, BPCE, en partenariat avec NIM, BGC et EVD, a créé un dispositif d’animation à destination de l’ensemble des commerciaux et des managers multi marché.</w:t>
            </w:r>
          </w:p>
          <w:p w:rsidR="00992FC9" w:rsidRPr="00992FC9" w:rsidRDefault="00992FC9" w:rsidP="00992FC9">
            <w:pPr>
              <w:ind w:left="360"/>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w:t>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L’objectif est de fédérer le réseau autour de l’épargne financière et de favoriser les montées en compétence d’une manière ludique et originale, avec à la clef la possibilité de gagner des lots individuels et collectifs.</w:t>
            </w:r>
          </w:p>
          <w:p w:rsidR="00992FC9" w:rsidRPr="00992FC9" w:rsidRDefault="00992FC9" w:rsidP="00992FC9">
            <w:pPr>
              <w:ind w:left="360"/>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w:t>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Ce jeu s’inscrit dans l’univers de la grande cuisine, avec la mécanique suivante :</w:t>
            </w:r>
          </w:p>
          <w:p w:rsidR="00992FC9" w:rsidRPr="00992FC9" w:rsidRDefault="00992FC9" w:rsidP="00992FC9">
            <w:pPr>
              <w:ind w:left="360"/>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mailing de communication adressé</w:t>
            </w:r>
            <w:r w:rsidR="00115FEB">
              <w:rPr>
                <w:rFonts w:ascii="Times New Roman" w:hAnsi="Times New Roman" w:cs="Times New Roman"/>
                <w:bCs/>
                <w:iCs/>
                <w:sz w:val="20"/>
                <w:szCs w:val="20"/>
              </w:rPr>
              <w:t xml:space="preserve"> </w:t>
            </w:r>
            <w:r w:rsidRPr="00992FC9">
              <w:rPr>
                <w:rFonts w:ascii="Times New Roman" w:hAnsi="Times New Roman" w:cs="Times New Roman"/>
                <w:bCs/>
                <w:iCs/>
                <w:sz w:val="20"/>
                <w:szCs w:val="20"/>
              </w:rPr>
              <w:t>à chaque collaborateur commercial, courant semaine 42</w:t>
            </w:r>
          </w:p>
          <w:p w:rsidR="00992FC9" w:rsidRPr="00992FC9" w:rsidRDefault="00992FC9" w:rsidP="00992FC9">
            <w:pPr>
              <w:pStyle w:val="Paragraphedeliste"/>
              <w:numPr>
                <w:ilvl w:val="0"/>
                <w:numId w:val="35"/>
              </w:numPr>
              <w:jc w:val="both"/>
              <w:rPr>
                <w:rFonts w:ascii="Times New Roman" w:hAnsi="Times New Roman" w:cs="Times New Roman"/>
                <w:bCs/>
                <w:iCs/>
                <w:sz w:val="20"/>
                <w:szCs w:val="20"/>
              </w:rPr>
            </w:pPr>
            <w:r w:rsidRPr="00992FC9">
              <w:rPr>
                <w:rFonts w:ascii="Times New Roman" w:hAnsi="Times New Roman" w:cs="Times New Roman"/>
                <w:bCs/>
                <w:iCs/>
                <w:sz w:val="20"/>
                <w:szCs w:val="20"/>
              </w:rPr>
              <w:t>Série de trois Quiz de cinq questions pour tester les connaissances :</w:t>
            </w:r>
          </w:p>
          <w:p w:rsidR="00992FC9" w:rsidRPr="00992FC9" w:rsidRDefault="00992FC9" w:rsidP="00992FC9">
            <w:pPr>
              <w:pStyle w:val="Paragraphedeliste"/>
              <w:numPr>
                <w:ilvl w:val="0"/>
                <w:numId w:val="36"/>
              </w:numPr>
              <w:jc w:val="both"/>
              <w:rPr>
                <w:rFonts w:ascii="Times New Roman" w:hAnsi="Times New Roman" w:cs="Times New Roman"/>
                <w:bCs/>
                <w:iCs/>
                <w:sz w:val="20"/>
                <w:szCs w:val="20"/>
              </w:rPr>
            </w:pPr>
            <w:r w:rsidRPr="00992FC9">
              <w:rPr>
                <w:rFonts w:ascii="Times New Roman" w:hAnsi="Times New Roman" w:cs="Times New Roman"/>
                <w:bCs/>
                <w:iCs/>
                <w:sz w:val="20"/>
                <w:szCs w:val="20"/>
              </w:rPr>
              <w:t>Quiz 1 le 23 octobre</w:t>
            </w:r>
          </w:p>
          <w:p w:rsidR="00992FC9" w:rsidRPr="00992FC9" w:rsidRDefault="00992FC9" w:rsidP="00992FC9">
            <w:pPr>
              <w:pStyle w:val="Paragraphedeliste"/>
              <w:numPr>
                <w:ilvl w:val="0"/>
                <w:numId w:val="36"/>
              </w:numPr>
              <w:jc w:val="both"/>
              <w:rPr>
                <w:rFonts w:ascii="Times New Roman" w:hAnsi="Times New Roman" w:cs="Times New Roman"/>
                <w:bCs/>
                <w:iCs/>
                <w:sz w:val="20"/>
                <w:szCs w:val="20"/>
              </w:rPr>
            </w:pPr>
            <w:r w:rsidRPr="00992FC9">
              <w:rPr>
                <w:rFonts w:ascii="Times New Roman" w:hAnsi="Times New Roman" w:cs="Times New Roman"/>
                <w:bCs/>
                <w:iCs/>
                <w:sz w:val="20"/>
                <w:szCs w:val="20"/>
              </w:rPr>
              <w:t>Quiz 2 le 6 novembre</w:t>
            </w:r>
          </w:p>
          <w:p w:rsidR="00992FC9" w:rsidRPr="00992FC9" w:rsidRDefault="00992FC9" w:rsidP="00992FC9">
            <w:pPr>
              <w:pStyle w:val="Paragraphedeliste"/>
              <w:numPr>
                <w:ilvl w:val="0"/>
                <w:numId w:val="36"/>
              </w:numPr>
              <w:jc w:val="both"/>
              <w:rPr>
                <w:rFonts w:ascii="Times New Roman" w:hAnsi="Times New Roman" w:cs="Times New Roman"/>
                <w:bCs/>
                <w:iCs/>
                <w:sz w:val="20"/>
                <w:szCs w:val="20"/>
              </w:rPr>
            </w:pPr>
            <w:r w:rsidRPr="00992FC9">
              <w:rPr>
                <w:rFonts w:ascii="Times New Roman" w:hAnsi="Times New Roman" w:cs="Times New Roman"/>
                <w:bCs/>
                <w:iCs/>
                <w:sz w:val="20"/>
                <w:szCs w:val="20"/>
              </w:rPr>
              <w:t>Quiz 3 le 20 novembre</w:t>
            </w:r>
          </w:p>
          <w:p w:rsidR="00992FC9" w:rsidRPr="00992FC9" w:rsidRDefault="00992FC9" w:rsidP="00992FC9">
            <w:pPr>
              <w:ind w:left="360"/>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 </w:t>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Cs/>
                <w:sz w:val="20"/>
                <w:szCs w:val="20"/>
              </w:rPr>
            </w:pPr>
            <w:r w:rsidRPr="00992FC9">
              <w:rPr>
                <w:rFonts w:ascii="Times New Roman" w:hAnsi="Times New Roman" w:cs="Times New Roman"/>
                <w:bCs/>
                <w:iCs/>
                <w:sz w:val="20"/>
                <w:szCs w:val="20"/>
              </w:rPr>
              <w:t>Résultats début décembre et livraison des 292 cadeaux courant décembre 2018.</w:t>
            </w:r>
          </w:p>
          <w:p w:rsidR="00992FC9" w:rsidRPr="00992FC9" w:rsidRDefault="00992FC9" w:rsidP="00992FC9">
            <w:pPr>
              <w:numPr>
                <w:ilvl w:val="0"/>
                <w:numId w:val="6"/>
              </w:numPr>
              <w:tabs>
                <w:tab w:val="num" w:pos="720"/>
              </w:tabs>
              <w:ind w:left="176" w:hanging="176"/>
              <w:contextualSpacing/>
              <w:jc w:val="both"/>
              <w:rPr>
                <w:rFonts w:ascii="Times New Roman" w:hAnsi="Times New Roman" w:cs="Times New Roman"/>
                <w:bCs/>
                <w:i/>
                <w:iCs/>
                <w:sz w:val="20"/>
                <w:szCs w:val="20"/>
              </w:rPr>
            </w:pPr>
            <w:r w:rsidRPr="00992FC9">
              <w:rPr>
                <w:rFonts w:ascii="Times New Roman" w:hAnsi="Times New Roman" w:cs="Times New Roman"/>
                <w:bCs/>
                <w:i/>
                <w:iCs/>
                <w:sz w:val="20"/>
                <w:szCs w:val="20"/>
              </w:rPr>
              <w:t xml:space="preserve">Dans l’attente de la réception de la newsletter annonçant le jeu, voici un lien vers le dispositif détaillé de cette animation « Quiz des Grands Chefs » </w:t>
            </w:r>
            <w:r w:rsidRPr="00992FC9">
              <w:rPr>
                <w:rFonts w:ascii="Times New Roman" w:hAnsi="Times New Roman" w:cs="Times New Roman"/>
                <w:bCs/>
                <w:i/>
                <w:iCs/>
                <w:sz w:val="20"/>
                <w:szCs w:val="20"/>
              </w:rPr>
              <w:sym w:font="Wingdings" w:char="F0E0"/>
            </w:r>
            <w:r w:rsidRPr="00992FC9">
              <w:rPr>
                <w:rFonts w:ascii="Times New Roman" w:hAnsi="Times New Roman" w:cs="Times New Roman"/>
                <w:bCs/>
                <w:i/>
                <w:iCs/>
                <w:sz w:val="20"/>
                <w:szCs w:val="20"/>
              </w:rPr>
              <w:t xml:space="preserve"> </w:t>
            </w:r>
            <w:hyperlink r:id="rId23" w:history="1">
              <w:r w:rsidRPr="00992FC9">
                <w:rPr>
                  <w:rStyle w:val="Lienhypertexte"/>
                  <w:rFonts w:ascii="Times New Roman" w:hAnsi="Times New Roman" w:cs="Times New Roman"/>
                  <w:bCs/>
                  <w:i/>
                  <w:iCs/>
                  <w:sz w:val="20"/>
                  <w:szCs w:val="20"/>
                </w:rPr>
                <w:t>clic</w:t>
              </w:r>
            </w:hyperlink>
          </w:p>
        </w:tc>
      </w:tr>
      <w:tr w:rsidR="001912DF" w:rsidRPr="008A2C98" w:rsidTr="001912DF">
        <w:trPr>
          <w:trHeight w:val="349"/>
        </w:trPr>
        <w:tc>
          <w:tcPr>
            <w:tcW w:w="15735" w:type="dxa"/>
            <w:gridSpan w:val="3"/>
            <w:tcBorders>
              <w:bottom w:val="single" w:sz="4" w:space="0" w:color="auto"/>
            </w:tcBorders>
            <w:shd w:val="clear" w:color="auto" w:fill="BFBFBF" w:themeFill="background1" w:themeFillShade="BF"/>
            <w:vAlign w:val="center"/>
          </w:tcPr>
          <w:p w:rsidR="001912DF" w:rsidRPr="001912DF" w:rsidRDefault="00450AC9" w:rsidP="00450AC9">
            <w:pPr>
              <w:contextualSpacing/>
              <w:jc w:val="center"/>
              <w:rPr>
                <w:rFonts w:ascii="Times New Roman" w:hAnsi="Times New Roman" w:cs="Times New Roman"/>
                <w:b/>
                <w:bCs/>
                <w:iCs/>
                <w:sz w:val="20"/>
                <w:szCs w:val="20"/>
              </w:rPr>
            </w:pPr>
            <w:r>
              <w:rPr>
                <w:rFonts w:ascii="Times New Roman" w:hAnsi="Times New Roman" w:cs="Times New Roman"/>
                <w:b/>
                <w:bCs/>
                <w:iCs/>
                <w:sz w:val="20"/>
                <w:szCs w:val="20"/>
              </w:rPr>
              <w:t>Banque A</w:t>
            </w:r>
            <w:r w:rsidR="009D3366">
              <w:rPr>
                <w:rFonts w:ascii="Times New Roman" w:hAnsi="Times New Roman" w:cs="Times New Roman"/>
                <w:b/>
                <w:bCs/>
                <w:iCs/>
                <w:sz w:val="20"/>
                <w:szCs w:val="20"/>
              </w:rPr>
              <w:t xml:space="preserve"> </w:t>
            </w:r>
            <w:r>
              <w:rPr>
                <w:rFonts w:ascii="Times New Roman" w:hAnsi="Times New Roman" w:cs="Times New Roman"/>
                <w:b/>
                <w:bCs/>
                <w:iCs/>
                <w:sz w:val="20"/>
                <w:szCs w:val="20"/>
              </w:rPr>
              <w:t>D</w:t>
            </w:r>
            <w:r w:rsidR="009D3366">
              <w:rPr>
                <w:rFonts w:ascii="Times New Roman" w:hAnsi="Times New Roman" w:cs="Times New Roman"/>
                <w:b/>
                <w:bCs/>
                <w:iCs/>
                <w:sz w:val="20"/>
                <w:szCs w:val="20"/>
              </w:rPr>
              <w:t>istance</w:t>
            </w:r>
            <w:r w:rsidR="001C7B43">
              <w:rPr>
                <w:rFonts w:ascii="Times New Roman" w:hAnsi="Times New Roman" w:cs="Times New Roman"/>
                <w:b/>
                <w:bCs/>
                <w:iCs/>
                <w:sz w:val="20"/>
                <w:szCs w:val="20"/>
              </w:rPr>
              <w:t xml:space="preserve"> - OVMC</w:t>
            </w:r>
          </w:p>
        </w:tc>
      </w:tr>
      <w:tr w:rsidR="00E811DE" w:rsidRPr="008A2C98" w:rsidTr="00741019">
        <w:trPr>
          <w:trHeight w:val="625"/>
        </w:trPr>
        <w:tc>
          <w:tcPr>
            <w:tcW w:w="1560" w:type="dxa"/>
            <w:tcBorders>
              <w:bottom w:val="single" w:sz="4" w:space="0" w:color="auto"/>
            </w:tcBorders>
            <w:vAlign w:val="center"/>
          </w:tcPr>
          <w:p w:rsidR="00E811DE" w:rsidRPr="00741019" w:rsidRDefault="00E811DE" w:rsidP="00741019">
            <w:pPr>
              <w:rPr>
                <w:rFonts w:ascii="Times New Roman" w:hAnsi="Times New Roman" w:cs="Times New Roman"/>
                <w:b/>
                <w:bCs/>
                <w:color w:val="000000"/>
                <w:sz w:val="20"/>
                <w:szCs w:val="20"/>
              </w:rPr>
            </w:pPr>
            <w:r w:rsidRPr="00741019">
              <w:rPr>
                <w:rFonts w:ascii="Times New Roman" w:hAnsi="Times New Roman" w:cs="Times New Roman"/>
                <w:b/>
                <w:bCs/>
                <w:color w:val="000000"/>
                <w:sz w:val="20"/>
                <w:szCs w:val="20"/>
              </w:rPr>
              <w:t xml:space="preserve">Com. </w:t>
            </w:r>
            <w:r w:rsidR="001C7B43" w:rsidRPr="00741019">
              <w:rPr>
                <w:rFonts w:ascii="Times New Roman" w:hAnsi="Times New Roman" w:cs="Times New Roman"/>
                <w:b/>
                <w:bCs/>
                <w:color w:val="000000"/>
                <w:sz w:val="20"/>
                <w:szCs w:val="20"/>
              </w:rPr>
              <w:t>Solution Clients</w:t>
            </w:r>
          </w:p>
        </w:tc>
        <w:tc>
          <w:tcPr>
            <w:tcW w:w="1843" w:type="dxa"/>
            <w:tcBorders>
              <w:bottom w:val="single" w:sz="4" w:space="0" w:color="auto"/>
            </w:tcBorders>
            <w:vAlign w:val="center"/>
          </w:tcPr>
          <w:p w:rsidR="00E811DE" w:rsidRPr="00741019" w:rsidRDefault="001C7B43" w:rsidP="00741019">
            <w:pPr>
              <w:rPr>
                <w:rFonts w:ascii="Times New Roman" w:hAnsi="Times New Roman" w:cs="Times New Roman"/>
                <w:b/>
                <w:bCs/>
                <w:noProof/>
                <w:sz w:val="20"/>
                <w:szCs w:val="20"/>
                <w:lang w:eastAsia="fr-FR"/>
              </w:rPr>
            </w:pPr>
            <w:r w:rsidRPr="00741019">
              <w:rPr>
                <w:rFonts w:ascii="Times New Roman" w:hAnsi="Times New Roman" w:cs="Times New Roman"/>
                <w:b/>
                <w:bCs/>
                <w:noProof/>
                <w:sz w:val="20"/>
                <w:szCs w:val="20"/>
                <w:lang w:eastAsia="fr-FR"/>
              </w:rPr>
              <w:t>Météo VAD</w:t>
            </w:r>
          </w:p>
        </w:tc>
        <w:tc>
          <w:tcPr>
            <w:tcW w:w="12332" w:type="dxa"/>
            <w:tcBorders>
              <w:bottom w:val="single" w:sz="4" w:space="0" w:color="auto"/>
            </w:tcBorders>
            <w:shd w:val="clear" w:color="auto" w:fill="auto"/>
            <w:vAlign w:val="center"/>
          </w:tcPr>
          <w:p w:rsidR="00E811DE" w:rsidRPr="00741019" w:rsidRDefault="001C7B43" w:rsidP="00741019">
            <w:pPr>
              <w:numPr>
                <w:ilvl w:val="0"/>
                <w:numId w:val="6"/>
              </w:numPr>
              <w:ind w:left="176" w:hanging="176"/>
              <w:contextualSpacing/>
              <w:jc w:val="both"/>
              <w:rPr>
                <w:rFonts w:ascii="Times New Roman" w:hAnsi="Times New Roman" w:cs="Times New Roman"/>
                <w:iCs/>
                <w:color w:val="000000" w:themeColor="text1"/>
                <w:sz w:val="20"/>
                <w:szCs w:val="20"/>
              </w:rPr>
            </w:pPr>
            <w:r w:rsidRPr="00741019">
              <w:rPr>
                <w:rFonts w:ascii="Times New Roman" w:hAnsi="Times New Roman" w:cs="Times New Roman"/>
                <w:b/>
                <w:iCs/>
                <w:color w:val="000000" w:themeColor="text1"/>
                <w:sz w:val="20"/>
                <w:szCs w:val="20"/>
              </w:rPr>
              <w:t>Retrouvez, dorénavant, votre météo OVAD dans la Rubrique des Commerciaux</w:t>
            </w:r>
            <w:r w:rsidRPr="00741019">
              <w:rPr>
                <w:rFonts w:ascii="Times New Roman" w:hAnsi="Times New Roman" w:cs="Times New Roman"/>
                <w:iCs/>
                <w:color w:val="000000" w:themeColor="text1"/>
                <w:sz w:val="20"/>
                <w:szCs w:val="20"/>
              </w:rPr>
              <w:t xml:space="preserve"> – espace Distribution Multicanale / Accès rapides (</w:t>
            </w:r>
            <w:hyperlink r:id="rId24" w:history="1">
              <w:r w:rsidRPr="00741019">
                <w:rPr>
                  <w:rStyle w:val="Lienhypertexte"/>
                  <w:rFonts w:ascii="Times New Roman" w:hAnsi="Times New Roman" w:cs="Times New Roman"/>
                  <w:iCs/>
                  <w:sz w:val="20"/>
                  <w:szCs w:val="20"/>
                </w:rPr>
                <w:t>cliquez ici pour y accéder</w:t>
              </w:r>
            </w:hyperlink>
            <w:r w:rsidRPr="00741019">
              <w:rPr>
                <w:rFonts w:ascii="Times New Roman" w:hAnsi="Times New Roman" w:cs="Times New Roman"/>
                <w:iCs/>
                <w:color w:val="000000" w:themeColor="text1"/>
                <w:sz w:val="20"/>
                <w:szCs w:val="20"/>
              </w:rPr>
              <w:t xml:space="preserve">). </w:t>
            </w:r>
          </w:p>
        </w:tc>
      </w:tr>
      <w:tr w:rsidR="00741019" w:rsidRPr="008A2C98" w:rsidTr="00741019">
        <w:trPr>
          <w:trHeight w:val="553"/>
        </w:trPr>
        <w:tc>
          <w:tcPr>
            <w:tcW w:w="1560" w:type="dxa"/>
            <w:tcBorders>
              <w:bottom w:val="single" w:sz="4" w:space="0" w:color="auto"/>
            </w:tcBorders>
            <w:vAlign w:val="center"/>
          </w:tcPr>
          <w:p w:rsidR="00741019" w:rsidRPr="00741019" w:rsidRDefault="00741019" w:rsidP="00741019">
            <w:pPr>
              <w:rPr>
                <w:rFonts w:ascii="Times New Roman" w:hAnsi="Times New Roman" w:cs="Times New Roman"/>
                <w:sz w:val="20"/>
                <w:szCs w:val="20"/>
              </w:rPr>
            </w:pPr>
            <w:r w:rsidRPr="00741019">
              <w:rPr>
                <w:rFonts w:ascii="Times New Roman" w:hAnsi="Times New Roman" w:cs="Times New Roman"/>
                <w:b/>
                <w:bCs/>
                <w:color w:val="000000"/>
                <w:sz w:val="20"/>
                <w:szCs w:val="20"/>
              </w:rPr>
              <w:t xml:space="preserve">Com. </w:t>
            </w:r>
            <w:proofErr w:type="spellStart"/>
            <w:r w:rsidRPr="00741019">
              <w:rPr>
                <w:rFonts w:ascii="Times New Roman" w:hAnsi="Times New Roman" w:cs="Times New Roman"/>
                <w:b/>
                <w:bCs/>
                <w:color w:val="000000"/>
                <w:sz w:val="20"/>
                <w:szCs w:val="20"/>
              </w:rPr>
              <w:t>Exp</w:t>
            </w:r>
            <w:proofErr w:type="spellEnd"/>
            <w:r w:rsidRPr="00741019">
              <w:rPr>
                <w:rFonts w:ascii="Times New Roman" w:hAnsi="Times New Roman" w:cs="Times New Roman"/>
                <w:b/>
                <w:bCs/>
                <w:color w:val="000000"/>
                <w:sz w:val="20"/>
                <w:szCs w:val="20"/>
              </w:rPr>
              <w:t>. Client</w:t>
            </w:r>
          </w:p>
        </w:tc>
        <w:tc>
          <w:tcPr>
            <w:tcW w:w="1843" w:type="dxa"/>
            <w:tcBorders>
              <w:bottom w:val="single" w:sz="4" w:space="0" w:color="auto"/>
            </w:tcBorders>
            <w:vAlign w:val="center"/>
          </w:tcPr>
          <w:p w:rsidR="00741019" w:rsidRPr="00741019" w:rsidRDefault="00741019" w:rsidP="00741019">
            <w:pPr>
              <w:rPr>
                <w:rFonts w:ascii="Times New Roman" w:hAnsi="Times New Roman" w:cs="Times New Roman"/>
                <w:sz w:val="20"/>
                <w:szCs w:val="20"/>
              </w:rPr>
            </w:pPr>
            <w:r w:rsidRPr="00741019">
              <w:rPr>
                <w:rFonts w:ascii="Times New Roman" w:hAnsi="Times New Roman" w:cs="Times New Roman"/>
                <w:b/>
                <w:bCs/>
                <w:sz w:val="20"/>
                <w:szCs w:val="20"/>
                <w:lang w:eastAsia="fr-FR"/>
              </w:rPr>
              <w:t>Déploiement de la nouvelle version de Direct Ecureuil Service Bourse</w:t>
            </w:r>
          </w:p>
        </w:tc>
        <w:tc>
          <w:tcPr>
            <w:tcW w:w="12332" w:type="dxa"/>
            <w:tcBorders>
              <w:bottom w:val="single" w:sz="4" w:space="0" w:color="auto"/>
            </w:tcBorders>
            <w:shd w:val="clear" w:color="auto" w:fill="auto"/>
            <w:vAlign w:val="center"/>
          </w:tcPr>
          <w:p w:rsidR="00741019" w:rsidRPr="00741019" w:rsidRDefault="00741019" w:rsidP="00741019">
            <w:pPr>
              <w:pStyle w:val="Paragraphedeliste"/>
              <w:numPr>
                <w:ilvl w:val="0"/>
                <w:numId w:val="29"/>
              </w:numPr>
              <w:ind w:left="176" w:hanging="176"/>
              <w:contextualSpacing w:val="0"/>
              <w:rPr>
                <w:rFonts w:ascii="Times New Roman" w:hAnsi="Times New Roman" w:cs="Times New Roman"/>
                <w:sz w:val="20"/>
                <w:szCs w:val="20"/>
              </w:rPr>
            </w:pPr>
            <w:r>
              <w:rPr>
                <w:rFonts w:ascii="Times New Roman" w:hAnsi="Times New Roman" w:cs="Times New Roman"/>
                <w:sz w:val="20"/>
                <w:szCs w:val="20"/>
              </w:rPr>
              <w:t>Une nouvelle version d’</w:t>
            </w:r>
            <w:r w:rsidRPr="00741019">
              <w:rPr>
                <w:rFonts w:ascii="Times New Roman" w:hAnsi="Times New Roman" w:cs="Times New Roman"/>
                <w:sz w:val="20"/>
                <w:szCs w:val="20"/>
              </w:rPr>
              <w:t xml:space="preserve">Espace Bourse a été repensée pour offrir une </w:t>
            </w:r>
            <w:r w:rsidRPr="00741019">
              <w:rPr>
                <w:rFonts w:ascii="Times New Roman" w:hAnsi="Times New Roman" w:cs="Times New Roman"/>
                <w:b/>
                <w:bCs/>
                <w:sz w:val="20"/>
                <w:szCs w:val="20"/>
              </w:rPr>
              <w:t xml:space="preserve">expérience de navigation plus simple et plus fluide. </w:t>
            </w:r>
            <w:r w:rsidRPr="00741019">
              <w:rPr>
                <w:rFonts w:ascii="Times New Roman" w:hAnsi="Times New Roman" w:cs="Times New Roman"/>
                <w:sz w:val="20"/>
                <w:szCs w:val="20"/>
              </w:rPr>
              <w:t xml:space="preserve">Les principaux écrans de l’espace Bourse ont été </w:t>
            </w:r>
            <w:r w:rsidRPr="00741019">
              <w:rPr>
                <w:rFonts w:ascii="Times New Roman" w:hAnsi="Times New Roman" w:cs="Times New Roman"/>
                <w:b/>
                <w:bCs/>
                <w:sz w:val="20"/>
                <w:szCs w:val="20"/>
              </w:rPr>
              <w:t>revus, améliorés et s’adaptent désormais quel que soit le support utilisé</w:t>
            </w:r>
            <w:r w:rsidRPr="00741019">
              <w:rPr>
                <w:rFonts w:ascii="Times New Roman" w:hAnsi="Times New Roman" w:cs="Times New Roman"/>
                <w:sz w:val="20"/>
                <w:szCs w:val="20"/>
              </w:rPr>
              <w:t xml:space="preserve"> (</w:t>
            </w:r>
            <w:proofErr w:type="spellStart"/>
            <w:r w:rsidRPr="00741019">
              <w:rPr>
                <w:rFonts w:ascii="Times New Roman" w:hAnsi="Times New Roman" w:cs="Times New Roman"/>
                <w:sz w:val="20"/>
                <w:szCs w:val="20"/>
              </w:rPr>
              <w:t>smartphone</w:t>
            </w:r>
            <w:proofErr w:type="spellEnd"/>
            <w:r w:rsidRPr="00741019">
              <w:rPr>
                <w:rFonts w:ascii="Times New Roman" w:hAnsi="Times New Roman" w:cs="Times New Roman"/>
                <w:sz w:val="20"/>
                <w:szCs w:val="20"/>
              </w:rPr>
              <w:t xml:space="preserve">, tablette ou ordinateur). La navigation et les parcours clients ont également été améliorés. </w:t>
            </w:r>
            <w:r w:rsidRPr="00741019">
              <w:rPr>
                <w:rFonts w:ascii="Times New Roman" w:hAnsi="Times New Roman" w:cs="Times New Roman"/>
                <w:sz w:val="20"/>
                <w:szCs w:val="20"/>
              </w:rPr>
              <w:br/>
            </w:r>
            <w:r w:rsidRPr="00741019">
              <w:rPr>
                <w:rFonts w:ascii="Times New Roman" w:hAnsi="Times New Roman" w:cs="Times New Roman"/>
                <w:b/>
                <w:sz w:val="20"/>
                <w:szCs w:val="20"/>
              </w:rPr>
              <w:t>Retrouvez le détail de tous les changements dans la présentation disponible sur la Rubrique des Commerciaux/ Distribution Multicanal/ Banque à Distance (</w:t>
            </w:r>
            <w:hyperlink r:id="rId25" w:history="1">
              <w:r w:rsidRPr="00741019">
                <w:rPr>
                  <w:rStyle w:val="Lienhypertexte"/>
                  <w:rFonts w:ascii="Times New Roman" w:hAnsi="Times New Roman" w:cs="Times New Roman"/>
                  <w:b/>
                  <w:sz w:val="20"/>
                  <w:szCs w:val="20"/>
                </w:rPr>
                <w:t>CLIQUEZ ICI</w:t>
              </w:r>
            </w:hyperlink>
            <w:r w:rsidRPr="00741019">
              <w:rPr>
                <w:rFonts w:ascii="Times New Roman" w:hAnsi="Times New Roman" w:cs="Times New Roman"/>
                <w:b/>
                <w:sz w:val="20"/>
                <w:szCs w:val="20"/>
              </w:rPr>
              <w:t>).</w:t>
            </w:r>
          </w:p>
          <w:p w:rsidR="00741019" w:rsidRPr="00741019" w:rsidRDefault="00741019" w:rsidP="00741019">
            <w:pPr>
              <w:pStyle w:val="Paragraphedeliste"/>
              <w:numPr>
                <w:ilvl w:val="0"/>
                <w:numId w:val="29"/>
              </w:numPr>
              <w:ind w:left="176" w:hanging="176"/>
              <w:contextualSpacing w:val="0"/>
              <w:jc w:val="both"/>
              <w:rPr>
                <w:rFonts w:ascii="Times New Roman" w:hAnsi="Times New Roman" w:cs="Times New Roman"/>
                <w:sz w:val="20"/>
                <w:szCs w:val="20"/>
              </w:rPr>
            </w:pPr>
            <w:r w:rsidRPr="00741019">
              <w:rPr>
                <w:rFonts w:ascii="Times New Roman" w:hAnsi="Times New Roman" w:cs="Times New Roman"/>
                <w:sz w:val="20"/>
                <w:szCs w:val="20"/>
              </w:rPr>
              <w:t xml:space="preserve">Afin de permettre une </w:t>
            </w:r>
            <w:r w:rsidRPr="00741019">
              <w:rPr>
                <w:rFonts w:ascii="Times New Roman" w:hAnsi="Times New Roman" w:cs="Times New Roman"/>
                <w:b/>
                <w:bCs/>
                <w:sz w:val="20"/>
                <w:szCs w:val="20"/>
              </w:rPr>
              <w:t>appropriation progressive</w:t>
            </w:r>
            <w:r w:rsidRPr="00741019">
              <w:rPr>
                <w:rFonts w:ascii="Times New Roman" w:hAnsi="Times New Roman" w:cs="Times New Roman"/>
                <w:sz w:val="20"/>
                <w:szCs w:val="20"/>
              </w:rPr>
              <w:t xml:space="preserve"> de ce nouveau site Espace Bourse, le client pourra </w:t>
            </w:r>
            <w:r w:rsidRPr="00741019">
              <w:rPr>
                <w:rFonts w:ascii="Times New Roman" w:hAnsi="Times New Roman" w:cs="Times New Roman"/>
                <w:b/>
                <w:bCs/>
                <w:sz w:val="20"/>
                <w:szCs w:val="20"/>
              </w:rPr>
              <w:t>basculer entre l’ancien et le nouveau site du 22 octobre au 14 décembre 2018</w:t>
            </w:r>
            <w:r w:rsidRPr="00741019">
              <w:rPr>
                <w:rFonts w:ascii="Times New Roman" w:hAnsi="Times New Roman" w:cs="Times New Roman"/>
                <w:sz w:val="20"/>
                <w:szCs w:val="20"/>
              </w:rPr>
              <w:t>. A partir du 14 décembre, l’ensemble des clients se connecteront sur la nouvelle version du site (sans possibilité de retour arrière).</w:t>
            </w:r>
          </w:p>
          <w:p w:rsidR="00741019" w:rsidRPr="00741019" w:rsidRDefault="00741019" w:rsidP="00741019">
            <w:pPr>
              <w:pStyle w:val="Paragraphedeliste"/>
              <w:numPr>
                <w:ilvl w:val="0"/>
                <w:numId w:val="29"/>
              </w:numPr>
              <w:ind w:left="176" w:hanging="176"/>
              <w:contextualSpacing w:val="0"/>
              <w:jc w:val="both"/>
              <w:rPr>
                <w:rFonts w:ascii="Times New Roman" w:hAnsi="Times New Roman" w:cs="Times New Roman"/>
                <w:sz w:val="20"/>
                <w:szCs w:val="20"/>
              </w:rPr>
            </w:pPr>
            <w:r w:rsidRPr="00741019">
              <w:rPr>
                <w:rFonts w:ascii="Times New Roman" w:hAnsi="Times New Roman" w:cs="Times New Roman"/>
                <w:sz w:val="20"/>
                <w:szCs w:val="20"/>
              </w:rPr>
              <w:t>De nombreux messages informatifs et bannières seront affichés sur le site actuel et sur le nouveau site pour prévenir et informer les clients des changements et les accompagner tout au long de la période de déploiement.</w:t>
            </w:r>
          </w:p>
        </w:tc>
      </w:tr>
      <w:tr w:rsidR="004A5C66" w:rsidRPr="008A2C98" w:rsidTr="004A5C66">
        <w:trPr>
          <w:trHeight w:val="344"/>
        </w:trPr>
        <w:tc>
          <w:tcPr>
            <w:tcW w:w="15735" w:type="dxa"/>
            <w:gridSpan w:val="3"/>
            <w:tcBorders>
              <w:bottom w:val="single" w:sz="4" w:space="0" w:color="auto"/>
            </w:tcBorders>
            <w:shd w:val="clear" w:color="auto" w:fill="BFBFBF" w:themeFill="background1" w:themeFillShade="BF"/>
            <w:vAlign w:val="center"/>
          </w:tcPr>
          <w:p w:rsidR="004A5C66" w:rsidRPr="004A5C66" w:rsidRDefault="00992FC9" w:rsidP="004A5C66">
            <w:pPr>
              <w:contextualSpacing/>
              <w:jc w:val="center"/>
              <w:rPr>
                <w:rFonts w:ascii="Times New Roman" w:hAnsi="Times New Roman" w:cs="Times New Roman"/>
                <w:b/>
                <w:sz w:val="20"/>
                <w:szCs w:val="20"/>
              </w:rPr>
            </w:pPr>
            <w:r>
              <w:rPr>
                <w:rFonts w:ascii="Times New Roman" w:hAnsi="Times New Roman" w:cs="Times New Roman"/>
                <w:b/>
                <w:sz w:val="20"/>
                <w:szCs w:val="20"/>
              </w:rPr>
              <w:t>Crédits</w:t>
            </w:r>
          </w:p>
        </w:tc>
      </w:tr>
      <w:tr w:rsidR="00992FC9" w:rsidRPr="008A2C98" w:rsidTr="00241E45">
        <w:trPr>
          <w:trHeight w:val="344"/>
        </w:trPr>
        <w:tc>
          <w:tcPr>
            <w:tcW w:w="1560" w:type="dxa"/>
            <w:tcBorders>
              <w:bottom w:val="single" w:sz="4" w:space="0" w:color="auto"/>
            </w:tcBorders>
            <w:vAlign w:val="center"/>
          </w:tcPr>
          <w:p w:rsidR="00992FC9" w:rsidRDefault="00992FC9" w:rsidP="00C66DB1">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vAlign w:val="center"/>
          </w:tcPr>
          <w:p w:rsidR="00992FC9" w:rsidRDefault="00992FC9" w:rsidP="00C66DB1">
            <w:pPr>
              <w:contextualSpacing/>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Ecrêtage de l’assurance des emprunteurs : règle et fonctionnement </w:t>
            </w:r>
          </w:p>
        </w:tc>
        <w:tc>
          <w:tcPr>
            <w:tcW w:w="12332" w:type="dxa"/>
            <w:tcBorders>
              <w:bottom w:val="single" w:sz="4" w:space="0" w:color="auto"/>
            </w:tcBorders>
            <w:shd w:val="clear" w:color="auto" w:fill="auto"/>
            <w:vAlign w:val="center"/>
          </w:tcPr>
          <w:p w:rsidR="00992FC9" w:rsidRPr="003B62DC" w:rsidRDefault="00992FC9" w:rsidP="00992FC9">
            <w:pPr>
              <w:pStyle w:val="Paragraphedeliste"/>
              <w:numPr>
                <w:ilvl w:val="0"/>
                <w:numId w:val="29"/>
              </w:numPr>
              <w:ind w:left="176" w:hanging="176"/>
              <w:contextualSpacing w:val="0"/>
              <w:jc w:val="both"/>
              <w:rPr>
                <w:rFonts w:ascii="Times New Roman" w:hAnsi="Times New Roman" w:cs="Times New Roman"/>
                <w:sz w:val="20"/>
                <w:szCs w:val="20"/>
              </w:rPr>
            </w:pPr>
            <w:r w:rsidRPr="003B62DC">
              <w:rPr>
                <w:rFonts w:ascii="Times New Roman" w:hAnsi="Times New Roman" w:cs="Times New Roman"/>
                <w:b/>
                <w:bCs/>
                <w:sz w:val="20"/>
                <w:szCs w:val="20"/>
                <w:u w:val="single"/>
              </w:rPr>
              <w:t>CONTEXTE</w:t>
            </w:r>
            <w:r w:rsidRPr="003B62DC">
              <w:rPr>
                <w:rFonts w:ascii="Times New Roman" w:hAnsi="Times New Roman" w:cs="Times New Roman"/>
                <w:sz w:val="20"/>
                <w:szCs w:val="20"/>
              </w:rPr>
              <w:t xml:space="preserve"> : dans un contexte de taux d’intérêt très bas, </w:t>
            </w:r>
            <w:r w:rsidRPr="00992FC9">
              <w:rPr>
                <w:rFonts w:ascii="Times New Roman" w:hAnsi="Times New Roman" w:cs="Times New Roman"/>
                <w:b/>
                <w:sz w:val="20"/>
                <w:szCs w:val="20"/>
              </w:rPr>
              <w:t>les primes ADE ont un impact important sur le TAEG du prêt.</w:t>
            </w:r>
          </w:p>
          <w:p w:rsidR="00992FC9" w:rsidRPr="003B62DC" w:rsidRDefault="00992FC9" w:rsidP="00992FC9">
            <w:pPr>
              <w:pStyle w:val="Paragraphedeliste"/>
              <w:ind w:left="176"/>
              <w:jc w:val="both"/>
              <w:rPr>
                <w:rFonts w:ascii="Times New Roman" w:hAnsi="Times New Roman" w:cs="Times New Roman"/>
                <w:sz w:val="20"/>
                <w:szCs w:val="20"/>
              </w:rPr>
            </w:pPr>
            <w:r w:rsidRPr="003B62DC">
              <w:rPr>
                <w:rFonts w:ascii="Times New Roman" w:hAnsi="Times New Roman" w:cs="Times New Roman"/>
                <w:sz w:val="20"/>
                <w:szCs w:val="20"/>
              </w:rPr>
              <w:t>La quasi-totalité des prêteurs de la place sont en « </w:t>
            </w:r>
            <w:r w:rsidRPr="003B62DC">
              <w:rPr>
                <w:rFonts w:ascii="Times New Roman" w:hAnsi="Times New Roman" w:cs="Times New Roman"/>
                <w:i/>
                <w:iCs/>
                <w:sz w:val="20"/>
                <w:szCs w:val="20"/>
              </w:rPr>
              <w:t>ADE obligatoire</w:t>
            </w:r>
            <w:r w:rsidRPr="003B62DC">
              <w:rPr>
                <w:rFonts w:ascii="Times New Roman" w:hAnsi="Times New Roman" w:cs="Times New Roman"/>
                <w:sz w:val="20"/>
                <w:szCs w:val="20"/>
              </w:rPr>
              <w:t> », qui devient la pratique de référence.</w:t>
            </w:r>
          </w:p>
          <w:p w:rsidR="00992FC9" w:rsidRPr="003B62DC" w:rsidRDefault="00992FC9" w:rsidP="00992FC9">
            <w:pPr>
              <w:pStyle w:val="Paragraphedeliste"/>
              <w:ind w:left="176"/>
              <w:jc w:val="both"/>
              <w:rPr>
                <w:rFonts w:ascii="Times New Roman" w:hAnsi="Times New Roman" w:cs="Times New Roman"/>
                <w:sz w:val="20"/>
                <w:szCs w:val="20"/>
              </w:rPr>
            </w:pPr>
            <w:r w:rsidRPr="003B62DC">
              <w:rPr>
                <w:rFonts w:ascii="Times New Roman" w:hAnsi="Times New Roman" w:cs="Times New Roman"/>
                <w:sz w:val="20"/>
                <w:szCs w:val="20"/>
              </w:rPr>
              <w:t>Dans le Groupe BPCE, la norme la plus répandue pour l’octroi d’un prêt immobilier est « </w:t>
            </w:r>
            <w:r w:rsidRPr="003B62DC">
              <w:rPr>
                <w:rFonts w:ascii="Times New Roman" w:hAnsi="Times New Roman" w:cs="Times New Roman"/>
                <w:i/>
                <w:iCs/>
                <w:sz w:val="20"/>
                <w:szCs w:val="20"/>
              </w:rPr>
              <w:t>1 ADE obligatoire avec une quotité minimale de 100% du prêt</w:t>
            </w:r>
            <w:r w:rsidRPr="003B62DC">
              <w:rPr>
                <w:rFonts w:ascii="Times New Roman" w:hAnsi="Times New Roman" w:cs="Times New Roman"/>
                <w:sz w:val="20"/>
                <w:szCs w:val="20"/>
              </w:rPr>
              <w:t xml:space="preserve"> ». </w:t>
            </w:r>
          </w:p>
          <w:p w:rsidR="00992FC9" w:rsidRDefault="00992FC9" w:rsidP="00992FC9">
            <w:pPr>
              <w:pStyle w:val="Paragraphedeliste"/>
              <w:ind w:left="176"/>
              <w:jc w:val="both"/>
              <w:rPr>
                <w:rFonts w:ascii="Times New Roman" w:hAnsi="Times New Roman" w:cs="Times New Roman"/>
                <w:sz w:val="20"/>
                <w:szCs w:val="20"/>
              </w:rPr>
            </w:pPr>
            <w:r w:rsidRPr="003B62DC">
              <w:rPr>
                <w:rFonts w:ascii="Times New Roman" w:hAnsi="Times New Roman" w:cs="Times New Roman"/>
                <w:sz w:val="20"/>
                <w:szCs w:val="20"/>
              </w:rPr>
              <w:t xml:space="preserve">Notre métier de </w:t>
            </w:r>
            <w:proofErr w:type="spellStart"/>
            <w:r w:rsidRPr="003B62DC">
              <w:rPr>
                <w:rFonts w:ascii="Times New Roman" w:hAnsi="Times New Roman" w:cs="Times New Roman"/>
                <w:sz w:val="20"/>
                <w:szCs w:val="20"/>
              </w:rPr>
              <w:t>bancassureurs</w:t>
            </w:r>
            <w:proofErr w:type="spellEnd"/>
            <w:r w:rsidRPr="003B62DC">
              <w:rPr>
                <w:rFonts w:ascii="Times New Roman" w:hAnsi="Times New Roman" w:cs="Times New Roman"/>
                <w:sz w:val="20"/>
                <w:szCs w:val="20"/>
              </w:rPr>
              <w:t xml:space="preserve"> qui consiste à bien conseiller / assurer nos clients. Dans le cadre d’un octroi de prêt </w:t>
            </w:r>
            <w:proofErr w:type="spellStart"/>
            <w:r w:rsidRPr="003B62DC">
              <w:rPr>
                <w:rFonts w:ascii="Times New Roman" w:hAnsi="Times New Roman" w:cs="Times New Roman"/>
                <w:sz w:val="20"/>
                <w:szCs w:val="20"/>
              </w:rPr>
              <w:t>immo</w:t>
            </w:r>
            <w:proofErr w:type="spellEnd"/>
            <w:r w:rsidRPr="003B62DC">
              <w:rPr>
                <w:rFonts w:ascii="Times New Roman" w:hAnsi="Times New Roman" w:cs="Times New Roman"/>
                <w:sz w:val="20"/>
                <w:szCs w:val="20"/>
              </w:rPr>
              <w:t>, nous cherchons donc à optimiser les quotités d’ADE. Toutefois, il arrive parfois que nous nous trouvions bloqués pour intégrer toutes les quotités d’ADE conseillées dans le TAEG</w:t>
            </w:r>
            <w:r w:rsidR="00115FEB">
              <w:rPr>
                <w:rFonts w:ascii="Times New Roman" w:hAnsi="Times New Roman" w:cs="Times New Roman"/>
                <w:sz w:val="20"/>
                <w:szCs w:val="20"/>
              </w:rPr>
              <w:t xml:space="preserve"> </w:t>
            </w:r>
            <w:r w:rsidRPr="003B62DC">
              <w:rPr>
                <w:rFonts w:ascii="Times New Roman" w:hAnsi="Times New Roman" w:cs="Times New Roman"/>
                <w:sz w:val="20"/>
                <w:szCs w:val="20"/>
              </w:rPr>
              <w:t>(</w:t>
            </w:r>
            <w:proofErr w:type="spellStart"/>
            <w:r w:rsidRPr="003B62DC">
              <w:rPr>
                <w:rFonts w:ascii="Times New Roman" w:hAnsi="Times New Roman" w:cs="Times New Roman"/>
                <w:i/>
                <w:iCs/>
                <w:sz w:val="20"/>
                <w:szCs w:val="20"/>
              </w:rPr>
              <w:t>cf</w:t>
            </w:r>
            <w:proofErr w:type="spellEnd"/>
            <w:r w:rsidRPr="003B62DC">
              <w:rPr>
                <w:rFonts w:ascii="Times New Roman" w:hAnsi="Times New Roman" w:cs="Times New Roman"/>
                <w:i/>
                <w:iCs/>
                <w:sz w:val="20"/>
                <w:szCs w:val="20"/>
              </w:rPr>
              <w:t xml:space="preserve"> TAEG &gt; taux de l’usure</w:t>
            </w:r>
            <w:r w:rsidRPr="003B62DC">
              <w:rPr>
                <w:rFonts w:ascii="Times New Roman" w:hAnsi="Times New Roman" w:cs="Times New Roman"/>
                <w:sz w:val="20"/>
                <w:szCs w:val="20"/>
              </w:rPr>
              <w:t>).</w:t>
            </w:r>
            <w:r>
              <w:rPr>
                <w:rFonts w:ascii="Times New Roman" w:hAnsi="Times New Roman" w:cs="Times New Roman"/>
                <w:sz w:val="20"/>
                <w:szCs w:val="20"/>
              </w:rPr>
              <w:t xml:space="preserve"> </w:t>
            </w:r>
            <w:r w:rsidRPr="00992FC9">
              <w:rPr>
                <w:rFonts w:ascii="Times New Roman" w:hAnsi="Times New Roman" w:cs="Times New Roman"/>
                <w:b/>
                <w:sz w:val="20"/>
                <w:szCs w:val="20"/>
              </w:rPr>
              <w:t>D’où l’émergence de la pratique de « l’écrêtage » pour contourner légalement cet écueil.</w:t>
            </w:r>
          </w:p>
          <w:p w:rsidR="00992FC9" w:rsidRPr="00992FC9" w:rsidRDefault="00992FC9" w:rsidP="00992FC9">
            <w:pPr>
              <w:pStyle w:val="Paragraphedeliste"/>
              <w:jc w:val="both"/>
              <w:rPr>
                <w:rFonts w:ascii="Times New Roman" w:hAnsi="Times New Roman" w:cs="Times New Roman"/>
                <w:sz w:val="10"/>
                <w:szCs w:val="20"/>
              </w:rPr>
            </w:pPr>
          </w:p>
          <w:p w:rsidR="00992FC9" w:rsidRPr="003B62DC" w:rsidRDefault="00992FC9" w:rsidP="00992FC9">
            <w:pPr>
              <w:pStyle w:val="Paragraphedeliste"/>
              <w:numPr>
                <w:ilvl w:val="0"/>
                <w:numId w:val="29"/>
              </w:numPr>
              <w:ind w:left="176" w:hanging="176"/>
              <w:contextualSpacing w:val="0"/>
              <w:jc w:val="both"/>
              <w:rPr>
                <w:rFonts w:ascii="Times New Roman" w:hAnsi="Times New Roman" w:cs="Times New Roman"/>
                <w:sz w:val="20"/>
                <w:szCs w:val="20"/>
              </w:rPr>
            </w:pPr>
            <w:r w:rsidRPr="003B62DC">
              <w:rPr>
                <w:rFonts w:ascii="Times New Roman" w:hAnsi="Times New Roman" w:cs="Times New Roman"/>
                <w:b/>
                <w:bCs/>
                <w:sz w:val="20"/>
                <w:szCs w:val="20"/>
                <w:u w:val="single"/>
              </w:rPr>
              <w:t>RAPPEL</w:t>
            </w:r>
            <w:r w:rsidRPr="003B62DC">
              <w:rPr>
                <w:rFonts w:ascii="Times New Roman" w:hAnsi="Times New Roman" w:cs="Times New Roman"/>
                <w:sz w:val="20"/>
                <w:szCs w:val="20"/>
              </w:rPr>
              <w:t xml:space="preserve"> : la règlementation du calcul du TAEG n’impose d’y inclure que les frais liés à l’obtention du prêt, à savoir : le coût des intérêts, les frais de dossier, les frais de courtage, les frais de garanties, le coût des assurances obligatoires, les frais annexes (</w:t>
            </w:r>
            <w:r w:rsidRPr="003B62DC">
              <w:rPr>
                <w:rFonts w:ascii="Times New Roman" w:hAnsi="Times New Roman" w:cs="Times New Roman"/>
                <w:i/>
                <w:iCs/>
                <w:sz w:val="20"/>
                <w:szCs w:val="20"/>
              </w:rPr>
              <w:t>frais de caution par ex</w:t>
            </w:r>
            <w:r w:rsidRPr="003B62DC">
              <w:rPr>
                <w:rFonts w:ascii="Times New Roman" w:hAnsi="Times New Roman" w:cs="Times New Roman"/>
                <w:sz w:val="20"/>
                <w:szCs w:val="20"/>
              </w:rPr>
              <w:t>.) et tous autres frais qui seraient liés à une condition d’octroi du prêt (dans certains cas les frais de tenue de compte et frais des offres de services).</w:t>
            </w:r>
          </w:p>
          <w:p w:rsidR="00992FC9" w:rsidRPr="003B62DC" w:rsidRDefault="00992FC9" w:rsidP="00992FC9">
            <w:pPr>
              <w:pStyle w:val="Paragraphedeliste"/>
              <w:numPr>
                <w:ilvl w:val="1"/>
                <w:numId w:val="29"/>
              </w:numPr>
              <w:jc w:val="both"/>
              <w:rPr>
                <w:rFonts w:ascii="Times New Roman" w:hAnsi="Times New Roman" w:cs="Times New Roman"/>
                <w:sz w:val="20"/>
                <w:szCs w:val="20"/>
              </w:rPr>
            </w:pPr>
            <w:r w:rsidRPr="003B62DC">
              <w:rPr>
                <w:rFonts w:ascii="Times New Roman" w:hAnsi="Times New Roman" w:cs="Times New Roman"/>
                <w:sz w:val="20"/>
                <w:szCs w:val="20"/>
              </w:rPr>
              <w:t>Le TAEG du dossier doit être inférieur au taux de l’usure.</w:t>
            </w:r>
          </w:p>
          <w:p w:rsidR="00992FC9" w:rsidRPr="00992FC9" w:rsidRDefault="00992FC9" w:rsidP="00992FC9">
            <w:pPr>
              <w:pStyle w:val="Paragraphedeliste"/>
              <w:jc w:val="both"/>
              <w:rPr>
                <w:rFonts w:ascii="Times New Roman" w:hAnsi="Times New Roman" w:cs="Times New Roman"/>
                <w:sz w:val="8"/>
                <w:szCs w:val="20"/>
              </w:rPr>
            </w:pPr>
          </w:p>
          <w:p w:rsidR="00992FC9" w:rsidRDefault="00992FC9" w:rsidP="00992FC9">
            <w:pPr>
              <w:pStyle w:val="Paragraphedeliste"/>
              <w:numPr>
                <w:ilvl w:val="0"/>
                <w:numId w:val="29"/>
              </w:numPr>
              <w:ind w:left="176" w:hanging="176"/>
              <w:contextualSpacing w:val="0"/>
              <w:jc w:val="both"/>
              <w:rPr>
                <w:rFonts w:ascii="Times New Roman" w:hAnsi="Times New Roman" w:cs="Times New Roman"/>
                <w:sz w:val="20"/>
                <w:szCs w:val="20"/>
              </w:rPr>
            </w:pPr>
            <w:r w:rsidRPr="003B62DC">
              <w:rPr>
                <w:rFonts w:ascii="Times New Roman" w:hAnsi="Times New Roman" w:cs="Times New Roman"/>
                <w:b/>
                <w:bCs/>
                <w:sz w:val="20"/>
                <w:szCs w:val="20"/>
                <w:u w:val="single"/>
              </w:rPr>
              <w:t>L’ECRETAGE</w:t>
            </w:r>
            <w:r w:rsidRPr="003B62DC">
              <w:rPr>
                <w:rFonts w:ascii="Times New Roman" w:hAnsi="Times New Roman" w:cs="Times New Roman"/>
                <w:sz w:val="20"/>
                <w:szCs w:val="20"/>
              </w:rPr>
              <w:t xml:space="preserve"> : l’écrêtage est une solution technique pour répartir d’un côté, la part d’assurance « obligatoire », seule à impacter le TAEG, et de l’autre, la part d’assurance « facultative ».</w:t>
            </w:r>
          </w:p>
          <w:p w:rsidR="00992FC9" w:rsidRDefault="00992FC9" w:rsidP="00992FC9">
            <w:pPr>
              <w:pStyle w:val="Paragraphedeliste"/>
              <w:numPr>
                <w:ilvl w:val="0"/>
                <w:numId w:val="37"/>
              </w:numPr>
              <w:jc w:val="both"/>
              <w:rPr>
                <w:rFonts w:ascii="Times New Roman" w:hAnsi="Times New Roman" w:cs="Times New Roman"/>
                <w:sz w:val="20"/>
                <w:szCs w:val="20"/>
              </w:rPr>
            </w:pPr>
            <w:r w:rsidRPr="007A7401">
              <w:rPr>
                <w:rFonts w:ascii="Times New Roman" w:hAnsi="Times New Roman" w:cs="Times New Roman"/>
                <w:sz w:val="20"/>
                <w:szCs w:val="20"/>
              </w:rPr>
              <w:lastRenderedPageBreak/>
              <w:t xml:space="preserve">L’écrêtage est mise en œuvre </w:t>
            </w:r>
            <w:r w:rsidRPr="007A7401">
              <w:rPr>
                <w:rFonts w:ascii="Times New Roman" w:hAnsi="Times New Roman" w:cs="Times New Roman"/>
                <w:b/>
                <w:bCs/>
                <w:sz w:val="20"/>
                <w:szCs w:val="20"/>
              </w:rPr>
              <w:t>AUTOMATIQUEMENT</w:t>
            </w:r>
            <w:r w:rsidRPr="007A7401">
              <w:rPr>
                <w:rFonts w:ascii="Times New Roman" w:hAnsi="Times New Roman" w:cs="Times New Roman"/>
                <w:sz w:val="20"/>
                <w:szCs w:val="20"/>
              </w:rPr>
              <w:t xml:space="preserve"> (sans intervention du gestionnaire </w:t>
            </w:r>
            <w:r w:rsidRPr="007A7401">
              <w:rPr>
                <w:rFonts w:ascii="Times New Roman" w:hAnsi="Times New Roman" w:cs="Times New Roman"/>
                <w:i/>
                <w:iCs/>
                <w:sz w:val="20"/>
                <w:szCs w:val="20"/>
              </w:rPr>
              <w:t>qui réalise sa vente/conseil en ADE sans changement par rapport à l’existant</w:t>
            </w:r>
            <w:r w:rsidRPr="007A7401">
              <w:rPr>
                <w:rFonts w:ascii="Times New Roman" w:hAnsi="Times New Roman" w:cs="Times New Roman"/>
                <w:sz w:val="20"/>
                <w:szCs w:val="20"/>
              </w:rPr>
              <w:t>) :</w:t>
            </w:r>
          </w:p>
          <w:p w:rsidR="00992FC9" w:rsidRPr="007A7401" w:rsidRDefault="00992FC9" w:rsidP="00992FC9">
            <w:pPr>
              <w:pStyle w:val="Paragraphedeliste"/>
              <w:numPr>
                <w:ilvl w:val="1"/>
                <w:numId w:val="37"/>
              </w:numPr>
              <w:jc w:val="both"/>
              <w:rPr>
                <w:rFonts w:ascii="Times New Roman" w:hAnsi="Times New Roman" w:cs="Times New Roman"/>
                <w:sz w:val="20"/>
                <w:szCs w:val="20"/>
              </w:rPr>
            </w:pPr>
            <w:r w:rsidRPr="007A7401">
              <w:rPr>
                <w:rFonts w:ascii="Times New Roman" w:hAnsi="Times New Roman" w:cs="Times New Roman"/>
                <w:sz w:val="20"/>
                <w:szCs w:val="20"/>
              </w:rPr>
              <w:t xml:space="preserve">uniquement sur les prêts en </w:t>
            </w:r>
            <w:r w:rsidRPr="007A7401">
              <w:rPr>
                <w:rFonts w:ascii="Times New Roman" w:hAnsi="Times New Roman" w:cs="Times New Roman"/>
                <w:b/>
                <w:bCs/>
                <w:sz w:val="20"/>
                <w:szCs w:val="20"/>
              </w:rPr>
              <w:t>loi immobilier</w:t>
            </w:r>
          </w:p>
          <w:p w:rsidR="00992FC9" w:rsidRPr="007A7401" w:rsidRDefault="00992FC9" w:rsidP="00992FC9">
            <w:pPr>
              <w:pStyle w:val="Paragraphedeliste"/>
              <w:numPr>
                <w:ilvl w:val="1"/>
                <w:numId w:val="37"/>
              </w:numPr>
              <w:jc w:val="both"/>
              <w:rPr>
                <w:rFonts w:ascii="Times New Roman" w:hAnsi="Times New Roman" w:cs="Times New Roman"/>
                <w:sz w:val="20"/>
                <w:szCs w:val="20"/>
              </w:rPr>
            </w:pPr>
            <w:r w:rsidRPr="007A7401">
              <w:rPr>
                <w:rFonts w:ascii="Times New Roman" w:hAnsi="Times New Roman" w:cs="Times New Roman"/>
                <w:sz w:val="20"/>
                <w:szCs w:val="20"/>
              </w:rPr>
              <w:t xml:space="preserve">à chaque fois que le total des </w:t>
            </w:r>
            <w:r w:rsidRPr="007A7401">
              <w:rPr>
                <w:rFonts w:ascii="Times New Roman" w:hAnsi="Times New Roman" w:cs="Times New Roman"/>
                <w:b/>
                <w:bCs/>
                <w:sz w:val="20"/>
                <w:szCs w:val="20"/>
              </w:rPr>
              <w:t>quotités ADE est &gt; 100% sur un même prêt</w:t>
            </w:r>
          </w:p>
          <w:p w:rsidR="00992FC9" w:rsidRDefault="00992FC9" w:rsidP="00992FC9">
            <w:pPr>
              <w:pStyle w:val="Paragraphedeliste"/>
              <w:numPr>
                <w:ilvl w:val="1"/>
                <w:numId w:val="37"/>
              </w:numPr>
              <w:jc w:val="both"/>
              <w:rPr>
                <w:rFonts w:ascii="Times New Roman" w:hAnsi="Times New Roman" w:cs="Times New Roman"/>
                <w:sz w:val="20"/>
                <w:szCs w:val="20"/>
              </w:rPr>
            </w:pPr>
            <w:r w:rsidRPr="007A7401">
              <w:rPr>
                <w:rFonts w:ascii="Times New Roman" w:hAnsi="Times New Roman" w:cs="Times New Roman"/>
                <w:sz w:val="20"/>
                <w:szCs w:val="20"/>
              </w:rPr>
              <w:t xml:space="preserve">sur </w:t>
            </w:r>
            <w:r w:rsidRPr="007A7401">
              <w:rPr>
                <w:rFonts w:ascii="Times New Roman" w:hAnsi="Times New Roman" w:cs="Times New Roman"/>
                <w:b/>
                <w:bCs/>
                <w:sz w:val="20"/>
                <w:szCs w:val="20"/>
              </w:rPr>
              <w:t>toutes</w:t>
            </w:r>
            <w:r w:rsidRPr="007A7401">
              <w:rPr>
                <w:rFonts w:ascii="Times New Roman" w:hAnsi="Times New Roman" w:cs="Times New Roman"/>
                <w:sz w:val="20"/>
                <w:szCs w:val="20"/>
              </w:rPr>
              <w:t xml:space="preserve"> les assurances (contrat Groupe CNP, Ecureuil ADE Service, délégation d’assurance partenaire ou pas)</w:t>
            </w:r>
          </w:p>
          <w:p w:rsidR="00992FC9" w:rsidRPr="00992FC9" w:rsidRDefault="00992FC9" w:rsidP="00992FC9">
            <w:pPr>
              <w:pStyle w:val="Paragraphedeliste"/>
              <w:ind w:left="1440"/>
              <w:jc w:val="both"/>
              <w:rPr>
                <w:rFonts w:ascii="Times New Roman" w:hAnsi="Times New Roman" w:cs="Times New Roman"/>
                <w:sz w:val="8"/>
                <w:szCs w:val="20"/>
              </w:rPr>
            </w:pPr>
          </w:p>
          <w:p w:rsidR="00992FC9" w:rsidRPr="00992FC9" w:rsidRDefault="00992FC9" w:rsidP="00992FC9">
            <w:pPr>
              <w:pStyle w:val="Paragraphedeliste"/>
              <w:numPr>
                <w:ilvl w:val="0"/>
                <w:numId w:val="29"/>
              </w:numPr>
              <w:ind w:left="176" w:hanging="176"/>
              <w:contextualSpacing w:val="0"/>
              <w:jc w:val="both"/>
              <w:rPr>
                <w:rFonts w:ascii="Times New Roman" w:hAnsi="Times New Roman" w:cs="Times New Roman"/>
                <w:sz w:val="20"/>
                <w:szCs w:val="20"/>
              </w:rPr>
            </w:pPr>
            <w:r w:rsidRPr="00992FC9">
              <w:rPr>
                <w:rFonts w:ascii="Times New Roman" w:hAnsi="Times New Roman" w:cs="Times New Roman"/>
                <w:b/>
                <w:bCs/>
                <w:sz w:val="20"/>
                <w:szCs w:val="20"/>
                <w:u w:val="single"/>
              </w:rPr>
              <w:t>LA REGLE EN DETAIL</w:t>
            </w:r>
            <w:r w:rsidRPr="00992FC9">
              <w:rPr>
                <w:rFonts w:ascii="Times New Roman" w:hAnsi="Times New Roman" w:cs="Times New Roman"/>
                <w:sz w:val="20"/>
                <w:szCs w:val="20"/>
              </w:rPr>
              <w:t xml:space="preserve"> : pour chaque assuré (tous les assurés sont pris en compte : emprunteur, </w:t>
            </w:r>
            <w:proofErr w:type="spellStart"/>
            <w:r w:rsidRPr="00992FC9">
              <w:rPr>
                <w:rFonts w:ascii="Times New Roman" w:hAnsi="Times New Roman" w:cs="Times New Roman"/>
                <w:sz w:val="20"/>
                <w:szCs w:val="20"/>
              </w:rPr>
              <w:t>co</w:t>
            </w:r>
            <w:proofErr w:type="spellEnd"/>
            <w:r w:rsidRPr="00992FC9">
              <w:rPr>
                <w:rFonts w:ascii="Times New Roman" w:hAnsi="Times New Roman" w:cs="Times New Roman"/>
                <w:sz w:val="20"/>
                <w:szCs w:val="20"/>
              </w:rPr>
              <w:t>-emprunteur, caution, associé ...), il est déterminé une part d’ADE obligatoire et une part d’ADE facultative, selon une règle de proportionnalité qui assure la répartition équitable des parts obligatoire/facultative sur chaque assuré en fonction de son poids dans la quotité totale. Au final et au global, 100% seront considérés comme obligatoires et le reste des quotités assurées deviendront facultatives.</w:t>
            </w:r>
          </w:p>
          <w:p w:rsidR="00992FC9" w:rsidRDefault="00992FC9" w:rsidP="00992FC9">
            <w:pPr>
              <w:pStyle w:val="Paragraphedeliste"/>
              <w:jc w:val="both"/>
              <w:rPr>
                <w:noProof/>
                <w:lang w:eastAsia="fr-FR"/>
              </w:rPr>
            </w:pPr>
            <w:r>
              <w:rPr>
                <w:rFonts w:ascii="Times New Roman" w:hAnsi="Times New Roman" w:cs="Times New Roman"/>
                <w:sz w:val="20"/>
                <w:szCs w:val="20"/>
              </w:rPr>
              <w:t>Exemple 1 :</w:t>
            </w:r>
            <w:r w:rsidRPr="00744F21">
              <w:rPr>
                <w:noProof/>
                <w:lang w:eastAsia="fr-FR"/>
              </w:rPr>
              <w:t xml:space="preserve"> </w:t>
            </w:r>
            <w:r w:rsidRPr="00744F21">
              <w:rPr>
                <w:rFonts w:ascii="Times New Roman" w:hAnsi="Times New Roman" w:cs="Times New Roman"/>
                <w:noProof/>
                <w:sz w:val="20"/>
                <w:szCs w:val="20"/>
                <w:lang w:eastAsia="fr-FR"/>
              </w:rPr>
              <w:drawing>
                <wp:inline distT="0" distB="0" distL="0" distR="0" wp14:anchorId="6B2276C7" wp14:editId="243399B8">
                  <wp:extent cx="4517473" cy="933450"/>
                  <wp:effectExtent l="0" t="0" r="0" b="0"/>
                  <wp:docPr id="11" name="Image 10"/>
                  <wp:cNvGraphicFramePr/>
                  <a:graphic xmlns:a="http://schemas.openxmlformats.org/drawingml/2006/main">
                    <a:graphicData uri="http://schemas.openxmlformats.org/drawingml/2006/picture">
                      <pic:pic xmlns:pic="http://schemas.openxmlformats.org/drawingml/2006/picture">
                        <pic:nvPicPr>
                          <pic:cNvPr id="11" name="Image 10"/>
                          <pic:cNvPicPr/>
                        </pic:nvPicPr>
                        <pic:blipFill>
                          <a:blip r:embed="rId26"/>
                          <a:stretch>
                            <a:fillRect/>
                          </a:stretch>
                        </pic:blipFill>
                        <pic:spPr>
                          <a:xfrm>
                            <a:off x="0" y="0"/>
                            <a:ext cx="4517473" cy="933450"/>
                          </a:xfrm>
                          <a:prstGeom prst="rect">
                            <a:avLst/>
                          </a:prstGeom>
                        </pic:spPr>
                      </pic:pic>
                    </a:graphicData>
                  </a:graphic>
                </wp:inline>
              </w:drawing>
            </w:r>
          </w:p>
          <w:p w:rsidR="00992FC9" w:rsidRDefault="00992FC9" w:rsidP="00992FC9">
            <w:pPr>
              <w:pStyle w:val="Paragraphedeliste"/>
              <w:jc w:val="both"/>
              <w:rPr>
                <w:rFonts w:ascii="Times New Roman" w:hAnsi="Times New Roman" w:cs="Times New Roman"/>
                <w:i/>
                <w:iCs/>
                <w:sz w:val="20"/>
                <w:szCs w:val="20"/>
              </w:rPr>
            </w:pPr>
            <w:r w:rsidRPr="00744F21">
              <w:rPr>
                <w:rFonts w:ascii="Times New Roman" w:hAnsi="Times New Roman" w:cs="Times New Roman"/>
                <w:i/>
                <w:iCs/>
                <w:sz w:val="20"/>
                <w:szCs w:val="20"/>
              </w:rPr>
              <w:t>Ici, la proportion entre les 2 assurés est de 100/150 pour l’emprunteur 1 (soit 2/3) et 50/150 pour l’emprunteur 2, soit 1/3. Cette proportionnalité est reprise pour déterminer la part de chacun dans les quotités obligatoires et facultatives</w:t>
            </w:r>
            <w:r>
              <w:rPr>
                <w:rFonts w:ascii="Times New Roman" w:hAnsi="Times New Roman" w:cs="Times New Roman"/>
                <w:i/>
                <w:iCs/>
                <w:sz w:val="20"/>
                <w:szCs w:val="20"/>
              </w:rPr>
              <w:t>.</w:t>
            </w:r>
          </w:p>
          <w:p w:rsidR="00992FC9" w:rsidRDefault="00992FC9" w:rsidP="00C66DB1">
            <w:pPr>
              <w:pStyle w:val="Paragraphedeliste"/>
              <w:rPr>
                <w:rFonts w:ascii="Times New Roman" w:hAnsi="Times New Roman" w:cs="Times New Roman"/>
                <w:iCs/>
                <w:sz w:val="20"/>
                <w:szCs w:val="20"/>
              </w:rPr>
            </w:pPr>
            <w:r>
              <w:rPr>
                <w:rFonts w:ascii="Times New Roman" w:hAnsi="Times New Roman" w:cs="Times New Roman"/>
                <w:iCs/>
                <w:sz w:val="20"/>
                <w:szCs w:val="20"/>
              </w:rPr>
              <w:t xml:space="preserve">Exemple 2 : </w:t>
            </w:r>
            <w:r w:rsidRPr="00744F21">
              <w:rPr>
                <w:rFonts w:ascii="Times New Roman" w:hAnsi="Times New Roman" w:cs="Times New Roman"/>
                <w:iCs/>
                <w:noProof/>
                <w:sz w:val="20"/>
                <w:szCs w:val="20"/>
                <w:lang w:eastAsia="fr-FR"/>
              </w:rPr>
              <w:drawing>
                <wp:inline distT="0" distB="0" distL="0" distR="0" wp14:anchorId="6A9CF132" wp14:editId="21DE04B3">
                  <wp:extent cx="4667250" cy="1095375"/>
                  <wp:effectExtent l="0" t="0" r="0" b="9525"/>
                  <wp:docPr id="15" name="Image 14"/>
                  <wp:cNvGraphicFramePr/>
                  <a:graphic xmlns:a="http://schemas.openxmlformats.org/drawingml/2006/main">
                    <a:graphicData uri="http://schemas.openxmlformats.org/drawingml/2006/picture">
                      <pic:pic xmlns:pic="http://schemas.openxmlformats.org/drawingml/2006/picture">
                        <pic:nvPicPr>
                          <pic:cNvPr id="15" name="Image 14"/>
                          <pic:cNvPicPr/>
                        </pic:nvPicPr>
                        <pic:blipFill>
                          <a:blip r:embed="rId27"/>
                          <a:stretch>
                            <a:fillRect/>
                          </a:stretch>
                        </pic:blipFill>
                        <pic:spPr>
                          <a:xfrm>
                            <a:off x="0" y="0"/>
                            <a:ext cx="4667250" cy="1095375"/>
                          </a:xfrm>
                          <a:prstGeom prst="rect">
                            <a:avLst/>
                          </a:prstGeom>
                        </pic:spPr>
                      </pic:pic>
                    </a:graphicData>
                  </a:graphic>
                </wp:inline>
              </w:drawing>
            </w:r>
          </w:p>
          <w:p w:rsidR="00992FC9" w:rsidRDefault="00992FC9" w:rsidP="00C66DB1">
            <w:pPr>
              <w:pStyle w:val="Paragraphedeliste"/>
              <w:rPr>
                <w:rFonts w:ascii="Times New Roman" w:hAnsi="Times New Roman" w:cs="Times New Roman"/>
                <w:iCs/>
                <w:sz w:val="20"/>
                <w:szCs w:val="20"/>
              </w:rPr>
            </w:pPr>
          </w:p>
          <w:p w:rsidR="00992FC9" w:rsidRPr="00744F21" w:rsidRDefault="00992FC9" w:rsidP="00C66DB1">
            <w:pPr>
              <w:pStyle w:val="Paragraphedeliste"/>
              <w:rPr>
                <w:rFonts w:ascii="Times New Roman" w:hAnsi="Times New Roman" w:cs="Times New Roman"/>
                <w:sz w:val="20"/>
                <w:szCs w:val="20"/>
              </w:rPr>
            </w:pPr>
            <w:r w:rsidRPr="00744F21">
              <w:rPr>
                <w:rFonts w:ascii="Times New Roman" w:hAnsi="Times New Roman" w:cs="Times New Roman"/>
                <w:sz w:val="20"/>
                <w:szCs w:val="20"/>
              </w:rPr>
              <w:t>NB : les parts obligatoire/facultative seront détaillées dans l’éditique.</w:t>
            </w:r>
          </w:p>
          <w:p w:rsidR="00992FC9" w:rsidRPr="00744F21" w:rsidRDefault="00992FC9" w:rsidP="00C66DB1">
            <w:pPr>
              <w:pStyle w:val="Paragraphedeliste"/>
              <w:rPr>
                <w:rFonts w:ascii="Times New Roman" w:hAnsi="Times New Roman" w:cs="Times New Roman"/>
                <w:sz w:val="20"/>
                <w:szCs w:val="20"/>
              </w:rPr>
            </w:pPr>
          </w:p>
          <w:p w:rsidR="00992FC9" w:rsidRPr="00744F21" w:rsidRDefault="00992FC9" w:rsidP="00992FC9">
            <w:pPr>
              <w:pStyle w:val="Paragraphedeliste"/>
              <w:numPr>
                <w:ilvl w:val="0"/>
                <w:numId w:val="29"/>
              </w:numPr>
              <w:ind w:left="176" w:hanging="176"/>
              <w:contextualSpacing w:val="0"/>
              <w:jc w:val="both"/>
              <w:rPr>
                <w:rFonts w:ascii="Times New Roman" w:hAnsi="Times New Roman" w:cs="Times New Roman"/>
                <w:sz w:val="20"/>
                <w:szCs w:val="20"/>
              </w:rPr>
            </w:pPr>
            <w:r w:rsidRPr="00744F21">
              <w:rPr>
                <w:rFonts w:ascii="Times New Roman" w:hAnsi="Times New Roman" w:cs="Times New Roman"/>
                <w:b/>
                <w:bCs/>
                <w:sz w:val="20"/>
                <w:szCs w:val="20"/>
                <w:u w:val="single"/>
              </w:rPr>
              <w:t>POINT DE VIGILANCE</w:t>
            </w:r>
            <w:r w:rsidRPr="00744F21">
              <w:rPr>
                <w:rFonts w:ascii="Times New Roman" w:hAnsi="Times New Roman" w:cs="Times New Roman"/>
                <w:sz w:val="20"/>
                <w:szCs w:val="20"/>
              </w:rPr>
              <w:t xml:space="preserve"> : facultative signifie pour cette part que le client bénéficie d’une liberté totale, soit de se délier, soit de l’annuler sans que notre accord ne soit nécessaire.</w:t>
            </w:r>
          </w:p>
          <w:p w:rsidR="00992FC9" w:rsidRPr="00744F21" w:rsidRDefault="00992FC9" w:rsidP="00992FC9">
            <w:pPr>
              <w:pStyle w:val="Paragraphedeliste"/>
              <w:ind w:left="176"/>
              <w:rPr>
                <w:rFonts w:ascii="Times New Roman" w:hAnsi="Times New Roman" w:cs="Times New Roman"/>
                <w:sz w:val="20"/>
                <w:szCs w:val="20"/>
              </w:rPr>
            </w:pPr>
            <w:r w:rsidRPr="00744F21">
              <w:rPr>
                <w:rFonts w:ascii="Times New Roman" w:hAnsi="Times New Roman" w:cs="Times New Roman"/>
                <w:sz w:val="20"/>
                <w:szCs w:val="20"/>
              </w:rPr>
              <w:sym w:font="Wingdings" w:char="F0C4"/>
            </w:r>
            <w:r w:rsidRPr="00744F21">
              <w:rPr>
                <w:rFonts w:ascii="Times New Roman" w:hAnsi="Times New Roman" w:cs="Times New Roman"/>
                <w:sz w:val="20"/>
                <w:szCs w:val="20"/>
              </w:rPr>
              <w:t xml:space="preserve"> Aussi, il est essentiel dans le cadre de notre devoir de conseil de lui rappeler que l’important est d’être assuré, et de le rester, en couverture des garanties prévues et sur la quotité globale.</w:t>
            </w:r>
          </w:p>
        </w:tc>
      </w:tr>
      <w:tr w:rsidR="00992FC9" w:rsidRPr="008A2C98" w:rsidTr="00241E45">
        <w:trPr>
          <w:trHeight w:val="344"/>
        </w:trPr>
        <w:tc>
          <w:tcPr>
            <w:tcW w:w="1560" w:type="dxa"/>
            <w:tcBorders>
              <w:bottom w:val="single" w:sz="4" w:space="0" w:color="auto"/>
            </w:tcBorders>
            <w:vAlign w:val="center"/>
          </w:tcPr>
          <w:p w:rsidR="00992FC9" w:rsidRPr="002C4E27" w:rsidRDefault="00992FC9" w:rsidP="00B80553">
            <w:pPr>
              <w:rPr>
                <w:rFonts w:ascii="Times New Roman" w:hAnsi="Times New Roman" w:cs="Times New Roman"/>
                <w:b/>
                <w:bCs/>
                <w:sz w:val="20"/>
                <w:szCs w:val="20"/>
              </w:rPr>
            </w:pPr>
            <w:r w:rsidRPr="002F35AE">
              <w:rPr>
                <w:rFonts w:ascii="Times New Roman" w:hAnsi="Times New Roman" w:cs="Times New Roman"/>
                <w:b/>
                <w:bCs/>
                <w:sz w:val="20"/>
                <w:szCs w:val="20"/>
              </w:rPr>
              <w:lastRenderedPageBreak/>
              <w:t>Com. DMA</w:t>
            </w:r>
          </w:p>
        </w:tc>
        <w:tc>
          <w:tcPr>
            <w:tcW w:w="1843" w:type="dxa"/>
            <w:tcBorders>
              <w:bottom w:val="single" w:sz="4" w:space="0" w:color="auto"/>
            </w:tcBorders>
            <w:vAlign w:val="center"/>
          </w:tcPr>
          <w:p w:rsidR="00992FC9" w:rsidRDefault="00992FC9" w:rsidP="00C66DB1">
            <w:pPr>
              <w:rPr>
                <w:rFonts w:ascii="Times New Roman" w:hAnsi="Times New Roman" w:cs="Times New Roman"/>
                <w:b/>
                <w:bCs/>
                <w:color w:val="000000"/>
                <w:sz w:val="20"/>
                <w:szCs w:val="20"/>
              </w:rPr>
            </w:pPr>
            <w:r>
              <w:rPr>
                <w:rFonts w:ascii="Times New Roman" w:hAnsi="Times New Roman" w:cs="Times New Roman"/>
                <w:b/>
                <w:bCs/>
                <w:color w:val="000000"/>
                <w:sz w:val="20"/>
                <w:szCs w:val="20"/>
              </w:rPr>
              <w:t>Ecrêtage de l’assurance des emprunteurs : mise en œuvre</w:t>
            </w:r>
          </w:p>
        </w:tc>
        <w:tc>
          <w:tcPr>
            <w:tcW w:w="12332" w:type="dxa"/>
            <w:tcBorders>
              <w:bottom w:val="single" w:sz="4" w:space="0" w:color="auto"/>
            </w:tcBorders>
            <w:shd w:val="clear" w:color="auto" w:fill="auto"/>
            <w:vAlign w:val="center"/>
          </w:tcPr>
          <w:p w:rsidR="00992FC9" w:rsidRPr="000B289E" w:rsidRDefault="00992FC9" w:rsidP="00992FC9">
            <w:pPr>
              <w:pStyle w:val="Paragraphedeliste"/>
              <w:numPr>
                <w:ilvl w:val="0"/>
                <w:numId w:val="29"/>
              </w:numPr>
              <w:ind w:left="176" w:hanging="176"/>
              <w:contextualSpacing w:val="0"/>
              <w:jc w:val="both"/>
              <w:rPr>
                <w:rFonts w:ascii="Times New Roman" w:hAnsi="Times New Roman" w:cs="Times New Roman"/>
                <w:sz w:val="20"/>
                <w:szCs w:val="20"/>
              </w:rPr>
            </w:pPr>
            <w:r w:rsidRPr="000B289E">
              <w:rPr>
                <w:rFonts w:ascii="Times New Roman" w:hAnsi="Times New Roman" w:cs="Times New Roman"/>
                <w:b/>
                <w:bCs/>
                <w:sz w:val="20"/>
                <w:szCs w:val="20"/>
                <w:u w:val="single"/>
              </w:rPr>
              <w:t>Activation de l’écrêtage</w:t>
            </w:r>
            <w:r w:rsidR="00115FEB">
              <w:rPr>
                <w:rFonts w:ascii="Times New Roman" w:hAnsi="Times New Roman" w:cs="Times New Roman"/>
                <w:b/>
                <w:bCs/>
                <w:sz w:val="20"/>
                <w:szCs w:val="20"/>
                <w:u w:val="single"/>
              </w:rPr>
              <w:t xml:space="preserve"> </w:t>
            </w:r>
            <w:r w:rsidRPr="000B289E">
              <w:rPr>
                <w:rFonts w:ascii="Times New Roman" w:hAnsi="Times New Roman" w:cs="Times New Roman"/>
                <w:b/>
                <w:bCs/>
                <w:sz w:val="20"/>
                <w:szCs w:val="20"/>
                <w:u w:val="single"/>
              </w:rPr>
              <w:t>en instruction</w:t>
            </w:r>
            <w:r w:rsidRPr="000B289E">
              <w:rPr>
                <w:rFonts w:ascii="Times New Roman" w:hAnsi="Times New Roman" w:cs="Times New Roman"/>
                <w:b/>
                <w:bCs/>
                <w:sz w:val="20"/>
                <w:szCs w:val="20"/>
              </w:rPr>
              <w:t> :</w:t>
            </w:r>
          </w:p>
          <w:p w:rsidR="00992FC9" w:rsidRPr="000B289E" w:rsidRDefault="00992FC9" w:rsidP="00992FC9">
            <w:pPr>
              <w:numPr>
                <w:ilvl w:val="0"/>
                <w:numId w:val="6"/>
              </w:numPr>
              <w:contextualSpacing/>
              <w:jc w:val="both"/>
              <w:rPr>
                <w:rFonts w:ascii="Times New Roman" w:hAnsi="Times New Roman" w:cs="Times New Roman"/>
                <w:sz w:val="20"/>
                <w:szCs w:val="20"/>
              </w:rPr>
            </w:pPr>
            <w:r w:rsidRPr="000B289E">
              <w:rPr>
                <w:rFonts w:ascii="Times New Roman" w:hAnsi="Times New Roman" w:cs="Times New Roman"/>
                <w:sz w:val="20"/>
                <w:szCs w:val="20"/>
              </w:rPr>
              <w:t xml:space="preserve">Bouton Pré coché en obligatoire = Ecrêtage automatique sans aucune intervention de l’instructeur. </w:t>
            </w:r>
          </w:p>
          <w:p w:rsidR="00992FC9" w:rsidRDefault="00992FC9" w:rsidP="00C66DB1">
            <w:pPr>
              <w:ind w:left="1267"/>
              <w:contextualSpacing/>
              <w:jc w:val="both"/>
              <w:rPr>
                <w:noProof/>
                <w:lang w:eastAsia="fr-FR"/>
              </w:rPr>
            </w:pPr>
            <w:r w:rsidRPr="000B289E">
              <w:rPr>
                <w:rFonts w:ascii="Times New Roman" w:hAnsi="Times New Roman" w:cs="Times New Roman"/>
                <w:noProof/>
                <w:sz w:val="20"/>
                <w:szCs w:val="20"/>
                <w:lang w:eastAsia="fr-FR"/>
              </w:rPr>
              <w:drawing>
                <wp:inline distT="0" distB="0" distL="0" distR="0" wp14:anchorId="76FDC403" wp14:editId="00559C95">
                  <wp:extent cx="2631882" cy="1470991"/>
                  <wp:effectExtent l="0" t="0" r="0" b="0"/>
                  <wp:docPr id="5" name="Image 4"/>
                  <wp:cNvGraphicFramePr/>
                  <a:graphic xmlns:a="http://schemas.openxmlformats.org/drawingml/2006/main">
                    <a:graphicData uri="http://schemas.openxmlformats.org/drawingml/2006/picture">
                      <pic:pic xmlns:pic="http://schemas.openxmlformats.org/drawingml/2006/picture">
                        <pic:nvPicPr>
                          <pic:cNvPr id="5" name="Image 4"/>
                          <pic:cNvPicPr/>
                        </pic:nvPicPr>
                        <pic:blipFill rotWithShape="1">
                          <a:blip r:embed="rId28"/>
                          <a:srcRect t="3437" r="41268"/>
                          <a:stretch/>
                        </pic:blipFill>
                        <pic:spPr bwMode="auto">
                          <a:xfrm>
                            <a:off x="0" y="0"/>
                            <a:ext cx="2630498" cy="1470217"/>
                          </a:xfrm>
                          <a:prstGeom prst="rect">
                            <a:avLst/>
                          </a:prstGeom>
                          <a:ln>
                            <a:noFill/>
                          </a:ln>
                          <a:extLst>
                            <a:ext uri="{53640926-AAD7-44D8-BBD7-CCE9431645EC}">
                              <a14:shadowObscured xmlns:a14="http://schemas.microsoft.com/office/drawing/2010/main"/>
                            </a:ext>
                          </a:extLst>
                        </pic:spPr>
                      </pic:pic>
                    </a:graphicData>
                  </a:graphic>
                </wp:inline>
              </w:drawing>
            </w:r>
            <w:r w:rsidRPr="000B289E">
              <w:rPr>
                <w:noProof/>
                <w:lang w:eastAsia="fr-FR"/>
              </w:rPr>
              <w:t xml:space="preserve"> </w:t>
            </w:r>
            <w:r w:rsidRPr="000B289E">
              <w:rPr>
                <w:rFonts w:ascii="Times New Roman" w:hAnsi="Times New Roman" w:cs="Times New Roman"/>
                <w:noProof/>
                <w:sz w:val="20"/>
                <w:szCs w:val="20"/>
                <w:lang w:eastAsia="fr-FR"/>
              </w:rPr>
              <w:drawing>
                <wp:inline distT="0" distB="0" distL="0" distR="0" wp14:anchorId="6F64AC69" wp14:editId="04371F67">
                  <wp:extent cx="3403158" cy="1470992"/>
                  <wp:effectExtent l="0" t="0" r="6985" b="0"/>
                  <wp:docPr id="6" name="Image 5"/>
                  <wp:cNvGraphicFramePr/>
                  <a:graphic xmlns:a="http://schemas.openxmlformats.org/drawingml/2006/main">
                    <a:graphicData uri="http://schemas.openxmlformats.org/drawingml/2006/picture">
                      <pic:pic xmlns:pic="http://schemas.openxmlformats.org/drawingml/2006/picture">
                        <pic:nvPicPr>
                          <pic:cNvPr id="6" name="Image 5"/>
                          <pic:cNvPicPr/>
                        </pic:nvPicPr>
                        <pic:blipFill rotWithShape="1">
                          <a:blip r:embed="rId29"/>
                          <a:srcRect l="1096" t="17594" r="7319" b="2769"/>
                          <a:stretch/>
                        </pic:blipFill>
                        <pic:spPr bwMode="auto">
                          <a:xfrm>
                            <a:off x="0" y="0"/>
                            <a:ext cx="3401366" cy="1470218"/>
                          </a:xfrm>
                          <a:prstGeom prst="rect">
                            <a:avLst/>
                          </a:prstGeom>
                          <a:ln>
                            <a:noFill/>
                          </a:ln>
                          <a:extLst>
                            <a:ext uri="{53640926-AAD7-44D8-BBD7-CCE9431645EC}">
                              <a14:shadowObscured xmlns:a14="http://schemas.microsoft.com/office/drawing/2010/main"/>
                            </a:ext>
                          </a:extLst>
                        </pic:spPr>
                      </pic:pic>
                    </a:graphicData>
                  </a:graphic>
                </wp:inline>
              </w:drawing>
            </w:r>
          </w:p>
          <w:p w:rsidR="00992FC9" w:rsidRPr="00DA738A" w:rsidRDefault="00992FC9" w:rsidP="00992FC9">
            <w:pPr>
              <w:ind w:left="1267"/>
              <w:contextualSpacing/>
              <w:jc w:val="both"/>
              <w:rPr>
                <w:rFonts w:ascii="Times New Roman" w:hAnsi="Times New Roman" w:cs="Times New Roman"/>
                <w:sz w:val="20"/>
                <w:szCs w:val="20"/>
              </w:rPr>
            </w:pPr>
            <w:r w:rsidRPr="000B289E">
              <w:rPr>
                <w:rFonts w:ascii="Times New Roman" w:hAnsi="Times New Roman" w:cs="Times New Roman"/>
                <w:i/>
                <w:iCs/>
                <w:sz w:val="20"/>
                <w:szCs w:val="20"/>
              </w:rPr>
              <w:t>Le bouton facultatif reste présent pour permettre de gérer des taux d’assurances importants dans certains cas particuliers</w:t>
            </w:r>
          </w:p>
        </w:tc>
      </w:tr>
      <w:tr w:rsidR="00992FC9" w:rsidRPr="008A2C98" w:rsidTr="00241E45">
        <w:trPr>
          <w:trHeight w:val="344"/>
        </w:trPr>
        <w:tc>
          <w:tcPr>
            <w:tcW w:w="1560" w:type="dxa"/>
            <w:tcBorders>
              <w:bottom w:val="single" w:sz="4" w:space="0" w:color="auto"/>
            </w:tcBorders>
            <w:vAlign w:val="center"/>
          </w:tcPr>
          <w:p w:rsidR="00992FC9" w:rsidRDefault="00992FC9" w:rsidP="00C66DB1">
            <w:pPr>
              <w:rPr>
                <w:rFonts w:ascii="Times New Roman" w:hAnsi="Times New Roman" w:cs="Times New Roman"/>
                <w:b/>
                <w:bCs/>
                <w:sz w:val="20"/>
                <w:szCs w:val="20"/>
              </w:rPr>
            </w:pPr>
            <w:r>
              <w:rPr>
                <w:rFonts w:ascii="Times New Roman" w:hAnsi="Times New Roman" w:cs="Times New Roman"/>
                <w:b/>
                <w:bCs/>
                <w:sz w:val="20"/>
                <w:szCs w:val="20"/>
              </w:rPr>
              <w:lastRenderedPageBreak/>
              <w:t>Com. DMA</w:t>
            </w:r>
          </w:p>
        </w:tc>
        <w:tc>
          <w:tcPr>
            <w:tcW w:w="1843" w:type="dxa"/>
            <w:tcBorders>
              <w:bottom w:val="single" w:sz="4" w:space="0" w:color="auto"/>
            </w:tcBorders>
            <w:vAlign w:val="center"/>
          </w:tcPr>
          <w:p w:rsidR="00992FC9" w:rsidRPr="00084343" w:rsidRDefault="00992FC9" w:rsidP="00C66DB1">
            <w:pP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Outil synchro : évolution vers une ergonomie d’écran </w:t>
            </w:r>
            <w:proofErr w:type="spellStart"/>
            <w:r>
              <w:rPr>
                <w:rFonts w:ascii="Times New Roman" w:hAnsi="Times New Roman" w:cs="Times New Roman"/>
                <w:b/>
                <w:bCs/>
                <w:color w:val="000000"/>
                <w:sz w:val="20"/>
                <w:szCs w:val="20"/>
              </w:rPr>
              <w:t>MyWay</w:t>
            </w:r>
            <w:proofErr w:type="spellEnd"/>
          </w:p>
        </w:tc>
        <w:tc>
          <w:tcPr>
            <w:tcW w:w="12332" w:type="dxa"/>
            <w:tcBorders>
              <w:bottom w:val="single" w:sz="4" w:space="0" w:color="auto"/>
            </w:tcBorders>
            <w:shd w:val="clear" w:color="auto" w:fill="auto"/>
            <w:vAlign w:val="center"/>
          </w:tcPr>
          <w:p w:rsidR="00992FC9" w:rsidRPr="00802222" w:rsidRDefault="00992FC9" w:rsidP="00802222">
            <w:pPr>
              <w:pStyle w:val="Paragraphedeliste"/>
              <w:numPr>
                <w:ilvl w:val="0"/>
                <w:numId w:val="29"/>
              </w:numPr>
              <w:ind w:left="176" w:hanging="176"/>
              <w:contextualSpacing w:val="0"/>
              <w:jc w:val="both"/>
              <w:rPr>
                <w:rFonts w:ascii="Times New Roman" w:hAnsi="Times New Roman" w:cs="Times New Roman"/>
                <w:b/>
                <w:bCs/>
                <w:sz w:val="20"/>
                <w:szCs w:val="20"/>
                <w:u w:val="single"/>
              </w:rPr>
            </w:pPr>
            <w:r w:rsidRPr="00802222">
              <w:rPr>
                <w:rFonts w:ascii="Times New Roman" w:hAnsi="Times New Roman" w:cs="Times New Roman"/>
                <w:b/>
                <w:bCs/>
                <w:sz w:val="20"/>
                <w:szCs w:val="20"/>
              </w:rPr>
              <w:t>Retrouvez les points d’e</w:t>
            </w:r>
            <w:r w:rsidR="00802222" w:rsidRPr="00802222">
              <w:rPr>
                <w:rFonts w:ascii="Times New Roman" w:hAnsi="Times New Roman" w:cs="Times New Roman"/>
                <w:b/>
                <w:bCs/>
                <w:sz w:val="20"/>
                <w:szCs w:val="20"/>
              </w:rPr>
              <w:t xml:space="preserve">ntrée Synchro directement dans </w:t>
            </w:r>
            <w:r w:rsidR="00AA2D21" w:rsidRPr="00802222">
              <w:rPr>
                <w:rFonts w:ascii="Times New Roman" w:hAnsi="Times New Roman" w:cs="Times New Roman"/>
                <w:sz w:val="20"/>
                <w:szCs w:val="20"/>
              </w:rPr>
              <w:t>« </w:t>
            </w:r>
            <w:r w:rsidRPr="00802222">
              <w:rPr>
                <w:rFonts w:ascii="Times New Roman" w:hAnsi="Times New Roman" w:cs="Times New Roman"/>
                <w:sz w:val="20"/>
                <w:szCs w:val="20"/>
              </w:rPr>
              <w:t>Transaction 1192</w:t>
            </w:r>
            <w:r w:rsidR="00AA2D21" w:rsidRPr="00802222">
              <w:rPr>
                <w:rFonts w:ascii="Times New Roman" w:hAnsi="Times New Roman" w:cs="Times New Roman"/>
                <w:sz w:val="20"/>
                <w:szCs w:val="20"/>
              </w:rPr>
              <w:t> »</w:t>
            </w:r>
            <w:r w:rsidR="00802222" w:rsidRPr="00802222">
              <w:rPr>
                <w:rFonts w:ascii="Times New Roman" w:hAnsi="Times New Roman" w:cs="Times New Roman"/>
                <w:sz w:val="20"/>
                <w:szCs w:val="20"/>
              </w:rPr>
              <w:t xml:space="preserve"> et dans </w:t>
            </w:r>
            <w:r w:rsidR="00AA2D21" w:rsidRPr="00802222">
              <w:rPr>
                <w:rFonts w:ascii="Times New Roman" w:hAnsi="Times New Roman" w:cs="Times New Roman"/>
                <w:sz w:val="20"/>
                <w:szCs w:val="20"/>
              </w:rPr>
              <w:t>« Actes spécifiques du crédit »</w:t>
            </w:r>
            <w:r w:rsidR="00802222">
              <w:rPr>
                <w:rFonts w:ascii="Times New Roman" w:hAnsi="Times New Roman" w:cs="Times New Roman"/>
                <w:sz w:val="20"/>
                <w:szCs w:val="20"/>
              </w:rPr>
              <w:t xml:space="preserve"> - </w:t>
            </w:r>
            <w:hyperlink r:id="rId30" w:history="1">
              <w:r w:rsidR="00802222" w:rsidRPr="00802222">
                <w:rPr>
                  <w:rStyle w:val="Lienhypertexte"/>
                  <w:rFonts w:ascii="Times New Roman" w:hAnsi="Times New Roman" w:cs="Times New Roman"/>
                  <w:sz w:val="20"/>
                  <w:szCs w:val="20"/>
                </w:rPr>
                <w:t>cliquez ici</w:t>
              </w:r>
            </w:hyperlink>
            <w:bookmarkStart w:id="0" w:name="_GoBack"/>
            <w:bookmarkEnd w:id="0"/>
            <w:r w:rsidR="00802222">
              <w:rPr>
                <w:rFonts w:ascii="Times New Roman" w:hAnsi="Times New Roman" w:cs="Times New Roman"/>
                <w:sz w:val="20"/>
                <w:szCs w:val="20"/>
              </w:rPr>
              <w:t xml:space="preserve"> </w:t>
            </w:r>
          </w:p>
          <w:p w:rsidR="00992FC9" w:rsidRPr="00992FC9" w:rsidRDefault="00992FC9" w:rsidP="00992FC9">
            <w:pPr>
              <w:jc w:val="both"/>
              <w:rPr>
                <w:rFonts w:ascii="Times New Roman" w:hAnsi="Times New Roman" w:cs="Times New Roman"/>
                <w:b/>
                <w:bCs/>
                <w:sz w:val="20"/>
                <w:szCs w:val="20"/>
                <w:u w:val="single"/>
              </w:rPr>
            </w:pPr>
          </w:p>
        </w:tc>
      </w:tr>
      <w:tr w:rsidR="00AA2D21" w:rsidRPr="008A2C98" w:rsidTr="00241E45">
        <w:trPr>
          <w:trHeight w:val="344"/>
        </w:trPr>
        <w:tc>
          <w:tcPr>
            <w:tcW w:w="1560" w:type="dxa"/>
            <w:tcBorders>
              <w:bottom w:val="single" w:sz="4" w:space="0" w:color="auto"/>
            </w:tcBorders>
            <w:vAlign w:val="center"/>
          </w:tcPr>
          <w:p w:rsidR="00AA2D21" w:rsidRDefault="00AA2D21" w:rsidP="00C66DB1">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vAlign w:val="center"/>
          </w:tcPr>
          <w:p w:rsidR="00AA2D21" w:rsidRDefault="00AA2D21" w:rsidP="00C66DB1">
            <w:pPr>
              <w:rPr>
                <w:rFonts w:ascii="Times New Roman" w:hAnsi="Times New Roman" w:cs="Times New Roman"/>
                <w:b/>
                <w:bCs/>
                <w:color w:val="000000"/>
                <w:sz w:val="20"/>
                <w:szCs w:val="20"/>
              </w:rPr>
            </w:pPr>
            <w:r>
              <w:rPr>
                <w:rFonts w:ascii="Times New Roman" w:hAnsi="Times New Roman" w:cs="Times New Roman"/>
                <w:b/>
                <w:bCs/>
                <w:color w:val="000000"/>
                <w:sz w:val="20"/>
                <w:szCs w:val="20"/>
              </w:rPr>
              <w:t>La SAG prochainement disponible sur NEO</w:t>
            </w:r>
          </w:p>
        </w:tc>
        <w:tc>
          <w:tcPr>
            <w:tcW w:w="12332" w:type="dxa"/>
            <w:tcBorders>
              <w:bottom w:val="single" w:sz="4" w:space="0" w:color="auto"/>
            </w:tcBorders>
            <w:shd w:val="clear" w:color="auto" w:fill="auto"/>
            <w:vAlign w:val="center"/>
          </w:tcPr>
          <w:p w:rsidR="00AA2D21" w:rsidRDefault="00AA2D21" w:rsidP="00AA2D21">
            <w:pPr>
              <w:pStyle w:val="Paragraphedeliste"/>
              <w:numPr>
                <w:ilvl w:val="0"/>
                <w:numId w:val="29"/>
              </w:numPr>
              <w:ind w:left="176" w:hanging="176"/>
              <w:contextualSpacing w:val="0"/>
              <w:jc w:val="both"/>
              <w:rPr>
                <w:rFonts w:ascii="Times New Roman" w:hAnsi="Times New Roman" w:cs="Times New Roman"/>
                <w:bCs/>
                <w:sz w:val="20"/>
                <w:szCs w:val="20"/>
              </w:rPr>
            </w:pPr>
            <w:r w:rsidRPr="006D720C">
              <w:rPr>
                <w:noProof/>
                <w:lang w:eastAsia="fr-FR"/>
              </w:rPr>
              <w:drawing>
                <wp:anchor distT="0" distB="0" distL="114300" distR="114300" simplePos="0" relativeHeight="251659264" behindDoc="1" locked="0" layoutInCell="1" allowOverlap="1" wp14:anchorId="172CF4D4" wp14:editId="32B91F6A">
                  <wp:simplePos x="0" y="0"/>
                  <wp:positionH relativeFrom="column">
                    <wp:posOffset>2105660</wp:posOffset>
                  </wp:positionH>
                  <wp:positionV relativeFrom="paragraph">
                    <wp:posOffset>223520</wp:posOffset>
                  </wp:positionV>
                  <wp:extent cx="1757045" cy="643890"/>
                  <wp:effectExtent l="0" t="0" r="0" b="3810"/>
                  <wp:wrapTight wrapText="bothSides">
                    <wp:wrapPolygon edited="0">
                      <wp:start x="0" y="0"/>
                      <wp:lineTo x="0" y="21089"/>
                      <wp:lineTo x="21311" y="21089"/>
                      <wp:lineTo x="21311" y="0"/>
                      <wp:lineTo x="0" y="0"/>
                    </wp:wrapPolygon>
                  </wp:wrapTight>
                  <wp:docPr id="2" name="Image 5"/>
                  <wp:cNvGraphicFramePr/>
                  <a:graphic xmlns:a="http://schemas.openxmlformats.org/drawingml/2006/main">
                    <a:graphicData uri="http://schemas.openxmlformats.org/drawingml/2006/picture">
                      <pic:pic xmlns:pic="http://schemas.openxmlformats.org/drawingml/2006/picture">
                        <pic:nvPicPr>
                          <pic:cNvPr id="6" name="Image 5"/>
                          <pic:cNvPicPr/>
                        </pic:nvPicPr>
                        <pic:blipFill rotWithShape="1">
                          <a:blip r:embed="rId31">
                            <a:extLst>
                              <a:ext uri="{28A0092B-C50C-407E-A947-70E740481C1C}">
                                <a14:useLocalDpi xmlns:a14="http://schemas.microsoft.com/office/drawing/2010/main" val="0"/>
                              </a:ext>
                            </a:extLst>
                          </a:blip>
                          <a:srcRect l="6812" t="7250" r="12063" b="5798"/>
                          <a:stretch/>
                        </pic:blipFill>
                        <pic:spPr bwMode="auto">
                          <a:xfrm>
                            <a:off x="0" y="0"/>
                            <a:ext cx="1757045" cy="6438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Cs/>
                <w:sz w:val="20"/>
                <w:szCs w:val="20"/>
              </w:rPr>
              <w:t xml:space="preserve">L’édition de la demande de crédit pourra prochainement s’effectuer en SAG. Dans cette attente, la fonctionnalité SAG apparaît en « grisé » sur l’écran NEO. </w:t>
            </w:r>
          </w:p>
          <w:p w:rsidR="00AA2D21" w:rsidRDefault="00AA2D21" w:rsidP="00AA2D21">
            <w:pPr>
              <w:pStyle w:val="Paragraphedeliste"/>
              <w:ind w:left="176"/>
              <w:contextualSpacing w:val="0"/>
              <w:jc w:val="both"/>
              <w:rPr>
                <w:rFonts w:ascii="Times New Roman" w:hAnsi="Times New Roman" w:cs="Times New Roman"/>
                <w:bCs/>
                <w:sz w:val="20"/>
                <w:szCs w:val="20"/>
              </w:rPr>
            </w:pPr>
          </w:p>
          <w:p w:rsidR="00AA2D21" w:rsidRDefault="00AA2D21" w:rsidP="00AA2D21">
            <w:pPr>
              <w:pStyle w:val="Paragraphedeliste"/>
              <w:ind w:left="176"/>
              <w:contextualSpacing w:val="0"/>
              <w:jc w:val="both"/>
              <w:rPr>
                <w:rFonts w:ascii="Times New Roman" w:hAnsi="Times New Roman" w:cs="Times New Roman"/>
                <w:bCs/>
                <w:sz w:val="20"/>
                <w:szCs w:val="20"/>
              </w:rPr>
            </w:pPr>
          </w:p>
          <w:p w:rsidR="00AA2D21" w:rsidRDefault="00AA2D21" w:rsidP="00AA2D21">
            <w:pPr>
              <w:pStyle w:val="Paragraphedeliste"/>
              <w:ind w:left="176"/>
              <w:contextualSpacing w:val="0"/>
              <w:jc w:val="both"/>
              <w:rPr>
                <w:rFonts w:ascii="Times New Roman" w:hAnsi="Times New Roman" w:cs="Times New Roman"/>
                <w:bCs/>
                <w:sz w:val="20"/>
                <w:szCs w:val="20"/>
              </w:rPr>
            </w:pPr>
          </w:p>
          <w:p w:rsidR="00AA2D21" w:rsidRPr="00AA2D21" w:rsidRDefault="00AA2D21" w:rsidP="00AA2D21">
            <w:pPr>
              <w:pStyle w:val="Paragraphedeliste"/>
              <w:ind w:left="176"/>
              <w:contextualSpacing w:val="0"/>
              <w:jc w:val="both"/>
              <w:rPr>
                <w:rFonts w:ascii="Times New Roman" w:hAnsi="Times New Roman" w:cs="Times New Roman"/>
                <w:bCs/>
                <w:sz w:val="20"/>
                <w:szCs w:val="20"/>
              </w:rPr>
            </w:pPr>
          </w:p>
        </w:tc>
      </w:tr>
      <w:tr w:rsidR="00B46731" w:rsidRPr="008A2C98" w:rsidTr="00327BAF">
        <w:trPr>
          <w:trHeight w:val="344"/>
        </w:trPr>
        <w:tc>
          <w:tcPr>
            <w:tcW w:w="15735" w:type="dxa"/>
            <w:gridSpan w:val="3"/>
            <w:tcBorders>
              <w:bottom w:val="single" w:sz="4" w:space="0" w:color="auto"/>
            </w:tcBorders>
            <w:shd w:val="clear" w:color="auto" w:fill="BFBFBF" w:themeFill="background1" w:themeFillShade="BF"/>
            <w:vAlign w:val="center"/>
          </w:tcPr>
          <w:p w:rsidR="00B46731" w:rsidRPr="002F35AE" w:rsidRDefault="00B46731" w:rsidP="00327BAF">
            <w:pPr>
              <w:contextualSpacing/>
              <w:jc w:val="center"/>
              <w:rPr>
                <w:rFonts w:ascii="Times New Roman" w:hAnsi="Times New Roman" w:cs="Times New Roman"/>
                <w:b/>
                <w:sz w:val="20"/>
                <w:szCs w:val="20"/>
              </w:rPr>
            </w:pPr>
            <w:r>
              <w:rPr>
                <w:rFonts w:ascii="Times New Roman" w:hAnsi="Times New Roman" w:cs="Times New Roman"/>
                <w:b/>
                <w:sz w:val="20"/>
                <w:szCs w:val="20"/>
              </w:rPr>
              <w:t>Communication</w:t>
            </w:r>
          </w:p>
        </w:tc>
      </w:tr>
      <w:tr w:rsidR="00CF61A4" w:rsidRPr="008A2C98" w:rsidTr="00266F1C">
        <w:trPr>
          <w:trHeight w:val="363"/>
        </w:trPr>
        <w:tc>
          <w:tcPr>
            <w:tcW w:w="1560" w:type="dxa"/>
            <w:tcBorders>
              <w:bottom w:val="single" w:sz="4" w:space="0" w:color="auto"/>
            </w:tcBorders>
            <w:vAlign w:val="center"/>
          </w:tcPr>
          <w:p w:rsidR="00CF61A4" w:rsidRPr="00AA2D21" w:rsidRDefault="00CF61A4" w:rsidP="00266F1C">
            <w:pPr>
              <w:rPr>
                <w:rFonts w:ascii="Times New Roman" w:hAnsi="Times New Roman" w:cs="Times New Roman"/>
                <w:b/>
                <w:bCs/>
                <w:sz w:val="20"/>
                <w:szCs w:val="20"/>
              </w:rPr>
            </w:pPr>
            <w:r w:rsidRPr="00AA2D21">
              <w:rPr>
                <w:rFonts w:ascii="Times New Roman" w:hAnsi="Times New Roman" w:cs="Times New Roman"/>
                <w:b/>
                <w:bCs/>
                <w:sz w:val="20"/>
                <w:szCs w:val="20"/>
              </w:rPr>
              <w:t>Com. DMA</w:t>
            </w:r>
          </w:p>
        </w:tc>
        <w:tc>
          <w:tcPr>
            <w:tcW w:w="1843" w:type="dxa"/>
            <w:tcBorders>
              <w:bottom w:val="single" w:sz="4" w:space="0" w:color="auto"/>
            </w:tcBorders>
            <w:vAlign w:val="center"/>
          </w:tcPr>
          <w:p w:rsidR="00CF61A4" w:rsidRPr="00AA2D21" w:rsidRDefault="00CF61A4" w:rsidP="00266F1C">
            <w:pPr>
              <w:rPr>
                <w:rFonts w:ascii="Times New Roman" w:hAnsi="Times New Roman" w:cs="Times New Roman"/>
                <w:b/>
                <w:bCs/>
                <w:color w:val="000000"/>
                <w:sz w:val="20"/>
                <w:szCs w:val="20"/>
              </w:rPr>
            </w:pPr>
            <w:r w:rsidRPr="00AA2D21">
              <w:rPr>
                <w:rFonts w:ascii="Times New Roman" w:hAnsi="Times New Roman" w:cs="Times New Roman"/>
                <w:b/>
                <w:bCs/>
                <w:color w:val="000000"/>
                <w:sz w:val="20"/>
                <w:szCs w:val="20"/>
              </w:rPr>
              <w:t>Affichage réglementaire</w:t>
            </w:r>
          </w:p>
        </w:tc>
        <w:tc>
          <w:tcPr>
            <w:tcW w:w="12332" w:type="dxa"/>
            <w:tcBorders>
              <w:bottom w:val="single" w:sz="4" w:space="0" w:color="auto"/>
            </w:tcBorders>
            <w:shd w:val="clear" w:color="auto" w:fill="auto"/>
            <w:vAlign w:val="center"/>
          </w:tcPr>
          <w:p w:rsidR="008E7E18" w:rsidRPr="00AA2D21" w:rsidRDefault="006B779D" w:rsidP="00CF61A4">
            <w:pPr>
              <w:numPr>
                <w:ilvl w:val="0"/>
                <w:numId w:val="6"/>
              </w:numPr>
              <w:tabs>
                <w:tab w:val="num" w:pos="720"/>
              </w:tabs>
              <w:ind w:left="176" w:hanging="176"/>
              <w:contextualSpacing/>
              <w:jc w:val="both"/>
              <w:rPr>
                <w:rFonts w:ascii="Times New Roman" w:hAnsi="Times New Roman" w:cs="Times New Roman"/>
                <w:b/>
                <w:sz w:val="20"/>
                <w:szCs w:val="20"/>
              </w:rPr>
            </w:pPr>
            <w:r w:rsidRPr="00AA2D21">
              <w:rPr>
                <w:rFonts w:ascii="Times New Roman" w:hAnsi="Times New Roman" w:cs="Times New Roman"/>
                <w:sz w:val="20"/>
                <w:szCs w:val="20"/>
              </w:rPr>
              <w:t>Vous allez recevoir</w:t>
            </w:r>
            <w:r w:rsidR="00CF61A4" w:rsidRPr="00AA2D21">
              <w:rPr>
                <w:rFonts w:ascii="Times New Roman" w:hAnsi="Times New Roman" w:cs="Times New Roman"/>
                <w:sz w:val="20"/>
                <w:szCs w:val="20"/>
              </w:rPr>
              <w:t>,</w:t>
            </w:r>
            <w:r w:rsidRPr="00AA2D21">
              <w:rPr>
                <w:rFonts w:ascii="Times New Roman" w:hAnsi="Times New Roman" w:cs="Times New Roman"/>
                <w:sz w:val="20"/>
                <w:szCs w:val="20"/>
              </w:rPr>
              <w:t xml:space="preserve"> courant de semaine prochaine</w:t>
            </w:r>
            <w:r w:rsidR="00CF61A4" w:rsidRPr="00AA2D21">
              <w:rPr>
                <w:rFonts w:ascii="Times New Roman" w:hAnsi="Times New Roman" w:cs="Times New Roman"/>
                <w:sz w:val="20"/>
                <w:szCs w:val="20"/>
              </w:rPr>
              <w:t>,</w:t>
            </w:r>
            <w:r w:rsidRPr="00AA2D21">
              <w:rPr>
                <w:rFonts w:ascii="Times New Roman" w:hAnsi="Times New Roman" w:cs="Times New Roman"/>
                <w:sz w:val="20"/>
                <w:szCs w:val="20"/>
              </w:rPr>
              <w:t xml:space="preserve"> </w:t>
            </w:r>
            <w:r w:rsidRPr="00AA2D21">
              <w:rPr>
                <w:rFonts w:ascii="Times New Roman" w:hAnsi="Times New Roman" w:cs="Times New Roman"/>
                <w:b/>
                <w:sz w:val="20"/>
                <w:szCs w:val="20"/>
              </w:rPr>
              <w:t xml:space="preserve">2 pages pour mettre à jour le classeur réglementaire que vous devez tenir à disposition de la clientèle : </w:t>
            </w:r>
          </w:p>
          <w:p w:rsidR="008E7E18" w:rsidRPr="00AA2D21" w:rsidRDefault="006B779D" w:rsidP="00CF61A4">
            <w:pPr>
              <w:numPr>
                <w:ilvl w:val="1"/>
                <w:numId w:val="6"/>
              </w:numPr>
              <w:contextualSpacing/>
              <w:jc w:val="both"/>
              <w:rPr>
                <w:rFonts w:ascii="Times New Roman" w:hAnsi="Times New Roman" w:cs="Times New Roman"/>
                <w:sz w:val="20"/>
                <w:szCs w:val="20"/>
              </w:rPr>
            </w:pPr>
            <w:r w:rsidRPr="00AA2D21">
              <w:rPr>
                <w:rFonts w:ascii="Times New Roman" w:hAnsi="Times New Roman" w:cs="Times New Roman"/>
                <w:sz w:val="20"/>
                <w:szCs w:val="20"/>
              </w:rPr>
              <w:t>La 1</w:t>
            </w:r>
            <w:r w:rsidRPr="00AA2D21">
              <w:rPr>
                <w:rFonts w:ascii="Times New Roman" w:hAnsi="Times New Roman" w:cs="Times New Roman"/>
                <w:sz w:val="20"/>
                <w:szCs w:val="20"/>
                <w:vertAlign w:val="superscript"/>
              </w:rPr>
              <w:t>ère</w:t>
            </w:r>
            <w:r w:rsidR="00CF61A4" w:rsidRPr="00AA2D21">
              <w:rPr>
                <w:rFonts w:ascii="Times New Roman" w:hAnsi="Times New Roman" w:cs="Times New Roman"/>
                <w:sz w:val="20"/>
                <w:szCs w:val="20"/>
              </w:rPr>
              <w:t xml:space="preserve"> </w:t>
            </w:r>
            <w:r w:rsidRPr="00AA2D21">
              <w:rPr>
                <w:rFonts w:ascii="Times New Roman" w:hAnsi="Times New Roman" w:cs="Times New Roman"/>
                <w:sz w:val="20"/>
                <w:szCs w:val="20"/>
              </w:rPr>
              <w:t xml:space="preserve">page « Information au public » comprenant une version beaucoup plus détaillée, vient en remplacement de la page existante </w:t>
            </w:r>
          </w:p>
          <w:p w:rsidR="008E7E18" w:rsidRPr="00AA2D21" w:rsidRDefault="006B779D" w:rsidP="00CF61A4">
            <w:pPr>
              <w:numPr>
                <w:ilvl w:val="1"/>
                <w:numId w:val="6"/>
              </w:numPr>
              <w:contextualSpacing/>
              <w:jc w:val="both"/>
              <w:rPr>
                <w:rFonts w:ascii="Times New Roman" w:hAnsi="Times New Roman" w:cs="Times New Roman"/>
                <w:sz w:val="20"/>
                <w:szCs w:val="20"/>
              </w:rPr>
            </w:pPr>
            <w:r w:rsidRPr="00AA2D21">
              <w:rPr>
                <w:rFonts w:ascii="Times New Roman" w:hAnsi="Times New Roman" w:cs="Times New Roman"/>
                <w:sz w:val="20"/>
                <w:szCs w:val="20"/>
              </w:rPr>
              <w:t xml:space="preserve">La </w:t>
            </w:r>
            <w:r w:rsidR="00CF61A4" w:rsidRPr="00AA2D21">
              <w:rPr>
                <w:rFonts w:ascii="Times New Roman" w:hAnsi="Times New Roman" w:cs="Times New Roman"/>
                <w:sz w:val="20"/>
                <w:szCs w:val="20"/>
              </w:rPr>
              <w:t>« C</w:t>
            </w:r>
            <w:r w:rsidRPr="00AA2D21">
              <w:rPr>
                <w:rFonts w:ascii="Times New Roman" w:hAnsi="Times New Roman" w:cs="Times New Roman"/>
                <w:sz w:val="20"/>
                <w:szCs w:val="20"/>
              </w:rPr>
              <w:t>harte de la médiation</w:t>
            </w:r>
            <w:r w:rsidR="00CF61A4" w:rsidRPr="00AA2D21">
              <w:rPr>
                <w:rFonts w:ascii="Times New Roman" w:hAnsi="Times New Roman" w:cs="Times New Roman"/>
                <w:sz w:val="20"/>
                <w:szCs w:val="20"/>
              </w:rPr>
              <w:t> »</w:t>
            </w:r>
            <w:r w:rsidRPr="00AA2D21">
              <w:rPr>
                <w:rFonts w:ascii="Times New Roman" w:hAnsi="Times New Roman" w:cs="Times New Roman"/>
                <w:sz w:val="20"/>
                <w:szCs w:val="20"/>
              </w:rPr>
              <w:t xml:space="preserve"> à positionner en dernière page du classeur – </w:t>
            </w:r>
            <w:r w:rsidR="00CF61A4" w:rsidRPr="00AA2D21">
              <w:rPr>
                <w:rFonts w:ascii="Times New Roman" w:hAnsi="Times New Roman" w:cs="Times New Roman"/>
                <w:b/>
                <w:i/>
                <w:sz w:val="20"/>
                <w:szCs w:val="20"/>
              </w:rPr>
              <w:t xml:space="preserve">Nouveauté </w:t>
            </w:r>
          </w:p>
          <w:p w:rsidR="008E7E18" w:rsidRPr="00AA2D21" w:rsidRDefault="006B779D" w:rsidP="00CF61A4">
            <w:pPr>
              <w:numPr>
                <w:ilvl w:val="0"/>
                <w:numId w:val="6"/>
              </w:numPr>
              <w:tabs>
                <w:tab w:val="num" w:pos="720"/>
              </w:tabs>
              <w:ind w:left="176" w:hanging="176"/>
              <w:contextualSpacing/>
              <w:jc w:val="both"/>
              <w:rPr>
                <w:rFonts w:ascii="Times New Roman" w:hAnsi="Times New Roman" w:cs="Times New Roman"/>
                <w:sz w:val="20"/>
                <w:szCs w:val="20"/>
              </w:rPr>
            </w:pPr>
            <w:r w:rsidRPr="00AA2D21">
              <w:rPr>
                <w:rFonts w:ascii="Times New Roman" w:hAnsi="Times New Roman" w:cs="Times New Roman"/>
                <w:sz w:val="20"/>
                <w:szCs w:val="20"/>
              </w:rPr>
              <w:t>Les documents contenus dans ce classeur sont également à votre disposition (notamment en cas de problème de livraison) dans la Rubrique des Commerciaux dans votre espace Global BDD / Communication Clients / Affichage réglementaire (</w:t>
            </w:r>
            <w:hyperlink r:id="rId32" w:history="1">
              <w:r w:rsidRPr="00AA2D21">
                <w:rPr>
                  <w:rStyle w:val="Lienhypertexte"/>
                  <w:rFonts w:ascii="Times New Roman" w:hAnsi="Times New Roman" w:cs="Times New Roman"/>
                  <w:sz w:val="20"/>
                  <w:szCs w:val="20"/>
                </w:rPr>
                <w:t>cliquez ici pour y accéder</w:t>
              </w:r>
            </w:hyperlink>
            <w:r w:rsidRPr="00AA2D21">
              <w:rPr>
                <w:rFonts w:ascii="Times New Roman" w:hAnsi="Times New Roman" w:cs="Times New Roman"/>
                <w:sz w:val="20"/>
                <w:szCs w:val="20"/>
              </w:rPr>
              <w:t>).</w:t>
            </w:r>
          </w:p>
          <w:p w:rsidR="00CF61A4" w:rsidRPr="00AA2D21" w:rsidRDefault="006B779D" w:rsidP="00CF61A4">
            <w:pPr>
              <w:numPr>
                <w:ilvl w:val="0"/>
                <w:numId w:val="6"/>
              </w:numPr>
              <w:tabs>
                <w:tab w:val="num" w:pos="720"/>
              </w:tabs>
              <w:ind w:left="176" w:hanging="176"/>
              <w:contextualSpacing/>
              <w:jc w:val="both"/>
              <w:rPr>
                <w:rFonts w:ascii="Times New Roman" w:hAnsi="Times New Roman" w:cs="Times New Roman"/>
                <w:sz w:val="20"/>
                <w:szCs w:val="20"/>
              </w:rPr>
            </w:pPr>
            <w:r w:rsidRPr="00AA2D21">
              <w:rPr>
                <w:rFonts w:ascii="Times New Roman" w:hAnsi="Times New Roman" w:cs="Times New Roman"/>
                <w:b/>
                <w:i/>
                <w:iCs/>
                <w:sz w:val="20"/>
                <w:szCs w:val="20"/>
              </w:rPr>
              <w:t>Pour rappel : vous y trouverez également le tableau synthétique de l’ensemble des affiches et des documents à tenir à la disposition de nos clients.</w:t>
            </w:r>
          </w:p>
        </w:tc>
      </w:tr>
      <w:tr w:rsidR="00B46731" w:rsidRPr="008A2C98" w:rsidTr="00266F1C">
        <w:trPr>
          <w:trHeight w:val="363"/>
        </w:trPr>
        <w:tc>
          <w:tcPr>
            <w:tcW w:w="1560" w:type="dxa"/>
            <w:tcBorders>
              <w:bottom w:val="single" w:sz="4" w:space="0" w:color="auto"/>
            </w:tcBorders>
            <w:vAlign w:val="center"/>
          </w:tcPr>
          <w:p w:rsidR="00B46731" w:rsidRPr="00AA2D21" w:rsidRDefault="00B46731" w:rsidP="00266F1C">
            <w:pPr>
              <w:rPr>
                <w:rFonts w:ascii="Times New Roman" w:hAnsi="Times New Roman" w:cs="Times New Roman"/>
                <w:b/>
                <w:bCs/>
                <w:sz w:val="20"/>
                <w:szCs w:val="20"/>
              </w:rPr>
            </w:pPr>
            <w:r w:rsidRPr="00AA2D21">
              <w:rPr>
                <w:rFonts w:ascii="Times New Roman" w:hAnsi="Times New Roman" w:cs="Times New Roman"/>
                <w:b/>
                <w:bCs/>
                <w:sz w:val="20"/>
                <w:szCs w:val="20"/>
              </w:rPr>
              <w:t>Com. DMA</w:t>
            </w:r>
          </w:p>
        </w:tc>
        <w:tc>
          <w:tcPr>
            <w:tcW w:w="1843" w:type="dxa"/>
            <w:tcBorders>
              <w:bottom w:val="single" w:sz="4" w:space="0" w:color="auto"/>
            </w:tcBorders>
            <w:vAlign w:val="center"/>
          </w:tcPr>
          <w:p w:rsidR="00B46731" w:rsidRPr="00AA2D21" w:rsidRDefault="00266F1C" w:rsidP="00266F1C">
            <w:pPr>
              <w:rPr>
                <w:rFonts w:ascii="Times New Roman" w:hAnsi="Times New Roman" w:cs="Times New Roman"/>
                <w:b/>
                <w:bCs/>
                <w:color w:val="000000"/>
                <w:sz w:val="20"/>
                <w:szCs w:val="20"/>
              </w:rPr>
            </w:pPr>
            <w:r w:rsidRPr="00AA2D21">
              <w:rPr>
                <w:rFonts w:ascii="Times New Roman" w:hAnsi="Times New Roman" w:cs="Times New Roman"/>
                <w:b/>
                <w:bCs/>
                <w:color w:val="000000"/>
                <w:sz w:val="20"/>
                <w:szCs w:val="20"/>
              </w:rPr>
              <w:t xml:space="preserve">Chemises génériques </w:t>
            </w:r>
            <w:r w:rsidRPr="00AA2D21">
              <w:rPr>
                <w:rFonts w:ascii="Times New Roman" w:hAnsi="Times New Roman" w:cs="Times New Roman"/>
                <w:b/>
                <w:bCs/>
                <w:color w:val="000000"/>
                <w:sz w:val="20"/>
                <w:szCs w:val="20"/>
              </w:rPr>
              <w:br/>
              <w:t>particuliers et pros</w:t>
            </w:r>
          </w:p>
        </w:tc>
        <w:tc>
          <w:tcPr>
            <w:tcW w:w="12332" w:type="dxa"/>
            <w:tcBorders>
              <w:bottom w:val="single" w:sz="4" w:space="0" w:color="auto"/>
            </w:tcBorders>
            <w:shd w:val="clear" w:color="auto" w:fill="auto"/>
            <w:vAlign w:val="center"/>
          </w:tcPr>
          <w:p w:rsidR="00266F1C" w:rsidRPr="00AA2D21" w:rsidRDefault="00266F1C" w:rsidP="00266F1C">
            <w:pPr>
              <w:ind w:left="547"/>
              <w:contextualSpacing/>
              <w:rPr>
                <w:rFonts w:ascii="Times New Roman" w:hAnsi="Times New Roman" w:cs="Times New Roman"/>
                <w:sz w:val="20"/>
                <w:szCs w:val="20"/>
              </w:rPr>
            </w:pPr>
          </w:p>
          <w:p w:rsidR="000A2021" w:rsidRPr="00AA2D21" w:rsidRDefault="00266F1C" w:rsidP="00266F1C">
            <w:pPr>
              <w:numPr>
                <w:ilvl w:val="0"/>
                <w:numId w:val="6"/>
              </w:numPr>
              <w:tabs>
                <w:tab w:val="num" w:pos="720"/>
              </w:tabs>
              <w:ind w:left="176" w:hanging="176"/>
              <w:contextualSpacing/>
              <w:jc w:val="both"/>
              <w:rPr>
                <w:rFonts w:ascii="Times New Roman" w:hAnsi="Times New Roman" w:cs="Times New Roman"/>
                <w:sz w:val="20"/>
                <w:szCs w:val="20"/>
              </w:rPr>
            </w:pPr>
            <w:r w:rsidRPr="00AA2D21">
              <w:rPr>
                <w:rFonts w:ascii="Times New Roman" w:hAnsi="Times New Roman" w:cs="Times New Roman"/>
                <w:sz w:val="20"/>
                <w:szCs w:val="20"/>
              </w:rPr>
              <w:t xml:space="preserve">A compter du 26 octobre prochain, de nouvelles chemises génériques pour vos clients Particuliers et pour vos clients Pros seront disponibles à la commande. </w:t>
            </w:r>
            <w:r w:rsidRPr="00AA2D21">
              <w:rPr>
                <w:rFonts w:ascii="Times New Roman" w:hAnsi="Times New Roman" w:cs="Times New Roman"/>
                <w:b/>
                <w:sz w:val="20"/>
                <w:szCs w:val="20"/>
              </w:rPr>
              <w:t xml:space="preserve">Rendez-vous sur </w:t>
            </w:r>
            <w:proofErr w:type="spellStart"/>
            <w:r w:rsidRPr="00AA2D21">
              <w:rPr>
                <w:rFonts w:ascii="Times New Roman" w:hAnsi="Times New Roman" w:cs="Times New Roman"/>
                <w:b/>
                <w:sz w:val="20"/>
                <w:szCs w:val="20"/>
              </w:rPr>
              <w:t>Fiducial</w:t>
            </w:r>
            <w:proofErr w:type="spellEnd"/>
            <w:r w:rsidRPr="00AA2D21">
              <w:rPr>
                <w:rFonts w:ascii="Times New Roman" w:hAnsi="Times New Roman" w:cs="Times New Roman"/>
                <w:b/>
                <w:sz w:val="20"/>
                <w:szCs w:val="20"/>
              </w:rPr>
              <w:t xml:space="preserve"> pour passer votre commande !</w:t>
            </w:r>
          </w:p>
          <w:p w:rsidR="00266F1C" w:rsidRPr="00AA2D21" w:rsidRDefault="00266F1C" w:rsidP="00266F1C">
            <w:pPr>
              <w:ind w:left="547"/>
              <w:contextualSpacing/>
              <w:rPr>
                <w:rFonts w:ascii="Times New Roman" w:hAnsi="Times New Roman" w:cs="Times New Roman"/>
                <w:sz w:val="20"/>
                <w:szCs w:val="20"/>
              </w:rPr>
            </w:pPr>
          </w:p>
        </w:tc>
      </w:tr>
      <w:tr w:rsidR="002C4E27" w:rsidRPr="008A2C98" w:rsidTr="002C4E27">
        <w:trPr>
          <w:trHeight w:val="271"/>
        </w:trPr>
        <w:tc>
          <w:tcPr>
            <w:tcW w:w="15735" w:type="dxa"/>
            <w:gridSpan w:val="3"/>
            <w:shd w:val="clear" w:color="auto" w:fill="BFBFBF" w:themeFill="background1" w:themeFillShade="BF"/>
            <w:vAlign w:val="center"/>
          </w:tcPr>
          <w:p w:rsidR="002C4E27" w:rsidRPr="002C4E27" w:rsidRDefault="002C4E27" w:rsidP="002C4E27">
            <w:pPr>
              <w:contextualSpacing/>
              <w:jc w:val="center"/>
              <w:rPr>
                <w:rFonts w:ascii="Times New Roman" w:hAnsi="Times New Roman" w:cs="Times New Roman"/>
                <w:b/>
                <w:sz w:val="20"/>
                <w:szCs w:val="20"/>
              </w:rPr>
            </w:pPr>
            <w:r w:rsidRPr="002C4E27">
              <w:rPr>
                <w:rFonts w:ascii="Times New Roman" w:hAnsi="Times New Roman" w:cs="Times New Roman"/>
                <w:b/>
                <w:sz w:val="20"/>
                <w:szCs w:val="20"/>
              </w:rPr>
              <w:t>Tous domaines</w:t>
            </w:r>
          </w:p>
        </w:tc>
      </w:tr>
      <w:tr w:rsidR="0016389E" w:rsidRPr="008A2C98" w:rsidTr="00AA2D21">
        <w:trPr>
          <w:trHeight w:val="1456"/>
        </w:trPr>
        <w:tc>
          <w:tcPr>
            <w:tcW w:w="1560" w:type="dxa"/>
            <w:vAlign w:val="center"/>
          </w:tcPr>
          <w:p w:rsidR="00FC2BCA" w:rsidRPr="00AA2D21" w:rsidRDefault="0016389E" w:rsidP="00327BAF">
            <w:pPr>
              <w:rPr>
                <w:rFonts w:ascii="Times New Roman" w:hAnsi="Times New Roman" w:cs="Times New Roman"/>
                <w:b/>
                <w:bCs/>
                <w:sz w:val="20"/>
                <w:szCs w:val="20"/>
              </w:rPr>
            </w:pPr>
            <w:r w:rsidRPr="00AA2D21">
              <w:rPr>
                <w:rFonts w:ascii="Times New Roman" w:hAnsi="Times New Roman" w:cs="Times New Roman"/>
                <w:b/>
                <w:bCs/>
                <w:sz w:val="20"/>
                <w:szCs w:val="20"/>
              </w:rPr>
              <w:t>Com. DMA</w:t>
            </w:r>
          </w:p>
          <w:p w:rsidR="0016389E" w:rsidRPr="00AA2D21" w:rsidRDefault="00FC2BCA" w:rsidP="00327BAF">
            <w:pPr>
              <w:rPr>
                <w:rFonts w:ascii="Times New Roman" w:hAnsi="Times New Roman" w:cs="Times New Roman"/>
                <w:b/>
                <w:bCs/>
                <w:sz w:val="20"/>
                <w:szCs w:val="20"/>
              </w:rPr>
            </w:pPr>
            <w:r w:rsidRPr="00AA2D21">
              <w:rPr>
                <w:rFonts w:ascii="Times New Roman" w:hAnsi="Times New Roman" w:cs="Times New Roman"/>
                <w:b/>
                <w:bCs/>
                <w:sz w:val="20"/>
                <w:szCs w:val="20"/>
              </w:rPr>
              <w:t>/Conformité</w:t>
            </w:r>
          </w:p>
        </w:tc>
        <w:tc>
          <w:tcPr>
            <w:tcW w:w="1843" w:type="dxa"/>
            <w:vAlign w:val="center"/>
          </w:tcPr>
          <w:p w:rsidR="0016389E" w:rsidRPr="00AA2D21" w:rsidRDefault="00FC2BCA" w:rsidP="003D042E">
            <w:pPr>
              <w:rPr>
                <w:rFonts w:ascii="Times New Roman" w:hAnsi="Times New Roman" w:cs="Times New Roman"/>
                <w:b/>
                <w:bCs/>
                <w:color w:val="000000"/>
                <w:sz w:val="20"/>
                <w:szCs w:val="20"/>
              </w:rPr>
            </w:pPr>
            <w:r w:rsidRPr="00AA2D21">
              <w:rPr>
                <w:rFonts w:ascii="Times New Roman" w:hAnsi="Times New Roman" w:cs="Times New Roman"/>
                <w:b/>
                <w:bCs/>
                <w:color w:val="000000"/>
                <w:sz w:val="20"/>
                <w:szCs w:val="20"/>
              </w:rPr>
              <w:t>Affichage réglementaire</w:t>
            </w:r>
            <w:r w:rsidR="00EE03C5" w:rsidRPr="00AA2D21">
              <w:rPr>
                <w:rFonts w:ascii="Times New Roman" w:hAnsi="Times New Roman" w:cs="Times New Roman"/>
                <w:b/>
                <w:bCs/>
                <w:color w:val="000000"/>
                <w:sz w:val="20"/>
                <w:szCs w:val="20"/>
              </w:rPr>
              <w:t xml:space="preserve"> en agence</w:t>
            </w:r>
          </w:p>
        </w:tc>
        <w:tc>
          <w:tcPr>
            <w:tcW w:w="12332" w:type="dxa"/>
            <w:shd w:val="clear" w:color="auto" w:fill="auto"/>
            <w:vAlign w:val="center"/>
          </w:tcPr>
          <w:p w:rsidR="00EE03C5" w:rsidRPr="00AA2D21" w:rsidRDefault="00EE03C5" w:rsidP="00EE03C5">
            <w:pPr>
              <w:numPr>
                <w:ilvl w:val="0"/>
                <w:numId w:val="6"/>
              </w:numPr>
              <w:tabs>
                <w:tab w:val="num" w:pos="720"/>
              </w:tabs>
              <w:ind w:left="176" w:hanging="176"/>
              <w:contextualSpacing/>
              <w:jc w:val="both"/>
              <w:rPr>
                <w:rFonts w:ascii="Times New Roman" w:hAnsi="Times New Roman" w:cs="Times New Roman"/>
                <w:sz w:val="20"/>
                <w:szCs w:val="20"/>
              </w:rPr>
            </w:pPr>
            <w:r w:rsidRPr="00AA2D21">
              <w:rPr>
                <w:rFonts w:ascii="Times New Roman" w:hAnsi="Times New Roman" w:cs="Times New Roman"/>
                <w:sz w:val="20"/>
                <w:szCs w:val="20"/>
              </w:rPr>
              <w:t>La réglementation impose aux établissements bancaires de mettre à disposition du public un ensemble :</w:t>
            </w:r>
          </w:p>
          <w:p w:rsidR="00EE03C5" w:rsidRPr="00AA2D21" w:rsidRDefault="00EE03C5" w:rsidP="00036420">
            <w:pPr>
              <w:pStyle w:val="Sansinterligne"/>
              <w:numPr>
                <w:ilvl w:val="0"/>
                <w:numId w:val="28"/>
              </w:numPr>
              <w:jc w:val="both"/>
              <w:rPr>
                <w:rFonts w:ascii="Times New Roman" w:hAnsi="Times New Roman" w:cs="Times New Roman"/>
                <w:b/>
                <w:color w:val="000000" w:themeColor="text1"/>
                <w:sz w:val="20"/>
                <w:szCs w:val="20"/>
              </w:rPr>
            </w:pPr>
            <w:r w:rsidRPr="00AA2D21">
              <w:rPr>
                <w:rFonts w:ascii="Times New Roman" w:hAnsi="Times New Roman" w:cs="Times New Roman"/>
                <w:b/>
                <w:color w:val="000000" w:themeColor="text1"/>
                <w:sz w:val="20"/>
                <w:szCs w:val="20"/>
              </w:rPr>
              <w:t>d’affiches</w:t>
            </w:r>
            <w:r w:rsidR="00115FEB">
              <w:rPr>
                <w:rFonts w:ascii="Times New Roman" w:hAnsi="Times New Roman" w:cs="Times New Roman"/>
                <w:b/>
                <w:color w:val="000000" w:themeColor="text1"/>
                <w:sz w:val="20"/>
                <w:szCs w:val="20"/>
              </w:rPr>
              <w:t xml:space="preserve"> </w:t>
            </w:r>
            <w:r w:rsidRPr="00AA2D21">
              <w:rPr>
                <w:rFonts w:ascii="Times New Roman" w:hAnsi="Times New Roman" w:cs="Times New Roman"/>
                <w:b/>
                <w:color w:val="000000" w:themeColor="text1"/>
                <w:sz w:val="20"/>
                <w:szCs w:val="20"/>
              </w:rPr>
              <w:t>réglementaires obligatoires</w:t>
            </w:r>
          </w:p>
          <w:p w:rsidR="0016389E" w:rsidRPr="00AA2D21" w:rsidRDefault="00EE03C5" w:rsidP="00036420">
            <w:pPr>
              <w:pStyle w:val="Sansinterligne"/>
              <w:numPr>
                <w:ilvl w:val="0"/>
                <w:numId w:val="28"/>
              </w:numPr>
              <w:jc w:val="both"/>
              <w:rPr>
                <w:rFonts w:ascii="Times New Roman" w:hAnsi="Times New Roman" w:cs="Times New Roman"/>
                <w:b/>
                <w:i/>
                <w:sz w:val="20"/>
                <w:szCs w:val="20"/>
              </w:rPr>
            </w:pPr>
            <w:r w:rsidRPr="00AA2D21">
              <w:rPr>
                <w:rFonts w:ascii="Times New Roman" w:hAnsi="Times New Roman" w:cs="Times New Roman"/>
                <w:b/>
                <w:color w:val="000000" w:themeColor="text1"/>
                <w:sz w:val="20"/>
                <w:szCs w:val="20"/>
              </w:rPr>
              <w:t>de documents réglementaires obligatoires</w:t>
            </w:r>
          </w:p>
          <w:p w:rsidR="00036420" w:rsidRPr="00AA2D21" w:rsidRDefault="00036420" w:rsidP="00036420">
            <w:pPr>
              <w:numPr>
                <w:ilvl w:val="0"/>
                <w:numId w:val="6"/>
              </w:numPr>
              <w:tabs>
                <w:tab w:val="num" w:pos="720"/>
              </w:tabs>
              <w:ind w:left="176" w:hanging="176"/>
              <w:contextualSpacing/>
              <w:jc w:val="both"/>
              <w:rPr>
                <w:rFonts w:ascii="Times New Roman" w:hAnsi="Times New Roman" w:cs="Times New Roman"/>
                <w:b/>
                <w:i/>
                <w:sz w:val="20"/>
                <w:szCs w:val="20"/>
              </w:rPr>
            </w:pPr>
            <w:r w:rsidRPr="00AA2D21">
              <w:rPr>
                <w:rFonts w:ascii="Times New Roman" w:hAnsi="Times New Roman" w:cs="Times New Roman"/>
                <w:b/>
                <w:sz w:val="20"/>
                <w:szCs w:val="20"/>
              </w:rPr>
              <w:t>Retrouvez dans la Rubrique des Commerciaux / Global BDD / Communication Clients / Affichage réglementaire, le tableau synthétique de l’ensemble des affiches et des documents à tenir à la disposition de nos clients (</w:t>
            </w:r>
            <w:hyperlink r:id="rId33" w:history="1">
              <w:r w:rsidRPr="00AA2D21">
                <w:rPr>
                  <w:rStyle w:val="Lienhypertexte"/>
                  <w:rFonts w:ascii="Times New Roman" w:hAnsi="Times New Roman" w:cs="Times New Roman"/>
                  <w:b/>
                  <w:sz w:val="20"/>
                  <w:szCs w:val="20"/>
                </w:rPr>
                <w:t>cliquez ici pour y accéder</w:t>
              </w:r>
            </w:hyperlink>
            <w:r w:rsidRPr="00AA2D21">
              <w:rPr>
                <w:rFonts w:ascii="Times New Roman" w:hAnsi="Times New Roman" w:cs="Times New Roman"/>
                <w:b/>
                <w:sz w:val="20"/>
                <w:szCs w:val="20"/>
              </w:rPr>
              <w:t>).</w:t>
            </w:r>
          </w:p>
        </w:tc>
      </w:tr>
      <w:tr w:rsidR="00AA2D21" w:rsidRPr="00AA2D21" w:rsidTr="00493D8B">
        <w:trPr>
          <w:trHeight w:val="1456"/>
        </w:trPr>
        <w:tc>
          <w:tcPr>
            <w:tcW w:w="1560" w:type="dxa"/>
            <w:tcBorders>
              <w:bottom w:val="single" w:sz="4" w:space="0" w:color="auto"/>
            </w:tcBorders>
            <w:vAlign w:val="center"/>
          </w:tcPr>
          <w:p w:rsidR="00AA2D21" w:rsidRPr="00AA2D21" w:rsidRDefault="00AA2D21" w:rsidP="00C66DB1">
            <w:pPr>
              <w:rPr>
                <w:rFonts w:ascii="Times New Roman" w:hAnsi="Times New Roman" w:cs="Times New Roman"/>
                <w:b/>
                <w:bCs/>
                <w:sz w:val="20"/>
                <w:szCs w:val="20"/>
              </w:rPr>
            </w:pPr>
            <w:r w:rsidRPr="00AA2D21">
              <w:rPr>
                <w:rFonts w:ascii="Times New Roman" w:hAnsi="Times New Roman" w:cs="Times New Roman"/>
                <w:b/>
                <w:bCs/>
                <w:sz w:val="20"/>
                <w:szCs w:val="20"/>
              </w:rPr>
              <w:t>Com. DMA</w:t>
            </w:r>
          </w:p>
        </w:tc>
        <w:tc>
          <w:tcPr>
            <w:tcW w:w="1843" w:type="dxa"/>
            <w:tcBorders>
              <w:bottom w:val="single" w:sz="4" w:space="0" w:color="auto"/>
            </w:tcBorders>
            <w:vAlign w:val="center"/>
          </w:tcPr>
          <w:p w:rsidR="00AA2D21" w:rsidRPr="00AA2D21" w:rsidRDefault="00AA2D21" w:rsidP="00C66DB1">
            <w:pPr>
              <w:rPr>
                <w:rFonts w:ascii="Times New Roman" w:hAnsi="Times New Roman" w:cs="Times New Roman"/>
                <w:b/>
                <w:bCs/>
                <w:color w:val="000000"/>
                <w:sz w:val="20"/>
                <w:szCs w:val="20"/>
              </w:rPr>
            </w:pPr>
            <w:r w:rsidRPr="00AA2D21">
              <w:rPr>
                <w:rFonts w:ascii="Times New Roman" w:hAnsi="Times New Roman" w:cs="Times New Roman"/>
                <w:b/>
                <w:bCs/>
                <w:color w:val="000000"/>
                <w:sz w:val="20"/>
                <w:szCs w:val="20"/>
              </w:rPr>
              <w:t>Book des évènements GERC</w:t>
            </w:r>
          </w:p>
        </w:tc>
        <w:tc>
          <w:tcPr>
            <w:tcW w:w="12332" w:type="dxa"/>
            <w:tcBorders>
              <w:bottom w:val="single" w:sz="4" w:space="0" w:color="auto"/>
            </w:tcBorders>
            <w:shd w:val="clear" w:color="auto" w:fill="auto"/>
            <w:vAlign w:val="center"/>
          </w:tcPr>
          <w:p w:rsidR="00AA2D21" w:rsidRPr="00AA2D21" w:rsidRDefault="00AA2D21" w:rsidP="00AA2D21">
            <w:pPr>
              <w:numPr>
                <w:ilvl w:val="0"/>
                <w:numId w:val="6"/>
              </w:numPr>
              <w:tabs>
                <w:tab w:val="num" w:pos="720"/>
              </w:tabs>
              <w:ind w:left="176" w:hanging="176"/>
              <w:contextualSpacing/>
              <w:jc w:val="both"/>
              <w:rPr>
                <w:rFonts w:ascii="Times New Roman" w:hAnsi="Times New Roman" w:cs="Times New Roman"/>
                <w:sz w:val="20"/>
                <w:szCs w:val="20"/>
              </w:rPr>
            </w:pPr>
            <w:r w:rsidRPr="00AA2D21">
              <w:rPr>
                <w:rFonts w:ascii="Times New Roman" w:hAnsi="Times New Roman" w:cs="Times New Roman"/>
                <w:sz w:val="20"/>
                <w:szCs w:val="20"/>
              </w:rPr>
              <w:t>Comme indiqué dans l’HDJ S38 du 20 septembre dernier, le « </w:t>
            </w:r>
            <w:r w:rsidRPr="00AA2D21">
              <w:rPr>
                <w:rFonts w:ascii="Times New Roman" w:hAnsi="Times New Roman" w:cs="Times New Roman"/>
                <w:i/>
                <w:iCs/>
                <w:sz w:val="20"/>
                <w:szCs w:val="20"/>
              </w:rPr>
              <w:t xml:space="preserve">Catalogue de campagnes </w:t>
            </w:r>
            <w:proofErr w:type="spellStart"/>
            <w:r w:rsidRPr="00AA2D21">
              <w:rPr>
                <w:rFonts w:ascii="Times New Roman" w:hAnsi="Times New Roman" w:cs="Times New Roman"/>
                <w:b/>
                <w:bCs/>
                <w:i/>
                <w:iCs/>
                <w:sz w:val="20"/>
                <w:szCs w:val="20"/>
              </w:rPr>
              <w:t>MyGERC</w:t>
            </w:r>
            <w:proofErr w:type="spellEnd"/>
            <w:r w:rsidRPr="00AA2D21">
              <w:rPr>
                <w:rFonts w:ascii="Times New Roman" w:hAnsi="Times New Roman" w:cs="Times New Roman"/>
                <w:b/>
                <w:bCs/>
                <w:sz w:val="20"/>
                <w:szCs w:val="20"/>
              </w:rPr>
              <w:t> »</w:t>
            </w:r>
            <w:r w:rsidRPr="00AA2D21">
              <w:rPr>
                <w:rFonts w:ascii="Times New Roman" w:hAnsi="Times New Roman" w:cs="Times New Roman"/>
                <w:sz w:val="20"/>
                <w:szCs w:val="20"/>
              </w:rPr>
              <w:t xml:space="preserve"> permet aux managers de personnaliser le contenu de la GERC de chaque point de vente. Courant septembre, ils ont été amenés à choisir les évènements à retenir pour le dernier quadrimestre 2018.</w:t>
            </w:r>
          </w:p>
          <w:p w:rsidR="00AA2D21" w:rsidRPr="00AA2D21" w:rsidRDefault="00AA2D21" w:rsidP="00AA2D21">
            <w:pPr>
              <w:numPr>
                <w:ilvl w:val="0"/>
                <w:numId w:val="6"/>
              </w:numPr>
              <w:tabs>
                <w:tab w:val="num" w:pos="720"/>
              </w:tabs>
              <w:ind w:left="176" w:hanging="176"/>
              <w:contextualSpacing/>
              <w:jc w:val="both"/>
              <w:rPr>
                <w:rFonts w:ascii="Times New Roman" w:hAnsi="Times New Roman" w:cs="Times New Roman"/>
                <w:sz w:val="20"/>
                <w:szCs w:val="20"/>
              </w:rPr>
            </w:pPr>
            <w:r w:rsidRPr="00AA2D21">
              <w:rPr>
                <w:rFonts w:ascii="Times New Roman" w:hAnsi="Times New Roman" w:cs="Times New Roman"/>
                <w:sz w:val="20"/>
                <w:szCs w:val="20"/>
              </w:rPr>
              <w:t>L’ensemble des évènements proposés a été rassemblé en 1 seul document, le « </w:t>
            </w:r>
            <w:r w:rsidRPr="00AA2D21">
              <w:rPr>
                <w:rFonts w:ascii="Times New Roman" w:hAnsi="Times New Roman" w:cs="Times New Roman"/>
                <w:b/>
                <w:bCs/>
                <w:i/>
                <w:iCs/>
                <w:sz w:val="20"/>
                <w:szCs w:val="20"/>
              </w:rPr>
              <w:t xml:space="preserve">book des campagnes </w:t>
            </w:r>
            <w:proofErr w:type="spellStart"/>
            <w:r w:rsidRPr="00AA2D21">
              <w:rPr>
                <w:rFonts w:ascii="Times New Roman" w:hAnsi="Times New Roman" w:cs="Times New Roman"/>
                <w:b/>
                <w:bCs/>
                <w:i/>
                <w:iCs/>
                <w:sz w:val="20"/>
                <w:szCs w:val="20"/>
              </w:rPr>
              <w:t>MyGERC</w:t>
            </w:r>
            <w:proofErr w:type="spellEnd"/>
            <w:r w:rsidRPr="00AA2D21">
              <w:rPr>
                <w:rFonts w:ascii="Times New Roman" w:hAnsi="Times New Roman" w:cs="Times New Roman"/>
                <w:b/>
                <w:bCs/>
                <w:sz w:val="20"/>
                <w:szCs w:val="20"/>
              </w:rPr>
              <w:t> </w:t>
            </w:r>
            <w:r w:rsidRPr="00AA2D21">
              <w:rPr>
                <w:rFonts w:ascii="Times New Roman" w:hAnsi="Times New Roman" w:cs="Times New Roman"/>
                <w:sz w:val="20"/>
                <w:szCs w:val="20"/>
              </w:rPr>
              <w:t>». Quels que soient les choix opérés par vos managers, vous y trouverez un lien vers la fiche détaillée de chacun pour accompagner leur traitement. Vous y trouverez également les évènements dits « prioritaires » (</w:t>
            </w:r>
            <w:proofErr w:type="spellStart"/>
            <w:r w:rsidRPr="00AA2D21">
              <w:rPr>
                <w:rFonts w:ascii="Times New Roman" w:hAnsi="Times New Roman" w:cs="Times New Roman"/>
                <w:sz w:val="20"/>
                <w:szCs w:val="20"/>
              </w:rPr>
              <w:t>pré-fixés</w:t>
            </w:r>
            <w:proofErr w:type="spellEnd"/>
            <w:r w:rsidRPr="00AA2D21">
              <w:rPr>
                <w:rFonts w:ascii="Times New Roman" w:hAnsi="Times New Roman" w:cs="Times New Roman"/>
                <w:sz w:val="20"/>
                <w:szCs w:val="20"/>
              </w:rPr>
              <w:t xml:space="preserve"> « 3TF ») qui ont été injectés dans vos Plans Des Opportunités, sans choix préalable.</w:t>
            </w:r>
          </w:p>
          <w:p w:rsidR="00AA2D21" w:rsidRPr="00AA2D21" w:rsidRDefault="00AA2D21" w:rsidP="00AA2D21">
            <w:pPr>
              <w:numPr>
                <w:ilvl w:val="0"/>
                <w:numId w:val="6"/>
              </w:numPr>
              <w:tabs>
                <w:tab w:val="num" w:pos="720"/>
              </w:tabs>
              <w:ind w:left="176" w:hanging="176"/>
              <w:contextualSpacing/>
              <w:jc w:val="both"/>
              <w:rPr>
                <w:rFonts w:ascii="Times New Roman" w:hAnsi="Times New Roman" w:cs="Times New Roman"/>
                <w:sz w:val="20"/>
                <w:szCs w:val="20"/>
              </w:rPr>
            </w:pPr>
            <w:r w:rsidRPr="00AA2D21">
              <w:rPr>
                <w:rFonts w:ascii="Times New Roman" w:hAnsi="Times New Roman" w:cs="Times New Roman"/>
                <w:sz w:val="20"/>
                <w:szCs w:val="20"/>
              </w:rPr>
              <w:t xml:space="preserve">Ce book est à votre disposition depuis la Rubrique des Commerciaux / Global BDD / Actions commerciales / Actions commerciales en cours / Les cibles ponctuelles à votre disposition </w:t>
            </w:r>
            <w:r w:rsidRPr="00AA2D21">
              <w:rPr>
                <w:rFonts w:ascii="Times New Roman" w:hAnsi="Times New Roman" w:cs="Times New Roman"/>
                <w:sz w:val="20"/>
                <w:szCs w:val="20"/>
              </w:rPr>
              <w:sym w:font="Wingdings" w:char="F0E0"/>
            </w:r>
            <w:r w:rsidRPr="00AA2D21">
              <w:rPr>
                <w:rFonts w:ascii="Times New Roman" w:hAnsi="Times New Roman" w:cs="Times New Roman"/>
                <w:sz w:val="20"/>
                <w:szCs w:val="20"/>
              </w:rPr>
              <w:t xml:space="preserve"> « </w:t>
            </w:r>
            <w:hyperlink r:id="rId34" w:history="1">
              <w:r w:rsidRPr="00AA2D21">
                <w:rPr>
                  <w:rStyle w:val="Lienhypertexte"/>
                  <w:rFonts w:ascii="Times New Roman" w:hAnsi="Times New Roman" w:cs="Times New Roman"/>
                  <w:sz w:val="20"/>
                  <w:szCs w:val="20"/>
                </w:rPr>
                <w:t>book évènements GERC Q3 2018 </w:t>
              </w:r>
            </w:hyperlink>
            <w:r w:rsidRPr="00AA2D21">
              <w:rPr>
                <w:rFonts w:ascii="Times New Roman" w:hAnsi="Times New Roman" w:cs="Times New Roman"/>
                <w:sz w:val="20"/>
                <w:szCs w:val="20"/>
              </w:rPr>
              <w:t>»</w:t>
            </w:r>
          </w:p>
        </w:tc>
      </w:tr>
    </w:tbl>
    <w:p w:rsidR="00EF1178" w:rsidRDefault="00EF1178" w:rsidP="00E971C7">
      <w:pPr>
        <w:rPr>
          <w:rFonts w:ascii="Times New Roman" w:hAnsi="Times New Roman" w:cs="Times New Roman"/>
          <w:strike/>
          <w:sz w:val="20"/>
          <w:szCs w:val="20"/>
        </w:rPr>
      </w:pPr>
    </w:p>
    <w:sectPr w:rsidR="00EF1178" w:rsidSect="00421843">
      <w:footerReference w:type="default" r:id="rId35"/>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3C5C" w:rsidRDefault="00163C5C" w:rsidP="0035465A">
      <w:pPr>
        <w:spacing w:after="0" w:line="240" w:lineRule="auto"/>
      </w:pPr>
      <w:r>
        <w:separator/>
      </w:r>
    </w:p>
  </w:endnote>
  <w:endnote w:type="continuationSeparator" w:id="0">
    <w:p w:rsidR="00163C5C" w:rsidRDefault="00163C5C"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Wingdings 3">
    <w:panose1 w:val="050401020108070707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3C5C" w:rsidRDefault="00163C5C" w:rsidP="0035465A">
      <w:pPr>
        <w:spacing w:after="0" w:line="240" w:lineRule="auto"/>
      </w:pPr>
      <w:r>
        <w:separator/>
      </w:r>
    </w:p>
  </w:footnote>
  <w:footnote w:type="continuationSeparator" w:id="0">
    <w:p w:rsidR="00163C5C" w:rsidRDefault="00163C5C"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F2B70"/>
    <w:multiLevelType w:val="hybridMultilevel"/>
    <w:tmpl w:val="4488998A"/>
    <w:lvl w:ilvl="0" w:tplc="F3EA002C">
      <w:start w:val="1"/>
      <w:numFmt w:val="bullet"/>
      <w:lvlText w:val="•"/>
      <w:lvlJc w:val="left"/>
      <w:pPr>
        <w:tabs>
          <w:tab w:val="num" w:pos="720"/>
        </w:tabs>
        <w:ind w:left="720" w:hanging="360"/>
      </w:pPr>
      <w:rPr>
        <w:rFonts w:ascii="Times New Roman" w:hAnsi="Times New Roman" w:hint="default"/>
      </w:rPr>
    </w:lvl>
    <w:lvl w:ilvl="1" w:tplc="070CAE18">
      <w:start w:val="1581"/>
      <w:numFmt w:val="bullet"/>
      <w:lvlText w:val="•"/>
      <w:lvlJc w:val="left"/>
      <w:pPr>
        <w:tabs>
          <w:tab w:val="num" w:pos="1440"/>
        </w:tabs>
        <w:ind w:left="1440" w:hanging="360"/>
      </w:pPr>
      <w:rPr>
        <w:rFonts w:ascii="Arial" w:hAnsi="Arial" w:hint="default"/>
      </w:rPr>
    </w:lvl>
    <w:lvl w:ilvl="2" w:tplc="5CCC9A36" w:tentative="1">
      <w:start w:val="1"/>
      <w:numFmt w:val="bullet"/>
      <w:lvlText w:val="•"/>
      <w:lvlJc w:val="left"/>
      <w:pPr>
        <w:tabs>
          <w:tab w:val="num" w:pos="2160"/>
        </w:tabs>
        <w:ind w:left="2160" w:hanging="360"/>
      </w:pPr>
      <w:rPr>
        <w:rFonts w:ascii="Times New Roman" w:hAnsi="Times New Roman" w:hint="default"/>
      </w:rPr>
    </w:lvl>
    <w:lvl w:ilvl="3" w:tplc="9462124C" w:tentative="1">
      <w:start w:val="1"/>
      <w:numFmt w:val="bullet"/>
      <w:lvlText w:val="•"/>
      <w:lvlJc w:val="left"/>
      <w:pPr>
        <w:tabs>
          <w:tab w:val="num" w:pos="2880"/>
        </w:tabs>
        <w:ind w:left="2880" w:hanging="360"/>
      </w:pPr>
      <w:rPr>
        <w:rFonts w:ascii="Times New Roman" w:hAnsi="Times New Roman" w:hint="default"/>
      </w:rPr>
    </w:lvl>
    <w:lvl w:ilvl="4" w:tplc="4BE2A658" w:tentative="1">
      <w:start w:val="1"/>
      <w:numFmt w:val="bullet"/>
      <w:lvlText w:val="•"/>
      <w:lvlJc w:val="left"/>
      <w:pPr>
        <w:tabs>
          <w:tab w:val="num" w:pos="3600"/>
        </w:tabs>
        <w:ind w:left="3600" w:hanging="360"/>
      </w:pPr>
      <w:rPr>
        <w:rFonts w:ascii="Times New Roman" w:hAnsi="Times New Roman" w:hint="default"/>
      </w:rPr>
    </w:lvl>
    <w:lvl w:ilvl="5" w:tplc="17C44300" w:tentative="1">
      <w:start w:val="1"/>
      <w:numFmt w:val="bullet"/>
      <w:lvlText w:val="•"/>
      <w:lvlJc w:val="left"/>
      <w:pPr>
        <w:tabs>
          <w:tab w:val="num" w:pos="4320"/>
        </w:tabs>
        <w:ind w:left="4320" w:hanging="360"/>
      </w:pPr>
      <w:rPr>
        <w:rFonts w:ascii="Times New Roman" w:hAnsi="Times New Roman" w:hint="default"/>
      </w:rPr>
    </w:lvl>
    <w:lvl w:ilvl="6" w:tplc="C2E686F2" w:tentative="1">
      <w:start w:val="1"/>
      <w:numFmt w:val="bullet"/>
      <w:lvlText w:val="•"/>
      <w:lvlJc w:val="left"/>
      <w:pPr>
        <w:tabs>
          <w:tab w:val="num" w:pos="5040"/>
        </w:tabs>
        <w:ind w:left="5040" w:hanging="360"/>
      </w:pPr>
      <w:rPr>
        <w:rFonts w:ascii="Times New Roman" w:hAnsi="Times New Roman" w:hint="default"/>
      </w:rPr>
    </w:lvl>
    <w:lvl w:ilvl="7" w:tplc="92AEC644" w:tentative="1">
      <w:start w:val="1"/>
      <w:numFmt w:val="bullet"/>
      <w:lvlText w:val="•"/>
      <w:lvlJc w:val="left"/>
      <w:pPr>
        <w:tabs>
          <w:tab w:val="num" w:pos="5760"/>
        </w:tabs>
        <w:ind w:left="5760" w:hanging="360"/>
      </w:pPr>
      <w:rPr>
        <w:rFonts w:ascii="Times New Roman" w:hAnsi="Times New Roman" w:hint="default"/>
      </w:rPr>
    </w:lvl>
    <w:lvl w:ilvl="8" w:tplc="98EABB5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60F2F6C"/>
    <w:multiLevelType w:val="hybridMultilevel"/>
    <w:tmpl w:val="F2B818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65C2D79"/>
    <w:multiLevelType w:val="hybridMultilevel"/>
    <w:tmpl w:val="674C43F8"/>
    <w:lvl w:ilvl="0" w:tplc="0A9C7090">
      <w:start w:val="1"/>
      <w:numFmt w:val="bullet"/>
      <w:lvlText w:val=""/>
      <w:lvlJc w:val="left"/>
      <w:pPr>
        <w:tabs>
          <w:tab w:val="num" w:pos="720"/>
        </w:tabs>
        <w:ind w:left="720" w:hanging="360"/>
      </w:pPr>
      <w:rPr>
        <w:rFonts w:ascii="Wingdings" w:hAnsi="Wingdings" w:hint="default"/>
      </w:rPr>
    </w:lvl>
    <w:lvl w:ilvl="1" w:tplc="E642F332" w:tentative="1">
      <w:start w:val="1"/>
      <w:numFmt w:val="bullet"/>
      <w:lvlText w:val=""/>
      <w:lvlJc w:val="left"/>
      <w:pPr>
        <w:tabs>
          <w:tab w:val="num" w:pos="1440"/>
        </w:tabs>
        <w:ind w:left="1440" w:hanging="360"/>
      </w:pPr>
      <w:rPr>
        <w:rFonts w:ascii="Wingdings" w:hAnsi="Wingdings" w:hint="default"/>
      </w:rPr>
    </w:lvl>
    <w:lvl w:ilvl="2" w:tplc="70EA623A" w:tentative="1">
      <w:start w:val="1"/>
      <w:numFmt w:val="bullet"/>
      <w:lvlText w:val=""/>
      <w:lvlJc w:val="left"/>
      <w:pPr>
        <w:tabs>
          <w:tab w:val="num" w:pos="2160"/>
        </w:tabs>
        <w:ind w:left="2160" w:hanging="360"/>
      </w:pPr>
      <w:rPr>
        <w:rFonts w:ascii="Wingdings" w:hAnsi="Wingdings" w:hint="default"/>
      </w:rPr>
    </w:lvl>
    <w:lvl w:ilvl="3" w:tplc="A2ECCC54" w:tentative="1">
      <w:start w:val="1"/>
      <w:numFmt w:val="bullet"/>
      <w:lvlText w:val=""/>
      <w:lvlJc w:val="left"/>
      <w:pPr>
        <w:tabs>
          <w:tab w:val="num" w:pos="2880"/>
        </w:tabs>
        <w:ind w:left="2880" w:hanging="360"/>
      </w:pPr>
      <w:rPr>
        <w:rFonts w:ascii="Wingdings" w:hAnsi="Wingdings" w:hint="default"/>
      </w:rPr>
    </w:lvl>
    <w:lvl w:ilvl="4" w:tplc="4D4CC73A" w:tentative="1">
      <w:start w:val="1"/>
      <w:numFmt w:val="bullet"/>
      <w:lvlText w:val=""/>
      <w:lvlJc w:val="left"/>
      <w:pPr>
        <w:tabs>
          <w:tab w:val="num" w:pos="3600"/>
        </w:tabs>
        <w:ind w:left="3600" w:hanging="360"/>
      </w:pPr>
      <w:rPr>
        <w:rFonts w:ascii="Wingdings" w:hAnsi="Wingdings" w:hint="default"/>
      </w:rPr>
    </w:lvl>
    <w:lvl w:ilvl="5" w:tplc="9DF086B0" w:tentative="1">
      <w:start w:val="1"/>
      <w:numFmt w:val="bullet"/>
      <w:lvlText w:val=""/>
      <w:lvlJc w:val="left"/>
      <w:pPr>
        <w:tabs>
          <w:tab w:val="num" w:pos="4320"/>
        </w:tabs>
        <w:ind w:left="4320" w:hanging="360"/>
      </w:pPr>
      <w:rPr>
        <w:rFonts w:ascii="Wingdings" w:hAnsi="Wingdings" w:hint="default"/>
      </w:rPr>
    </w:lvl>
    <w:lvl w:ilvl="6" w:tplc="9492416E" w:tentative="1">
      <w:start w:val="1"/>
      <w:numFmt w:val="bullet"/>
      <w:lvlText w:val=""/>
      <w:lvlJc w:val="left"/>
      <w:pPr>
        <w:tabs>
          <w:tab w:val="num" w:pos="5040"/>
        </w:tabs>
        <w:ind w:left="5040" w:hanging="360"/>
      </w:pPr>
      <w:rPr>
        <w:rFonts w:ascii="Wingdings" w:hAnsi="Wingdings" w:hint="default"/>
      </w:rPr>
    </w:lvl>
    <w:lvl w:ilvl="7" w:tplc="A5867256" w:tentative="1">
      <w:start w:val="1"/>
      <w:numFmt w:val="bullet"/>
      <w:lvlText w:val=""/>
      <w:lvlJc w:val="left"/>
      <w:pPr>
        <w:tabs>
          <w:tab w:val="num" w:pos="5760"/>
        </w:tabs>
        <w:ind w:left="5760" w:hanging="360"/>
      </w:pPr>
      <w:rPr>
        <w:rFonts w:ascii="Wingdings" w:hAnsi="Wingdings" w:hint="default"/>
      </w:rPr>
    </w:lvl>
    <w:lvl w:ilvl="8" w:tplc="C9F2FD88" w:tentative="1">
      <w:start w:val="1"/>
      <w:numFmt w:val="bullet"/>
      <w:lvlText w:val=""/>
      <w:lvlJc w:val="left"/>
      <w:pPr>
        <w:tabs>
          <w:tab w:val="num" w:pos="6480"/>
        </w:tabs>
        <w:ind w:left="6480" w:hanging="360"/>
      </w:pPr>
      <w:rPr>
        <w:rFonts w:ascii="Wingdings" w:hAnsi="Wingdings" w:hint="default"/>
      </w:rPr>
    </w:lvl>
  </w:abstractNum>
  <w:abstractNum w:abstractNumId="3">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0A162C3F"/>
    <w:multiLevelType w:val="hybridMultilevel"/>
    <w:tmpl w:val="6C5A4428"/>
    <w:lvl w:ilvl="0" w:tplc="2B0836DC">
      <w:start w:val="1"/>
      <w:numFmt w:val="bullet"/>
      <w:lvlText w:val=""/>
      <w:lvlJc w:val="left"/>
      <w:pPr>
        <w:tabs>
          <w:tab w:val="num" w:pos="-275"/>
        </w:tabs>
        <w:ind w:left="-275" w:hanging="360"/>
      </w:pPr>
      <w:rPr>
        <w:rFonts w:ascii="Symbol" w:hAnsi="Symbol" w:hint="default"/>
      </w:rPr>
    </w:lvl>
    <w:lvl w:ilvl="1" w:tplc="040C0003">
      <w:start w:val="1"/>
      <w:numFmt w:val="bullet"/>
      <w:lvlText w:val="o"/>
      <w:lvlJc w:val="left"/>
      <w:pPr>
        <w:tabs>
          <w:tab w:val="num" w:pos="445"/>
        </w:tabs>
        <w:ind w:left="445" w:hanging="360"/>
      </w:pPr>
      <w:rPr>
        <w:rFonts w:ascii="Courier New" w:hAnsi="Courier New" w:cs="Courier New" w:hint="default"/>
      </w:rPr>
    </w:lvl>
    <w:lvl w:ilvl="2" w:tplc="040C000B">
      <w:start w:val="1"/>
      <w:numFmt w:val="bullet"/>
      <w:lvlText w:val=""/>
      <w:lvlJc w:val="left"/>
      <w:pPr>
        <w:tabs>
          <w:tab w:val="num" w:pos="1165"/>
        </w:tabs>
        <w:ind w:left="1165" w:hanging="360"/>
      </w:pPr>
      <w:rPr>
        <w:rFonts w:ascii="Wingdings" w:hAnsi="Wingdings" w:hint="default"/>
      </w:rPr>
    </w:lvl>
    <w:lvl w:ilvl="3" w:tplc="1528FA5A">
      <w:start w:val="1"/>
      <w:numFmt w:val="bullet"/>
      <w:lvlText w:val=""/>
      <w:lvlJc w:val="left"/>
      <w:pPr>
        <w:tabs>
          <w:tab w:val="num" w:pos="1885"/>
        </w:tabs>
        <w:ind w:left="1885" w:hanging="360"/>
      </w:pPr>
      <w:rPr>
        <w:rFonts w:ascii="Symbol" w:hAnsi="Symbol" w:hint="default"/>
      </w:rPr>
    </w:lvl>
    <w:lvl w:ilvl="4" w:tplc="E7820312">
      <w:start w:val="1"/>
      <w:numFmt w:val="bullet"/>
      <w:lvlText w:val=""/>
      <w:lvlJc w:val="left"/>
      <w:pPr>
        <w:tabs>
          <w:tab w:val="num" w:pos="2605"/>
        </w:tabs>
        <w:ind w:left="2605" w:hanging="360"/>
      </w:pPr>
      <w:rPr>
        <w:rFonts w:ascii="Symbol" w:hAnsi="Symbol" w:hint="default"/>
      </w:rPr>
    </w:lvl>
    <w:lvl w:ilvl="5" w:tplc="2DC08F44">
      <w:start w:val="1"/>
      <w:numFmt w:val="bullet"/>
      <w:lvlText w:val=""/>
      <w:lvlJc w:val="left"/>
      <w:pPr>
        <w:tabs>
          <w:tab w:val="num" w:pos="3325"/>
        </w:tabs>
        <w:ind w:left="3325" w:hanging="360"/>
      </w:pPr>
      <w:rPr>
        <w:rFonts w:ascii="Symbol" w:hAnsi="Symbol" w:hint="default"/>
      </w:rPr>
    </w:lvl>
    <w:lvl w:ilvl="6" w:tplc="916093E4">
      <w:start w:val="1"/>
      <w:numFmt w:val="bullet"/>
      <w:lvlText w:val=""/>
      <w:lvlJc w:val="left"/>
      <w:pPr>
        <w:tabs>
          <w:tab w:val="num" w:pos="4045"/>
        </w:tabs>
        <w:ind w:left="4045" w:hanging="360"/>
      </w:pPr>
      <w:rPr>
        <w:rFonts w:ascii="Symbol" w:hAnsi="Symbol" w:hint="default"/>
      </w:rPr>
    </w:lvl>
    <w:lvl w:ilvl="7" w:tplc="218AFDAC">
      <w:start w:val="1"/>
      <w:numFmt w:val="bullet"/>
      <w:lvlText w:val=""/>
      <w:lvlJc w:val="left"/>
      <w:pPr>
        <w:tabs>
          <w:tab w:val="num" w:pos="4765"/>
        </w:tabs>
        <w:ind w:left="4765" w:hanging="360"/>
      </w:pPr>
      <w:rPr>
        <w:rFonts w:ascii="Symbol" w:hAnsi="Symbol" w:hint="default"/>
      </w:rPr>
    </w:lvl>
    <w:lvl w:ilvl="8" w:tplc="36A85100">
      <w:start w:val="1"/>
      <w:numFmt w:val="bullet"/>
      <w:lvlText w:val=""/>
      <w:lvlJc w:val="left"/>
      <w:pPr>
        <w:tabs>
          <w:tab w:val="num" w:pos="5485"/>
        </w:tabs>
        <w:ind w:left="5485" w:hanging="360"/>
      </w:pPr>
      <w:rPr>
        <w:rFonts w:ascii="Symbol" w:hAnsi="Symbol" w:hint="default"/>
      </w:rPr>
    </w:lvl>
  </w:abstractNum>
  <w:abstractNum w:abstractNumId="5">
    <w:nsid w:val="110C3357"/>
    <w:multiLevelType w:val="hybridMultilevel"/>
    <w:tmpl w:val="B2BA2932"/>
    <w:lvl w:ilvl="0" w:tplc="040C0001">
      <w:start w:val="1"/>
      <w:numFmt w:val="bullet"/>
      <w:lvlText w:val=""/>
      <w:lvlJc w:val="left"/>
      <w:pPr>
        <w:ind w:left="612" w:hanging="360"/>
      </w:pPr>
      <w:rPr>
        <w:rFonts w:ascii="Symbol" w:hAnsi="Symbol" w:hint="default"/>
      </w:rPr>
    </w:lvl>
    <w:lvl w:ilvl="1" w:tplc="040C0003">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6">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7">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8">
    <w:nsid w:val="1E8E592C"/>
    <w:multiLevelType w:val="hybridMultilevel"/>
    <w:tmpl w:val="4AA4E7AC"/>
    <w:lvl w:ilvl="0" w:tplc="45AA0A00">
      <w:start w:val="1"/>
      <w:numFmt w:val="bullet"/>
      <w:lvlText w:val=""/>
      <w:lvlJc w:val="left"/>
      <w:pPr>
        <w:tabs>
          <w:tab w:val="num" w:pos="720"/>
        </w:tabs>
        <w:ind w:left="720" w:hanging="360"/>
      </w:pPr>
      <w:rPr>
        <w:rFonts w:ascii="Wingdings" w:hAnsi="Wingdings" w:hint="default"/>
      </w:rPr>
    </w:lvl>
    <w:lvl w:ilvl="1" w:tplc="27487CD6">
      <w:start w:val="2676"/>
      <w:numFmt w:val="bullet"/>
      <w:lvlText w:val=""/>
      <w:lvlJc w:val="left"/>
      <w:pPr>
        <w:tabs>
          <w:tab w:val="num" w:pos="1440"/>
        </w:tabs>
        <w:ind w:left="1440" w:hanging="360"/>
      </w:pPr>
      <w:rPr>
        <w:rFonts w:ascii="Wingdings" w:hAnsi="Wingdings" w:hint="default"/>
      </w:rPr>
    </w:lvl>
    <w:lvl w:ilvl="2" w:tplc="C2524940" w:tentative="1">
      <w:start w:val="1"/>
      <w:numFmt w:val="bullet"/>
      <w:lvlText w:val=""/>
      <w:lvlJc w:val="left"/>
      <w:pPr>
        <w:tabs>
          <w:tab w:val="num" w:pos="2160"/>
        </w:tabs>
        <w:ind w:left="2160" w:hanging="360"/>
      </w:pPr>
      <w:rPr>
        <w:rFonts w:ascii="Wingdings" w:hAnsi="Wingdings" w:hint="default"/>
      </w:rPr>
    </w:lvl>
    <w:lvl w:ilvl="3" w:tplc="979CB662" w:tentative="1">
      <w:start w:val="1"/>
      <w:numFmt w:val="bullet"/>
      <w:lvlText w:val=""/>
      <w:lvlJc w:val="left"/>
      <w:pPr>
        <w:tabs>
          <w:tab w:val="num" w:pos="2880"/>
        </w:tabs>
        <w:ind w:left="2880" w:hanging="360"/>
      </w:pPr>
      <w:rPr>
        <w:rFonts w:ascii="Wingdings" w:hAnsi="Wingdings" w:hint="default"/>
      </w:rPr>
    </w:lvl>
    <w:lvl w:ilvl="4" w:tplc="634845A6" w:tentative="1">
      <w:start w:val="1"/>
      <w:numFmt w:val="bullet"/>
      <w:lvlText w:val=""/>
      <w:lvlJc w:val="left"/>
      <w:pPr>
        <w:tabs>
          <w:tab w:val="num" w:pos="3600"/>
        </w:tabs>
        <w:ind w:left="3600" w:hanging="360"/>
      </w:pPr>
      <w:rPr>
        <w:rFonts w:ascii="Wingdings" w:hAnsi="Wingdings" w:hint="default"/>
      </w:rPr>
    </w:lvl>
    <w:lvl w:ilvl="5" w:tplc="6C461042" w:tentative="1">
      <w:start w:val="1"/>
      <w:numFmt w:val="bullet"/>
      <w:lvlText w:val=""/>
      <w:lvlJc w:val="left"/>
      <w:pPr>
        <w:tabs>
          <w:tab w:val="num" w:pos="4320"/>
        </w:tabs>
        <w:ind w:left="4320" w:hanging="360"/>
      </w:pPr>
      <w:rPr>
        <w:rFonts w:ascii="Wingdings" w:hAnsi="Wingdings" w:hint="default"/>
      </w:rPr>
    </w:lvl>
    <w:lvl w:ilvl="6" w:tplc="2B8285C4" w:tentative="1">
      <w:start w:val="1"/>
      <w:numFmt w:val="bullet"/>
      <w:lvlText w:val=""/>
      <w:lvlJc w:val="left"/>
      <w:pPr>
        <w:tabs>
          <w:tab w:val="num" w:pos="5040"/>
        </w:tabs>
        <w:ind w:left="5040" w:hanging="360"/>
      </w:pPr>
      <w:rPr>
        <w:rFonts w:ascii="Wingdings" w:hAnsi="Wingdings" w:hint="default"/>
      </w:rPr>
    </w:lvl>
    <w:lvl w:ilvl="7" w:tplc="126ABA96" w:tentative="1">
      <w:start w:val="1"/>
      <w:numFmt w:val="bullet"/>
      <w:lvlText w:val=""/>
      <w:lvlJc w:val="left"/>
      <w:pPr>
        <w:tabs>
          <w:tab w:val="num" w:pos="5760"/>
        </w:tabs>
        <w:ind w:left="5760" w:hanging="360"/>
      </w:pPr>
      <w:rPr>
        <w:rFonts w:ascii="Wingdings" w:hAnsi="Wingdings" w:hint="default"/>
      </w:rPr>
    </w:lvl>
    <w:lvl w:ilvl="8" w:tplc="A0DECD90" w:tentative="1">
      <w:start w:val="1"/>
      <w:numFmt w:val="bullet"/>
      <w:lvlText w:val=""/>
      <w:lvlJc w:val="left"/>
      <w:pPr>
        <w:tabs>
          <w:tab w:val="num" w:pos="6480"/>
        </w:tabs>
        <w:ind w:left="6480" w:hanging="360"/>
      </w:pPr>
      <w:rPr>
        <w:rFonts w:ascii="Wingdings" w:hAnsi="Wingdings" w:hint="default"/>
      </w:rPr>
    </w:lvl>
  </w:abstractNum>
  <w:abstractNum w:abstractNumId="9">
    <w:nsid w:val="20F46304"/>
    <w:multiLevelType w:val="hybridMultilevel"/>
    <w:tmpl w:val="B204DB2C"/>
    <w:lvl w:ilvl="0" w:tplc="AD701A70">
      <w:start w:val="1"/>
      <w:numFmt w:val="bullet"/>
      <w:lvlText w:val=""/>
      <w:lvlJc w:val="left"/>
      <w:pPr>
        <w:tabs>
          <w:tab w:val="num" w:pos="720"/>
        </w:tabs>
        <w:ind w:left="720" w:hanging="360"/>
      </w:pPr>
      <w:rPr>
        <w:rFonts w:ascii="Wingdings" w:hAnsi="Wingdings" w:hint="default"/>
      </w:rPr>
    </w:lvl>
    <w:lvl w:ilvl="1" w:tplc="AA7A818E" w:tentative="1">
      <w:start w:val="1"/>
      <w:numFmt w:val="bullet"/>
      <w:lvlText w:val=""/>
      <w:lvlJc w:val="left"/>
      <w:pPr>
        <w:tabs>
          <w:tab w:val="num" w:pos="1440"/>
        </w:tabs>
        <w:ind w:left="1440" w:hanging="360"/>
      </w:pPr>
      <w:rPr>
        <w:rFonts w:ascii="Wingdings" w:hAnsi="Wingdings" w:hint="default"/>
      </w:rPr>
    </w:lvl>
    <w:lvl w:ilvl="2" w:tplc="A92ECA8A" w:tentative="1">
      <w:start w:val="1"/>
      <w:numFmt w:val="bullet"/>
      <w:lvlText w:val=""/>
      <w:lvlJc w:val="left"/>
      <w:pPr>
        <w:tabs>
          <w:tab w:val="num" w:pos="2160"/>
        </w:tabs>
        <w:ind w:left="2160" w:hanging="360"/>
      </w:pPr>
      <w:rPr>
        <w:rFonts w:ascii="Wingdings" w:hAnsi="Wingdings" w:hint="default"/>
      </w:rPr>
    </w:lvl>
    <w:lvl w:ilvl="3" w:tplc="A4BC36FA" w:tentative="1">
      <w:start w:val="1"/>
      <w:numFmt w:val="bullet"/>
      <w:lvlText w:val=""/>
      <w:lvlJc w:val="left"/>
      <w:pPr>
        <w:tabs>
          <w:tab w:val="num" w:pos="2880"/>
        </w:tabs>
        <w:ind w:left="2880" w:hanging="360"/>
      </w:pPr>
      <w:rPr>
        <w:rFonts w:ascii="Wingdings" w:hAnsi="Wingdings" w:hint="default"/>
      </w:rPr>
    </w:lvl>
    <w:lvl w:ilvl="4" w:tplc="7C762474" w:tentative="1">
      <w:start w:val="1"/>
      <w:numFmt w:val="bullet"/>
      <w:lvlText w:val=""/>
      <w:lvlJc w:val="left"/>
      <w:pPr>
        <w:tabs>
          <w:tab w:val="num" w:pos="3600"/>
        </w:tabs>
        <w:ind w:left="3600" w:hanging="360"/>
      </w:pPr>
      <w:rPr>
        <w:rFonts w:ascii="Wingdings" w:hAnsi="Wingdings" w:hint="default"/>
      </w:rPr>
    </w:lvl>
    <w:lvl w:ilvl="5" w:tplc="E91A0840" w:tentative="1">
      <w:start w:val="1"/>
      <w:numFmt w:val="bullet"/>
      <w:lvlText w:val=""/>
      <w:lvlJc w:val="left"/>
      <w:pPr>
        <w:tabs>
          <w:tab w:val="num" w:pos="4320"/>
        </w:tabs>
        <w:ind w:left="4320" w:hanging="360"/>
      </w:pPr>
      <w:rPr>
        <w:rFonts w:ascii="Wingdings" w:hAnsi="Wingdings" w:hint="default"/>
      </w:rPr>
    </w:lvl>
    <w:lvl w:ilvl="6" w:tplc="BEA8B372" w:tentative="1">
      <w:start w:val="1"/>
      <w:numFmt w:val="bullet"/>
      <w:lvlText w:val=""/>
      <w:lvlJc w:val="left"/>
      <w:pPr>
        <w:tabs>
          <w:tab w:val="num" w:pos="5040"/>
        </w:tabs>
        <w:ind w:left="5040" w:hanging="360"/>
      </w:pPr>
      <w:rPr>
        <w:rFonts w:ascii="Wingdings" w:hAnsi="Wingdings" w:hint="default"/>
      </w:rPr>
    </w:lvl>
    <w:lvl w:ilvl="7" w:tplc="C7F0D2BA" w:tentative="1">
      <w:start w:val="1"/>
      <w:numFmt w:val="bullet"/>
      <w:lvlText w:val=""/>
      <w:lvlJc w:val="left"/>
      <w:pPr>
        <w:tabs>
          <w:tab w:val="num" w:pos="5760"/>
        </w:tabs>
        <w:ind w:left="5760" w:hanging="360"/>
      </w:pPr>
      <w:rPr>
        <w:rFonts w:ascii="Wingdings" w:hAnsi="Wingdings" w:hint="default"/>
      </w:rPr>
    </w:lvl>
    <w:lvl w:ilvl="8" w:tplc="A2508934" w:tentative="1">
      <w:start w:val="1"/>
      <w:numFmt w:val="bullet"/>
      <w:lvlText w:val=""/>
      <w:lvlJc w:val="left"/>
      <w:pPr>
        <w:tabs>
          <w:tab w:val="num" w:pos="6480"/>
        </w:tabs>
        <w:ind w:left="6480" w:hanging="360"/>
      </w:pPr>
      <w:rPr>
        <w:rFonts w:ascii="Wingdings" w:hAnsi="Wingdings" w:hint="default"/>
      </w:rPr>
    </w:lvl>
  </w:abstractNum>
  <w:abstractNum w:abstractNumId="10">
    <w:nsid w:val="21A02A31"/>
    <w:multiLevelType w:val="hybridMultilevel"/>
    <w:tmpl w:val="A34AE5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2415780C"/>
    <w:multiLevelType w:val="hybridMultilevel"/>
    <w:tmpl w:val="51AE1350"/>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67B72B3"/>
    <w:multiLevelType w:val="hybridMultilevel"/>
    <w:tmpl w:val="A808D14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293A42F1"/>
    <w:multiLevelType w:val="hybridMultilevel"/>
    <w:tmpl w:val="D614766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nsid w:val="2E11046D"/>
    <w:multiLevelType w:val="hybridMultilevel"/>
    <w:tmpl w:val="F490ED1A"/>
    <w:lvl w:ilvl="0" w:tplc="F75C1C94">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EEF554E"/>
    <w:multiLevelType w:val="hybridMultilevel"/>
    <w:tmpl w:val="C7A69DF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311B0AC0"/>
    <w:multiLevelType w:val="hybridMultilevel"/>
    <w:tmpl w:val="52587754"/>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7">
    <w:nsid w:val="33EB7BB2"/>
    <w:multiLevelType w:val="hybridMultilevel"/>
    <w:tmpl w:val="410490F6"/>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9">
    <w:nsid w:val="3BAC0160"/>
    <w:multiLevelType w:val="hybridMultilevel"/>
    <w:tmpl w:val="0F64E450"/>
    <w:lvl w:ilvl="0" w:tplc="040C0001">
      <w:start w:val="1"/>
      <w:numFmt w:val="bullet"/>
      <w:lvlText w:val=""/>
      <w:lvlJc w:val="left"/>
      <w:pPr>
        <w:ind w:left="547" w:hanging="360"/>
      </w:pPr>
      <w:rPr>
        <w:rFonts w:ascii="Symbol" w:hAnsi="Symbol" w:hint="default"/>
        <w:color w:val="auto"/>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20">
    <w:nsid w:val="3F276ADA"/>
    <w:multiLevelType w:val="hybridMultilevel"/>
    <w:tmpl w:val="04F6CD50"/>
    <w:lvl w:ilvl="0" w:tplc="2B0836DC">
      <w:start w:val="1"/>
      <w:numFmt w:val="bullet"/>
      <w:lvlText w:val=""/>
      <w:lvlJc w:val="left"/>
      <w:pPr>
        <w:tabs>
          <w:tab w:val="num" w:pos="-275"/>
        </w:tabs>
        <w:ind w:left="-275" w:hanging="360"/>
      </w:pPr>
      <w:rPr>
        <w:rFonts w:ascii="Symbol" w:hAnsi="Symbol" w:hint="default"/>
      </w:rPr>
    </w:lvl>
    <w:lvl w:ilvl="1" w:tplc="1F52EE9E">
      <w:start w:val="2050"/>
      <w:numFmt w:val="bullet"/>
      <w:lvlText w:val=""/>
      <w:lvlJc w:val="left"/>
      <w:pPr>
        <w:tabs>
          <w:tab w:val="num" w:pos="445"/>
        </w:tabs>
        <w:ind w:left="445" w:hanging="360"/>
      </w:pPr>
      <w:rPr>
        <w:rFonts w:ascii="Calibri" w:hAnsi="Calibri" w:cs="Times New Roman" w:hint="default"/>
      </w:rPr>
    </w:lvl>
    <w:lvl w:ilvl="2" w:tplc="E4E4A4A6">
      <w:start w:val="1"/>
      <w:numFmt w:val="bullet"/>
      <w:lvlText w:val=""/>
      <w:lvlJc w:val="left"/>
      <w:pPr>
        <w:tabs>
          <w:tab w:val="num" w:pos="1165"/>
        </w:tabs>
        <w:ind w:left="1165" w:hanging="360"/>
      </w:pPr>
      <w:rPr>
        <w:rFonts w:ascii="Symbol" w:hAnsi="Symbol" w:hint="default"/>
      </w:rPr>
    </w:lvl>
    <w:lvl w:ilvl="3" w:tplc="1528FA5A">
      <w:start w:val="1"/>
      <w:numFmt w:val="bullet"/>
      <w:lvlText w:val=""/>
      <w:lvlJc w:val="left"/>
      <w:pPr>
        <w:tabs>
          <w:tab w:val="num" w:pos="1885"/>
        </w:tabs>
        <w:ind w:left="1885" w:hanging="360"/>
      </w:pPr>
      <w:rPr>
        <w:rFonts w:ascii="Symbol" w:hAnsi="Symbol" w:hint="default"/>
      </w:rPr>
    </w:lvl>
    <w:lvl w:ilvl="4" w:tplc="E7820312">
      <w:start w:val="1"/>
      <w:numFmt w:val="bullet"/>
      <w:lvlText w:val=""/>
      <w:lvlJc w:val="left"/>
      <w:pPr>
        <w:tabs>
          <w:tab w:val="num" w:pos="2605"/>
        </w:tabs>
        <w:ind w:left="2605" w:hanging="360"/>
      </w:pPr>
      <w:rPr>
        <w:rFonts w:ascii="Symbol" w:hAnsi="Symbol" w:hint="default"/>
      </w:rPr>
    </w:lvl>
    <w:lvl w:ilvl="5" w:tplc="2DC08F44">
      <w:start w:val="1"/>
      <w:numFmt w:val="bullet"/>
      <w:lvlText w:val=""/>
      <w:lvlJc w:val="left"/>
      <w:pPr>
        <w:tabs>
          <w:tab w:val="num" w:pos="3325"/>
        </w:tabs>
        <w:ind w:left="3325" w:hanging="360"/>
      </w:pPr>
      <w:rPr>
        <w:rFonts w:ascii="Symbol" w:hAnsi="Symbol" w:hint="default"/>
      </w:rPr>
    </w:lvl>
    <w:lvl w:ilvl="6" w:tplc="916093E4">
      <w:start w:val="1"/>
      <w:numFmt w:val="bullet"/>
      <w:lvlText w:val=""/>
      <w:lvlJc w:val="left"/>
      <w:pPr>
        <w:tabs>
          <w:tab w:val="num" w:pos="4045"/>
        </w:tabs>
        <w:ind w:left="4045" w:hanging="360"/>
      </w:pPr>
      <w:rPr>
        <w:rFonts w:ascii="Symbol" w:hAnsi="Symbol" w:hint="default"/>
      </w:rPr>
    </w:lvl>
    <w:lvl w:ilvl="7" w:tplc="218AFDAC">
      <w:start w:val="1"/>
      <w:numFmt w:val="bullet"/>
      <w:lvlText w:val=""/>
      <w:lvlJc w:val="left"/>
      <w:pPr>
        <w:tabs>
          <w:tab w:val="num" w:pos="4765"/>
        </w:tabs>
        <w:ind w:left="4765" w:hanging="360"/>
      </w:pPr>
      <w:rPr>
        <w:rFonts w:ascii="Symbol" w:hAnsi="Symbol" w:hint="default"/>
      </w:rPr>
    </w:lvl>
    <w:lvl w:ilvl="8" w:tplc="36A85100">
      <w:start w:val="1"/>
      <w:numFmt w:val="bullet"/>
      <w:lvlText w:val=""/>
      <w:lvlJc w:val="left"/>
      <w:pPr>
        <w:tabs>
          <w:tab w:val="num" w:pos="5485"/>
        </w:tabs>
        <w:ind w:left="5485" w:hanging="360"/>
      </w:pPr>
      <w:rPr>
        <w:rFonts w:ascii="Symbol" w:hAnsi="Symbol" w:hint="default"/>
      </w:rPr>
    </w:lvl>
  </w:abstractNum>
  <w:abstractNum w:abstractNumId="21">
    <w:nsid w:val="3F475714"/>
    <w:multiLevelType w:val="hybridMultilevel"/>
    <w:tmpl w:val="F4A892EC"/>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2">
    <w:nsid w:val="3FDC2201"/>
    <w:multiLevelType w:val="hybridMultilevel"/>
    <w:tmpl w:val="86AAC91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nsid w:val="4A5E4721"/>
    <w:multiLevelType w:val="hybridMultilevel"/>
    <w:tmpl w:val="DE121A60"/>
    <w:lvl w:ilvl="0" w:tplc="20D84EF0">
      <w:start w:val="1"/>
      <w:numFmt w:val="bullet"/>
      <w:lvlText w:val="•"/>
      <w:lvlJc w:val="left"/>
      <w:pPr>
        <w:tabs>
          <w:tab w:val="num" w:pos="720"/>
        </w:tabs>
        <w:ind w:left="720" w:hanging="360"/>
      </w:pPr>
      <w:rPr>
        <w:rFonts w:ascii="Arial" w:hAnsi="Arial" w:hint="default"/>
      </w:rPr>
    </w:lvl>
    <w:lvl w:ilvl="1" w:tplc="A67C4FC2" w:tentative="1">
      <w:start w:val="1"/>
      <w:numFmt w:val="bullet"/>
      <w:lvlText w:val="•"/>
      <w:lvlJc w:val="left"/>
      <w:pPr>
        <w:tabs>
          <w:tab w:val="num" w:pos="1440"/>
        </w:tabs>
        <w:ind w:left="1440" w:hanging="360"/>
      </w:pPr>
      <w:rPr>
        <w:rFonts w:ascii="Arial" w:hAnsi="Arial" w:hint="default"/>
      </w:rPr>
    </w:lvl>
    <w:lvl w:ilvl="2" w:tplc="4A3EB02E" w:tentative="1">
      <w:start w:val="1"/>
      <w:numFmt w:val="bullet"/>
      <w:lvlText w:val="•"/>
      <w:lvlJc w:val="left"/>
      <w:pPr>
        <w:tabs>
          <w:tab w:val="num" w:pos="2160"/>
        </w:tabs>
        <w:ind w:left="2160" w:hanging="360"/>
      </w:pPr>
      <w:rPr>
        <w:rFonts w:ascii="Arial" w:hAnsi="Arial" w:hint="default"/>
      </w:rPr>
    </w:lvl>
    <w:lvl w:ilvl="3" w:tplc="49D275BE" w:tentative="1">
      <w:start w:val="1"/>
      <w:numFmt w:val="bullet"/>
      <w:lvlText w:val="•"/>
      <w:lvlJc w:val="left"/>
      <w:pPr>
        <w:tabs>
          <w:tab w:val="num" w:pos="2880"/>
        </w:tabs>
        <w:ind w:left="2880" w:hanging="360"/>
      </w:pPr>
      <w:rPr>
        <w:rFonts w:ascii="Arial" w:hAnsi="Arial" w:hint="default"/>
      </w:rPr>
    </w:lvl>
    <w:lvl w:ilvl="4" w:tplc="6734AEC6" w:tentative="1">
      <w:start w:val="1"/>
      <w:numFmt w:val="bullet"/>
      <w:lvlText w:val="•"/>
      <w:lvlJc w:val="left"/>
      <w:pPr>
        <w:tabs>
          <w:tab w:val="num" w:pos="3600"/>
        </w:tabs>
        <w:ind w:left="3600" w:hanging="360"/>
      </w:pPr>
      <w:rPr>
        <w:rFonts w:ascii="Arial" w:hAnsi="Arial" w:hint="default"/>
      </w:rPr>
    </w:lvl>
    <w:lvl w:ilvl="5" w:tplc="7F1A6D70" w:tentative="1">
      <w:start w:val="1"/>
      <w:numFmt w:val="bullet"/>
      <w:lvlText w:val="•"/>
      <w:lvlJc w:val="left"/>
      <w:pPr>
        <w:tabs>
          <w:tab w:val="num" w:pos="4320"/>
        </w:tabs>
        <w:ind w:left="4320" w:hanging="360"/>
      </w:pPr>
      <w:rPr>
        <w:rFonts w:ascii="Arial" w:hAnsi="Arial" w:hint="default"/>
      </w:rPr>
    </w:lvl>
    <w:lvl w:ilvl="6" w:tplc="D1740CC6" w:tentative="1">
      <w:start w:val="1"/>
      <w:numFmt w:val="bullet"/>
      <w:lvlText w:val="•"/>
      <w:lvlJc w:val="left"/>
      <w:pPr>
        <w:tabs>
          <w:tab w:val="num" w:pos="5040"/>
        </w:tabs>
        <w:ind w:left="5040" w:hanging="360"/>
      </w:pPr>
      <w:rPr>
        <w:rFonts w:ascii="Arial" w:hAnsi="Arial" w:hint="default"/>
      </w:rPr>
    </w:lvl>
    <w:lvl w:ilvl="7" w:tplc="8A2C3998" w:tentative="1">
      <w:start w:val="1"/>
      <w:numFmt w:val="bullet"/>
      <w:lvlText w:val="•"/>
      <w:lvlJc w:val="left"/>
      <w:pPr>
        <w:tabs>
          <w:tab w:val="num" w:pos="5760"/>
        </w:tabs>
        <w:ind w:left="5760" w:hanging="360"/>
      </w:pPr>
      <w:rPr>
        <w:rFonts w:ascii="Arial" w:hAnsi="Arial" w:hint="default"/>
      </w:rPr>
    </w:lvl>
    <w:lvl w:ilvl="8" w:tplc="0B3AEDAE" w:tentative="1">
      <w:start w:val="1"/>
      <w:numFmt w:val="bullet"/>
      <w:lvlText w:val="•"/>
      <w:lvlJc w:val="left"/>
      <w:pPr>
        <w:tabs>
          <w:tab w:val="num" w:pos="6480"/>
        </w:tabs>
        <w:ind w:left="6480" w:hanging="360"/>
      </w:pPr>
      <w:rPr>
        <w:rFonts w:ascii="Arial" w:hAnsi="Arial" w:hint="default"/>
      </w:rPr>
    </w:lvl>
  </w:abstractNum>
  <w:abstractNum w:abstractNumId="24">
    <w:nsid w:val="56FF3D8B"/>
    <w:multiLevelType w:val="hybridMultilevel"/>
    <w:tmpl w:val="4C26C26C"/>
    <w:lvl w:ilvl="0" w:tplc="45DEB61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5">
    <w:nsid w:val="594211C6"/>
    <w:multiLevelType w:val="hybridMultilevel"/>
    <w:tmpl w:val="06AE89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B465FF5"/>
    <w:multiLevelType w:val="hybridMultilevel"/>
    <w:tmpl w:val="F43AEB76"/>
    <w:lvl w:ilvl="0" w:tplc="A80421FC">
      <w:start w:val="1"/>
      <w:numFmt w:val="bullet"/>
      <w:lvlText w:val=""/>
      <w:lvlJc w:val="left"/>
      <w:pPr>
        <w:tabs>
          <w:tab w:val="num" w:pos="720"/>
        </w:tabs>
        <w:ind w:left="720" w:hanging="360"/>
      </w:pPr>
      <w:rPr>
        <w:rFonts w:ascii="Wingdings" w:hAnsi="Wingdings" w:hint="default"/>
      </w:rPr>
    </w:lvl>
    <w:lvl w:ilvl="1" w:tplc="374CE92E">
      <w:start w:val="2512"/>
      <w:numFmt w:val="bullet"/>
      <w:lvlText w:val=""/>
      <w:lvlJc w:val="left"/>
      <w:pPr>
        <w:tabs>
          <w:tab w:val="num" w:pos="1440"/>
        </w:tabs>
        <w:ind w:left="1440" w:hanging="360"/>
      </w:pPr>
      <w:rPr>
        <w:rFonts w:ascii="Wingdings" w:hAnsi="Wingdings" w:hint="default"/>
      </w:rPr>
    </w:lvl>
    <w:lvl w:ilvl="2" w:tplc="1DE64C84" w:tentative="1">
      <w:start w:val="1"/>
      <w:numFmt w:val="bullet"/>
      <w:lvlText w:val=""/>
      <w:lvlJc w:val="left"/>
      <w:pPr>
        <w:tabs>
          <w:tab w:val="num" w:pos="2160"/>
        </w:tabs>
        <w:ind w:left="2160" w:hanging="360"/>
      </w:pPr>
      <w:rPr>
        <w:rFonts w:ascii="Wingdings" w:hAnsi="Wingdings" w:hint="default"/>
      </w:rPr>
    </w:lvl>
    <w:lvl w:ilvl="3" w:tplc="DA105AEA" w:tentative="1">
      <w:start w:val="1"/>
      <w:numFmt w:val="bullet"/>
      <w:lvlText w:val=""/>
      <w:lvlJc w:val="left"/>
      <w:pPr>
        <w:tabs>
          <w:tab w:val="num" w:pos="2880"/>
        </w:tabs>
        <w:ind w:left="2880" w:hanging="360"/>
      </w:pPr>
      <w:rPr>
        <w:rFonts w:ascii="Wingdings" w:hAnsi="Wingdings" w:hint="default"/>
      </w:rPr>
    </w:lvl>
    <w:lvl w:ilvl="4" w:tplc="44C6DAE2" w:tentative="1">
      <w:start w:val="1"/>
      <w:numFmt w:val="bullet"/>
      <w:lvlText w:val=""/>
      <w:lvlJc w:val="left"/>
      <w:pPr>
        <w:tabs>
          <w:tab w:val="num" w:pos="3600"/>
        </w:tabs>
        <w:ind w:left="3600" w:hanging="360"/>
      </w:pPr>
      <w:rPr>
        <w:rFonts w:ascii="Wingdings" w:hAnsi="Wingdings" w:hint="default"/>
      </w:rPr>
    </w:lvl>
    <w:lvl w:ilvl="5" w:tplc="96B2D254" w:tentative="1">
      <w:start w:val="1"/>
      <w:numFmt w:val="bullet"/>
      <w:lvlText w:val=""/>
      <w:lvlJc w:val="left"/>
      <w:pPr>
        <w:tabs>
          <w:tab w:val="num" w:pos="4320"/>
        </w:tabs>
        <w:ind w:left="4320" w:hanging="360"/>
      </w:pPr>
      <w:rPr>
        <w:rFonts w:ascii="Wingdings" w:hAnsi="Wingdings" w:hint="default"/>
      </w:rPr>
    </w:lvl>
    <w:lvl w:ilvl="6" w:tplc="6D34EE26" w:tentative="1">
      <w:start w:val="1"/>
      <w:numFmt w:val="bullet"/>
      <w:lvlText w:val=""/>
      <w:lvlJc w:val="left"/>
      <w:pPr>
        <w:tabs>
          <w:tab w:val="num" w:pos="5040"/>
        </w:tabs>
        <w:ind w:left="5040" w:hanging="360"/>
      </w:pPr>
      <w:rPr>
        <w:rFonts w:ascii="Wingdings" w:hAnsi="Wingdings" w:hint="default"/>
      </w:rPr>
    </w:lvl>
    <w:lvl w:ilvl="7" w:tplc="DB9A54D6" w:tentative="1">
      <w:start w:val="1"/>
      <w:numFmt w:val="bullet"/>
      <w:lvlText w:val=""/>
      <w:lvlJc w:val="left"/>
      <w:pPr>
        <w:tabs>
          <w:tab w:val="num" w:pos="5760"/>
        </w:tabs>
        <w:ind w:left="5760" w:hanging="360"/>
      </w:pPr>
      <w:rPr>
        <w:rFonts w:ascii="Wingdings" w:hAnsi="Wingdings" w:hint="default"/>
      </w:rPr>
    </w:lvl>
    <w:lvl w:ilvl="8" w:tplc="252E9BBE" w:tentative="1">
      <w:start w:val="1"/>
      <w:numFmt w:val="bullet"/>
      <w:lvlText w:val=""/>
      <w:lvlJc w:val="left"/>
      <w:pPr>
        <w:tabs>
          <w:tab w:val="num" w:pos="6480"/>
        </w:tabs>
        <w:ind w:left="6480" w:hanging="360"/>
      </w:pPr>
      <w:rPr>
        <w:rFonts w:ascii="Wingdings" w:hAnsi="Wingdings" w:hint="default"/>
      </w:rPr>
    </w:lvl>
  </w:abstractNum>
  <w:abstractNum w:abstractNumId="27">
    <w:nsid w:val="67E80CF0"/>
    <w:multiLevelType w:val="hybridMultilevel"/>
    <w:tmpl w:val="24343F6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6945372B"/>
    <w:multiLevelType w:val="hybridMultilevel"/>
    <w:tmpl w:val="624A26B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9">
    <w:nsid w:val="6A9F1CBD"/>
    <w:multiLevelType w:val="hybridMultilevel"/>
    <w:tmpl w:val="8E168B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C357D61"/>
    <w:multiLevelType w:val="hybridMultilevel"/>
    <w:tmpl w:val="6E9A6FF6"/>
    <w:lvl w:ilvl="0" w:tplc="AFC6E312">
      <w:start w:val="1"/>
      <w:numFmt w:val="bullet"/>
      <w:lvlText w:val=""/>
      <w:lvlJc w:val="left"/>
      <w:pPr>
        <w:tabs>
          <w:tab w:val="num" w:pos="720"/>
        </w:tabs>
        <w:ind w:left="720" w:hanging="360"/>
      </w:pPr>
      <w:rPr>
        <w:rFonts w:ascii="Wingdings 3" w:hAnsi="Wingdings 3" w:hint="default"/>
      </w:rPr>
    </w:lvl>
    <w:lvl w:ilvl="1" w:tplc="E5C2FC1E" w:tentative="1">
      <w:start w:val="1"/>
      <w:numFmt w:val="bullet"/>
      <w:lvlText w:val=""/>
      <w:lvlJc w:val="left"/>
      <w:pPr>
        <w:tabs>
          <w:tab w:val="num" w:pos="1440"/>
        </w:tabs>
        <w:ind w:left="1440" w:hanging="360"/>
      </w:pPr>
      <w:rPr>
        <w:rFonts w:ascii="Wingdings 3" w:hAnsi="Wingdings 3" w:hint="default"/>
      </w:rPr>
    </w:lvl>
    <w:lvl w:ilvl="2" w:tplc="D1F65C40" w:tentative="1">
      <w:start w:val="1"/>
      <w:numFmt w:val="bullet"/>
      <w:lvlText w:val=""/>
      <w:lvlJc w:val="left"/>
      <w:pPr>
        <w:tabs>
          <w:tab w:val="num" w:pos="2160"/>
        </w:tabs>
        <w:ind w:left="2160" w:hanging="360"/>
      </w:pPr>
      <w:rPr>
        <w:rFonts w:ascii="Wingdings 3" w:hAnsi="Wingdings 3" w:hint="default"/>
      </w:rPr>
    </w:lvl>
    <w:lvl w:ilvl="3" w:tplc="6F767D36" w:tentative="1">
      <w:start w:val="1"/>
      <w:numFmt w:val="bullet"/>
      <w:lvlText w:val=""/>
      <w:lvlJc w:val="left"/>
      <w:pPr>
        <w:tabs>
          <w:tab w:val="num" w:pos="2880"/>
        </w:tabs>
        <w:ind w:left="2880" w:hanging="360"/>
      </w:pPr>
      <w:rPr>
        <w:rFonts w:ascii="Wingdings 3" w:hAnsi="Wingdings 3" w:hint="default"/>
      </w:rPr>
    </w:lvl>
    <w:lvl w:ilvl="4" w:tplc="FE9096AC" w:tentative="1">
      <w:start w:val="1"/>
      <w:numFmt w:val="bullet"/>
      <w:lvlText w:val=""/>
      <w:lvlJc w:val="left"/>
      <w:pPr>
        <w:tabs>
          <w:tab w:val="num" w:pos="3600"/>
        </w:tabs>
        <w:ind w:left="3600" w:hanging="360"/>
      </w:pPr>
      <w:rPr>
        <w:rFonts w:ascii="Wingdings 3" w:hAnsi="Wingdings 3" w:hint="default"/>
      </w:rPr>
    </w:lvl>
    <w:lvl w:ilvl="5" w:tplc="D7C41312" w:tentative="1">
      <w:start w:val="1"/>
      <w:numFmt w:val="bullet"/>
      <w:lvlText w:val=""/>
      <w:lvlJc w:val="left"/>
      <w:pPr>
        <w:tabs>
          <w:tab w:val="num" w:pos="4320"/>
        </w:tabs>
        <w:ind w:left="4320" w:hanging="360"/>
      </w:pPr>
      <w:rPr>
        <w:rFonts w:ascii="Wingdings 3" w:hAnsi="Wingdings 3" w:hint="default"/>
      </w:rPr>
    </w:lvl>
    <w:lvl w:ilvl="6" w:tplc="18200C32" w:tentative="1">
      <w:start w:val="1"/>
      <w:numFmt w:val="bullet"/>
      <w:lvlText w:val=""/>
      <w:lvlJc w:val="left"/>
      <w:pPr>
        <w:tabs>
          <w:tab w:val="num" w:pos="5040"/>
        </w:tabs>
        <w:ind w:left="5040" w:hanging="360"/>
      </w:pPr>
      <w:rPr>
        <w:rFonts w:ascii="Wingdings 3" w:hAnsi="Wingdings 3" w:hint="default"/>
      </w:rPr>
    </w:lvl>
    <w:lvl w:ilvl="7" w:tplc="5AEA4224" w:tentative="1">
      <w:start w:val="1"/>
      <w:numFmt w:val="bullet"/>
      <w:lvlText w:val=""/>
      <w:lvlJc w:val="left"/>
      <w:pPr>
        <w:tabs>
          <w:tab w:val="num" w:pos="5760"/>
        </w:tabs>
        <w:ind w:left="5760" w:hanging="360"/>
      </w:pPr>
      <w:rPr>
        <w:rFonts w:ascii="Wingdings 3" w:hAnsi="Wingdings 3" w:hint="default"/>
      </w:rPr>
    </w:lvl>
    <w:lvl w:ilvl="8" w:tplc="D536F712" w:tentative="1">
      <w:start w:val="1"/>
      <w:numFmt w:val="bullet"/>
      <w:lvlText w:val=""/>
      <w:lvlJc w:val="left"/>
      <w:pPr>
        <w:tabs>
          <w:tab w:val="num" w:pos="6480"/>
        </w:tabs>
        <w:ind w:left="6480" w:hanging="360"/>
      </w:pPr>
      <w:rPr>
        <w:rFonts w:ascii="Wingdings 3" w:hAnsi="Wingdings 3" w:hint="default"/>
      </w:rPr>
    </w:lvl>
  </w:abstractNum>
  <w:abstractNum w:abstractNumId="31">
    <w:nsid w:val="701D5052"/>
    <w:multiLevelType w:val="hybridMultilevel"/>
    <w:tmpl w:val="B7D86A0C"/>
    <w:lvl w:ilvl="0" w:tplc="040C000F">
      <w:start w:val="1"/>
      <w:numFmt w:val="decimal"/>
      <w:lvlText w:val="%1."/>
      <w:lvlJc w:val="left"/>
      <w:pPr>
        <w:ind w:left="896" w:hanging="360"/>
      </w:pPr>
    </w:lvl>
    <w:lvl w:ilvl="1" w:tplc="040C0019">
      <w:start w:val="1"/>
      <w:numFmt w:val="lowerLetter"/>
      <w:lvlText w:val="%2."/>
      <w:lvlJc w:val="left"/>
      <w:pPr>
        <w:ind w:left="1616" w:hanging="360"/>
      </w:pPr>
    </w:lvl>
    <w:lvl w:ilvl="2" w:tplc="040C001B" w:tentative="1">
      <w:start w:val="1"/>
      <w:numFmt w:val="lowerRoman"/>
      <w:lvlText w:val="%3."/>
      <w:lvlJc w:val="right"/>
      <w:pPr>
        <w:ind w:left="2336" w:hanging="180"/>
      </w:pPr>
    </w:lvl>
    <w:lvl w:ilvl="3" w:tplc="040C000F" w:tentative="1">
      <w:start w:val="1"/>
      <w:numFmt w:val="decimal"/>
      <w:lvlText w:val="%4."/>
      <w:lvlJc w:val="left"/>
      <w:pPr>
        <w:ind w:left="3056" w:hanging="360"/>
      </w:pPr>
    </w:lvl>
    <w:lvl w:ilvl="4" w:tplc="040C0019" w:tentative="1">
      <w:start w:val="1"/>
      <w:numFmt w:val="lowerLetter"/>
      <w:lvlText w:val="%5."/>
      <w:lvlJc w:val="left"/>
      <w:pPr>
        <w:ind w:left="3776" w:hanging="360"/>
      </w:pPr>
    </w:lvl>
    <w:lvl w:ilvl="5" w:tplc="040C001B" w:tentative="1">
      <w:start w:val="1"/>
      <w:numFmt w:val="lowerRoman"/>
      <w:lvlText w:val="%6."/>
      <w:lvlJc w:val="right"/>
      <w:pPr>
        <w:ind w:left="4496" w:hanging="180"/>
      </w:pPr>
    </w:lvl>
    <w:lvl w:ilvl="6" w:tplc="040C000F" w:tentative="1">
      <w:start w:val="1"/>
      <w:numFmt w:val="decimal"/>
      <w:lvlText w:val="%7."/>
      <w:lvlJc w:val="left"/>
      <w:pPr>
        <w:ind w:left="5216" w:hanging="360"/>
      </w:pPr>
    </w:lvl>
    <w:lvl w:ilvl="7" w:tplc="040C0019" w:tentative="1">
      <w:start w:val="1"/>
      <w:numFmt w:val="lowerLetter"/>
      <w:lvlText w:val="%8."/>
      <w:lvlJc w:val="left"/>
      <w:pPr>
        <w:ind w:left="5936" w:hanging="360"/>
      </w:pPr>
    </w:lvl>
    <w:lvl w:ilvl="8" w:tplc="040C001B" w:tentative="1">
      <w:start w:val="1"/>
      <w:numFmt w:val="lowerRoman"/>
      <w:lvlText w:val="%9."/>
      <w:lvlJc w:val="right"/>
      <w:pPr>
        <w:ind w:left="6656" w:hanging="180"/>
      </w:pPr>
    </w:lvl>
  </w:abstractNum>
  <w:abstractNum w:abstractNumId="32">
    <w:nsid w:val="71F107E6"/>
    <w:multiLevelType w:val="hybridMultilevel"/>
    <w:tmpl w:val="D376F18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25D179E"/>
    <w:multiLevelType w:val="hybridMultilevel"/>
    <w:tmpl w:val="85DEF6AC"/>
    <w:lvl w:ilvl="0" w:tplc="E0047506">
      <w:start w:val="1"/>
      <w:numFmt w:val="bullet"/>
      <w:lvlText w:val=""/>
      <w:lvlJc w:val="left"/>
      <w:pPr>
        <w:tabs>
          <w:tab w:val="num" w:pos="720"/>
        </w:tabs>
        <w:ind w:left="720" w:hanging="360"/>
      </w:pPr>
      <w:rPr>
        <w:rFonts w:ascii="Wingdings" w:hAnsi="Wingdings" w:hint="default"/>
      </w:rPr>
    </w:lvl>
    <w:lvl w:ilvl="1" w:tplc="040C0001">
      <w:start w:val="1"/>
      <w:numFmt w:val="bullet"/>
      <w:lvlText w:val=""/>
      <w:lvlJc w:val="left"/>
      <w:pPr>
        <w:tabs>
          <w:tab w:val="num" w:pos="1440"/>
        </w:tabs>
        <w:ind w:left="1440" w:hanging="360"/>
      </w:pPr>
      <w:rPr>
        <w:rFonts w:ascii="Symbol" w:hAnsi="Symbol" w:hint="default"/>
      </w:rPr>
    </w:lvl>
    <w:lvl w:ilvl="2" w:tplc="F32431D0" w:tentative="1">
      <w:start w:val="1"/>
      <w:numFmt w:val="bullet"/>
      <w:lvlText w:val=""/>
      <w:lvlJc w:val="left"/>
      <w:pPr>
        <w:tabs>
          <w:tab w:val="num" w:pos="2160"/>
        </w:tabs>
        <w:ind w:left="2160" w:hanging="360"/>
      </w:pPr>
      <w:rPr>
        <w:rFonts w:ascii="Wingdings" w:hAnsi="Wingdings" w:hint="default"/>
      </w:rPr>
    </w:lvl>
    <w:lvl w:ilvl="3" w:tplc="688AD1E4" w:tentative="1">
      <w:start w:val="1"/>
      <w:numFmt w:val="bullet"/>
      <w:lvlText w:val=""/>
      <w:lvlJc w:val="left"/>
      <w:pPr>
        <w:tabs>
          <w:tab w:val="num" w:pos="2880"/>
        </w:tabs>
        <w:ind w:left="2880" w:hanging="360"/>
      </w:pPr>
      <w:rPr>
        <w:rFonts w:ascii="Wingdings" w:hAnsi="Wingdings" w:hint="default"/>
      </w:rPr>
    </w:lvl>
    <w:lvl w:ilvl="4" w:tplc="B4E8C7C6" w:tentative="1">
      <w:start w:val="1"/>
      <w:numFmt w:val="bullet"/>
      <w:lvlText w:val=""/>
      <w:lvlJc w:val="left"/>
      <w:pPr>
        <w:tabs>
          <w:tab w:val="num" w:pos="3600"/>
        </w:tabs>
        <w:ind w:left="3600" w:hanging="360"/>
      </w:pPr>
      <w:rPr>
        <w:rFonts w:ascii="Wingdings" w:hAnsi="Wingdings" w:hint="default"/>
      </w:rPr>
    </w:lvl>
    <w:lvl w:ilvl="5" w:tplc="984283DA" w:tentative="1">
      <w:start w:val="1"/>
      <w:numFmt w:val="bullet"/>
      <w:lvlText w:val=""/>
      <w:lvlJc w:val="left"/>
      <w:pPr>
        <w:tabs>
          <w:tab w:val="num" w:pos="4320"/>
        </w:tabs>
        <w:ind w:left="4320" w:hanging="360"/>
      </w:pPr>
      <w:rPr>
        <w:rFonts w:ascii="Wingdings" w:hAnsi="Wingdings" w:hint="default"/>
      </w:rPr>
    </w:lvl>
    <w:lvl w:ilvl="6" w:tplc="E81895EA" w:tentative="1">
      <w:start w:val="1"/>
      <w:numFmt w:val="bullet"/>
      <w:lvlText w:val=""/>
      <w:lvlJc w:val="left"/>
      <w:pPr>
        <w:tabs>
          <w:tab w:val="num" w:pos="5040"/>
        </w:tabs>
        <w:ind w:left="5040" w:hanging="360"/>
      </w:pPr>
      <w:rPr>
        <w:rFonts w:ascii="Wingdings" w:hAnsi="Wingdings" w:hint="default"/>
      </w:rPr>
    </w:lvl>
    <w:lvl w:ilvl="7" w:tplc="A27879AE" w:tentative="1">
      <w:start w:val="1"/>
      <w:numFmt w:val="bullet"/>
      <w:lvlText w:val=""/>
      <w:lvlJc w:val="left"/>
      <w:pPr>
        <w:tabs>
          <w:tab w:val="num" w:pos="5760"/>
        </w:tabs>
        <w:ind w:left="5760" w:hanging="360"/>
      </w:pPr>
      <w:rPr>
        <w:rFonts w:ascii="Wingdings" w:hAnsi="Wingdings" w:hint="default"/>
      </w:rPr>
    </w:lvl>
    <w:lvl w:ilvl="8" w:tplc="ADD2074C" w:tentative="1">
      <w:start w:val="1"/>
      <w:numFmt w:val="bullet"/>
      <w:lvlText w:val=""/>
      <w:lvlJc w:val="left"/>
      <w:pPr>
        <w:tabs>
          <w:tab w:val="num" w:pos="6480"/>
        </w:tabs>
        <w:ind w:left="6480" w:hanging="360"/>
      </w:pPr>
      <w:rPr>
        <w:rFonts w:ascii="Wingdings" w:hAnsi="Wingdings" w:hint="default"/>
      </w:rPr>
    </w:lvl>
  </w:abstractNum>
  <w:abstractNum w:abstractNumId="34">
    <w:nsid w:val="7408195F"/>
    <w:multiLevelType w:val="hybridMultilevel"/>
    <w:tmpl w:val="20CEF4DA"/>
    <w:lvl w:ilvl="0" w:tplc="F75C1C94">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75A459C9"/>
    <w:multiLevelType w:val="hybridMultilevel"/>
    <w:tmpl w:val="8A7C1BE0"/>
    <w:lvl w:ilvl="0" w:tplc="E0047506">
      <w:start w:val="1"/>
      <w:numFmt w:val="bullet"/>
      <w:lvlText w:val=""/>
      <w:lvlJc w:val="left"/>
      <w:pPr>
        <w:tabs>
          <w:tab w:val="num" w:pos="720"/>
        </w:tabs>
        <w:ind w:left="720" w:hanging="360"/>
      </w:pPr>
      <w:rPr>
        <w:rFonts w:ascii="Wingdings" w:hAnsi="Wingdings" w:hint="default"/>
      </w:rPr>
    </w:lvl>
    <w:lvl w:ilvl="1" w:tplc="C41CEDE4">
      <w:start w:val="1"/>
      <w:numFmt w:val="bullet"/>
      <w:lvlText w:val=""/>
      <w:lvlJc w:val="left"/>
      <w:pPr>
        <w:tabs>
          <w:tab w:val="num" w:pos="1440"/>
        </w:tabs>
        <w:ind w:left="1440" w:hanging="360"/>
      </w:pPr>
      <w:rPr>
        <w:rFonts w:ascii="Wingdings" w:hAnsi="Wingdings" w:hint="default"/>
      </w:rPr>
    </w:lvl>
    <w:lvl w:ilvl="2" w:tplc="F32431D0" w:tentative="1">
      <w:start w:val="1"/>
      <w:numFmt w:val="bullet"/>
      <w:lvlText w:val=""/>
      <w:lvlJc w:val="left"/>
      <w:pPr>
        <w:tabs>
          <w:tab w:val="num" w:pos="2160"/>
        </w:tabs>
        <w:ind w:left="2160" w:hanging="360"/>
      </w:pPr>
      <w:rPr>
        <w:rFonts w:ascii="Wingdings" w:hAnsi="Wingdings" w:hint="default"/>
      </w:rPr>
    </w:lvl>
    <w:lvl w:ilvl="3" w:tplc="688AD1E4" w:tentative="1">
      <w:start w:val="1"/>
      <w:numFmt w:val="bullet"/>
      <w:lvlText w:val=""/>
      <w:lvlJc w:val="left"/>
      <w:pPr>
        <w:tabs>
          <w:tab w:val="num" w:pos="2880"/>
        </w:tabs>
        <w:ind w:left="2880" w:hanging="360"/>
      </w:pPr>
      <w:rPr>
        <w:rFonts w:ascii="Wingdings" w:hAnsi="Wingdings" w:hint="default"/>
      </w:rPr>
    </w:lvl>
    <w:lvl w:ilvl="4" w:tplc="B4E8C7C6" w:tentative="1">
      <w:start w:val="1"/>
      <w:numFmt w:val="bullet"/>
      <w:lvlText w:val=""/>
      <w:lvlJc w:val="left"/>
      <w:pPr>
        <w:tabs>
          <w:tab w:val="num" w:pos="3600"/>
        </w:tabs>
        <w:ind w:left="3600" w:hanging="360"/>
      </w:pPr>
      <w:rPr>
        <w:rFonts w:ascii="Wingdings" w:hAnsi="Wingdings" w:hint="default"/>
      </w:rPr>
    </w:lvl>
    <w:lvl w:ilvl="5" w:tplc="984283DA" w:tentative="1">
      <w:start w:val="1"/>
      <w:numFmt w:val="bullet"/>
      <w:lvlText w:val=""/>
      <w:lvlJc w:val="left"/>
      <w:pPr>
        <w:tabs>
          <w:tab w:val="num" w:pos="4320"/>
        </w:tabs>
        <w:ind w:left="4320" w:hanging="360"/>
      </w:pPr>
      <w:rPr>
        <w:rFonts w:ascii="Wingdings" w:hAnsi="Wingdings" w:hint="default"/>
      </w:rPr>
    </w:lvl>
    <w:lvl w:ilvl="6" w:tplc="E81895EA" w:tentative="1">
      <w:start w:val="1"/>
      <w:numFmt w:val="bullet"/>
      <w:lvlText w:val=""/>
      <w:lvlJc w:val="left"/>
      <w:pPr>
        <w:tabs>
          <w:tab w:val="num" w:pos="5040"/>
        </w:tabs>
        <w:ind w:left="5040" w:hanging="360"/>
      </w:pPr>
      <w:rPr>
        <w:rFonts w:ascii="Wingdings" w:hAnsi="Wingdings" w:hint="default"/>
      </w:rPr>
    </w:lvl>
    <w:lvl w:ilvl="7" w:tplc="A27879AE" w:tentative="1">
      <w:start w:val="1"/>
      <w:numFmt w:val="bullet"/>
      <w:lvlText w:val=""/>
      <w:lvlJc w:val="left"/>
      <w:pPr>
        <w:tabs>
          <w:tab w:val="num" w:pos="5760"/>
        </w:tabs>
        <w:ind w:left="5760" w:hanging="360"/>
      </w:pPr>
      <w:rPr>
        <w:rFonts w:ascii="Wingdings" w:hAnsi="Wingdings" w:hint="default"/>
      </w:rPr>
    </w:lvl>
    <w:lvl w:ilvl="8" w:tplc="ADD2074C" w:tentative="1">
      <w:start w:val="1"/>
      <w:numFmt w:val="bullet"/>
      <w:lvlText w:val=""/>
      <w:lvlJc w:val="left"/>
      <w:pPr>
        <w:tabs>
          <w:tab w:val="num" w:pos="6480"/>
        </w:tabs>
        <w:ind w:left="6480" w:hanging="360"/>
      </w:pPr>
      <w:rPr>
        <w:rFonts w:ascii="Wingdings" w:hAnsi="Wingdings" w:hint="default"/>
      </w:rPr>
    </w:lvl>
  </w:abstractNum>
  <w:abstractNum w:abstractNumId="36">
    <w:nsid w:val="794C1D21"/>
    <w:multiLevelType w:val="hybridMultilevel"/>
    <w:tmpl w:val="4C2CA1B0"/>
    <w:lvl w:ilvl="0" w:tplc="F75C1C94">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79A8712E"/>
    <w:multiLevelType w:val="hybridMultilevel"/>
    <w:tmpl w:val="5FB07D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C0B105E"/>
    <w:multiLevelType w:val="hybridMultilevel"/>
    <w:tmpl w:val="42B8DEC8"/>
    <w:lvl w:ilvl="0" w:tplc="3DA42518">
      <w:start w:val="1"/>
      <w:numFmt w:val="bullet"/>
      <w:lvlText w:val=""/>
      <w:lvlJc w:val="left"/>
      <w:pPr>
        <w:tabs>
          <w:tab w:val="num" w:pos="720"/>
        </w:tabs>
        <w:ind w:left="720" w:hanging="360"/>
      </w:pPr>
      <w:rPr>
        <w:rFonts w:ascii="Wingdings" w:hAnsi="Wingdings" w:hint="default"/>
      </w:rPr>
    </w:lvl>
    <w:lvl w:ilvl="1" w:tplc="5260B72E" w:tentative="1">
      <w:start w:val="1"/>
      <w:numFmt w:val="bullet"/>
      <w:lvlText w:val=""/>
      <w:lvlJc w:val="left"/>
      <w:pPr>
        <w:tabs>
          <w:tab w:val="num" w:pos="1440"/>
        </w:tabs>
        <w:ind w:left="1440" w:hanging="360"/>
      </w:pPr>
      <w:rPr>
        <w:rFonts w:ascii="Wingdings" w:hAnsi="Wingdings" w:hint="default"/>
      </w:rPr>
    </w:lvl>
    <w:lvl w:ilvl="2" w:tplc="D76242B2" w:tentative="1">
      <w:start w:val="1"/>
      <w:numFmt w:val="bullet"/>
      <w:lvlText w:val=""/>
      <w:lvlJc w:val="left"/>
      <w:pPr>
        <w:tabs>
          <w:tab w:val="num" w:pos="2160"/>
        </w:tabs>
        <w:ind w:left="2160" w:hanging="360"/>
      </w:pPr>
      <w:rPr>
        <w:rFonts w:ascii="Wingdings" w:hAnsi="Wingdings" w:hint="default"/>
      </w:rPr>
    </w:lvl>
    <w:lvl w:ilvl="3" w:tplc="2788F81C" w:tentative="1">
      <w:start w:val="1"/>
      <w:numFmt w:val="bullet"/>
      <w:lvlText w:val=""/>
      <w:lvlJc w:val="left"/>
      <w:pPr>
        <w:tabs>
          <w:tab w:val="num" w:pos="2880"/>
        </w:tabs>
        <w:ind w:left="2880" w:hanging="360"/>
      </w:pPr>
      <w:rPr>
        <w:rFonts w:ascii="Wingdings" w:hAnsi="Wingdings" w:hint="default"/>
      </w:rPr>
    </w:lvl>
    <w:lvl w:ilvl="4" w:tplc="EA462C64" w:tentative="1">
      <w:start w:val="1"/>
      <w:numFmt w:val="bullet"/>
      <w:lvlText w:val=""/>
      <w:lvlJc w:val="left"/>
      <w:pPr>
        <w:tabs>
          <w:tab w:val="num" w:pos="3600"/>
        </w:tabs>
        <w:ind w:left="3600" w:hanging="360"/>
      </w:pPr>
      <w:rPr>
        <w:rFonts w:ascii="Wingdings" w:hAnsi="Wingdings" w:hint="default"/>
      </w:rPr>
    </w:lvl>
    <w:lvl w:ilvl="5" w:tplc="857C84A2" w:tentative="1">
      <w:start w:val="1"/>
      <w:numFmt w:val="bullet"/>
      <w:lvlText w:val=""/>
      <w:lvlJc w:val="left"/>
      <w:pPr>
        <w:tabs>
          <w:tab w:val="num" w:pos="4320"/>
        </w:tabs>
        <w:ind w:left="4320" w:hanging="360"/>
      </w:pPr>
      <w:rPr>
        <w:rFonts w:ascii="Wingdings" w:hAnsi="Wingdings" w:hint="default"/>
      </w:rPr>
    </w:lvl>
    <w:lvl w:ilvl="6" w:tplc="BD669F94" w:tentative="1">
      <w:start w:val="1"/>
      <w:numFmt w:val="bullet"/>
      <w:lvlText w:val=""/>
      <w:lvlJc w:val="left"/>
      <w:pPr>
        <w:tabs>
          <w:tab w:val="num" w:pos="5040"/>
        </w:tabs>
        <w:ind w:left="5040" w:hanging="360"/>
      </w:pPr>
      <w:rPr>
        <w:rFonts w:ascii="Wingdings" w:hAnsi="Wingdings" w:hint="default"/>
      </w:rPr>
    </w:lvl>
    <w:lvl w:ilvl="7" w:tplc="8B88490E" w:tentative="1">
      <w:start w:val="1"/>
      <w:numFmt w:val="bullet"/>
      <w:lvlText w:val=""/>
      <w:lvlJc w:val="left"/>
      <w:pPr>
        <w:tabs>
          <w:tab w:val="num" w:pos="5760"/>
        </w:tabs>
        <w:ind w:left="5760" w:hanging="360"/>
      </w:pPr>
      <w:rPr>
        <w:rFonts w:ascii="Wingdings" w:hAnsi="Wingdings" w:hint="default"/>
      </w:rPr>
    </w:lvl>
    <w:lvl w:ilvl="8" w:tplc="22E869A8"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21"/>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3"/>
  </w:num>
  <w:num w:numId="6">
    <w:abstractNumId w:val="19"/>
  </w:num>
  <w:num w:numId="7">
    <w:abstractNumId w:val="38"/>
  </w:num>
  <w:num w:numId="8">
    <w:abstractNumId w:val="1"/>
  </w:num>
  <w:num w:numId="9">
    <w:abstractNumId w:val="22"/>
  </w:num>
  <w:num w:numId="10">
    <w:abstractNumId w:val="13"/>
  </w:num>
  <w:num w:numId="11">
    <w:abstractNumId w:val="23"/>
  </w:num>
  <w:num w:numId="12">
    <w:abstractNumId w:val="29"/>
  </w:num>
  <w:num w:numId="13">
    <w:abstractNumId w:val="10"/>
  </w:num>
  <w:num w:numId="14">
    <w:abstractNumId w:val="5"/>
  </w:num>
  <w:num w:numId="15">
    <w:abstractNumId w:val="25"/>
  </w:num>
  <w:num w:numId="16">
    <w:abstractNumId w:val="20"/>
  </w:num>
  <w:num w:numId="17">
    <w:abstractNumId w:val="4"/>
  </w:num>
  <w:num w:numId="18">
    <w:abstractNumId w:val="31"/>
  </w:num>
  <w:num w:numId="19">
    <w:abstractNumId w:val="15"/>
  </w:num>
  <w:num w:numId="20">
    <w:abstractNumId w:val="27"/>
  </w:num>
  <w:num w:numId="21">
    <w:abstractNumId w:val="34"/>
  </w:num>
  <w:num w:numId="22">
    <w:abstractNumId w:val="36"/>
  </w:num>
  <w:num w:numId="23">
    <w:abstractNumId w:val="14"/>
  </w:num>
  <w:num w:numId="24">
    <w:abstractNumId w:val="26"/>
  </w:num>
  <w:num w:numId="25">
    <w:abstractNumId w:val="35"/>
  </w:num>
  <w:num w:numId="26">
    <w:abstractNumId w:val="33"/>
  </w:num>
  <w:num w:numId="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7"/>
  </w:num>
  <w:num w:numId="29">
    <w:abstractNumId w:val="12"/>
  </w:num>
  <w:num w:numId="30">
    <w:abstractNumId w:val="0"/>
  </w:num>
  <w:num w:numId="31">
    <w:abstractNumId w:val="8"/>
  </w:num>
  <w:num w:numId="32">
    <w:abstractNumId w:val="30"/>
  </w:num>
  <w:num w:numId="33">
    <w:abstractNumId w:val="24"/>
  </w:num>
  <w:num w:numId="34">
    <w:abstractNumId w:val="2"/>
  </w:num>
  <w:num w:numId="35">
    <w:abstractNumId w:val="17"/>
  </w:num>
  <w:num w:numId="36">
    <w:abstractNumId w:val="28"/>
  </w:num>
  <w:num w:numId="37">
    <w:abstractNumId w:val="11"/>
  </w:num>
  <w:num w:numId="38">
    <w:abstractNumId w:val="9"/>
  </w:num>
  <w:num w:numId="39">
    <w:abstractNumId w:val="16"/>
  </w:num>
  <w:num w:numId="40">
    <w:abstractNumId w:val="3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07B2"/>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04B5"/>
    <w:rsid w:val="0003202C"/>
    <w:rsid w:val="00032228"/>
    <w:rsid w:val="00032405"/>
    <w:rsid w:val="000324DB"/>
    <w:rsid w:val="000325D9"/>
    <w:rsid w:val="0003261D"/>
    <w:rsid w:val="000329E1"/>
    <w:rsid w:val="000330D4"/>
    <w:rsid w:val="0003381B"/>
    <w:rsid w:val="000338B6"/>
    <w:rsid w:val="0003432F"/>
    <w:rsid w:val="000346E4"/>
    <w:rsid w:val="000348A8"/>
    <w:rsid w:val="00034A91"/>
    <w:rsid w:val="00035187"/>
    <w:rsid w:val="000354BE"/>
    <w:rsid w:val="00035733"/>
    <w:rsid w:val="00035BB4"/>
    <w:rsid w:val="00036420"/>
    <w:rsid w:val="00036D38"/>
    <w:rsid w:val="000371EC"/>
    <w:rsid w:val="0003722E"/>
    <w:rsid w:val="000374C8"/>
    <w:rsid w:val="00037F05"/>
    <w:rsid w:val="00040191"/>
    <w:rsid w:val="000406C6"/>
    <w:rsid w:val="00040724"/>
    <w:rsid w:val="0004096C"/>
    <w:rsid w:val="00040ABF"/>
    <w:rsid w:val="00040C26"/>
    <w:rsid w:val="000415BB"/>
    <w:rsid w:val="00041B85"/>
    <w:rsid w:val="00041E88"/>
    <w:rsid w:val="00042367"/>
    <w:rsid w:val="00042535"/>
    <w:rsid w:val="00042AA9"/>
    <w:rsid w:val="00042E04"/>
    <w:rsid w:val="000432B6"/>
    <w:rsid w:val="00043363"/>
    <w:rsid w:val="00043961"/>
    <w:rsid w:val="00043BEF"/>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6C1"/>
    <w:rsid w:val="000617A0"/>
    <w:rsid w:val="00061A2F"/>
    <w:rsid w:val="0006226E"/>
    <w:rsid w:val="00062AB9"/>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52E"/>
    <w:rsid w:val="0008263A"/>
    <w:rsid w:val="00082B1F"/>
    <w:rsid w:val="000830E4"/>
    <w:rsid w:val="000831DD"/>
    <w:rsid w:val="000833B2"/>
    <w:rsid w:val="00083DBC"/>
    <w:rsid w:val="00083E5D"/>
    <w:rsid w:val="00084343"/>
    <w:rsid w:val="000844C6"/>
    <w:rsid w:val="00084511"/>
    <w:rsid w:val="00084D22"/>
    <w:rsid w:val="00084D59"/>
    <w:rsid w:val="00085228"/>
    <w:rsid w:val="00086351"/>
    <w:rsid w:val="000870D1"/>
    <w:rsid w:val="00087691"/>
    <w:rsid w:val="00087A82"/>
    <w:rsid w:val="000904D6"/>
    <w:rsid w:val="000915D0"/>
    <w:rsid w:val="0009173C"/>
    <w:rsid w:val="000917CB"/>
    <w:rsid w:val="00091E19"/>
    <w:rsid w:val="000925ED"/>
    <w:rsid w:val="00092604"/>
    <w:rsid w:val="00092DE9"/>
    <w:rsid w:val="00092FEA"/>
    <w:rsid w:val="0009356D"/>
    <w:rsid w:val="000938F8"/>
    <w:rsid w:val="00093E70"/>
    <w:rsid w:val="0009421C"/>
    <w:rsid w:val="000948AC"/>
    <w:rsid w:val="0009534A"/>
    <w:rsid w:val="00095771"/>
    <w:rsid w:val="00096234"/>
    <w:rsid w:val="00096506"/>
    <w:rsid w:val="00096814"/>
    <w:rsid w:val="00097CBE"/>
    <w:rsid w:val="00097EFC"/>
    <w:rsid w:val="000A098B"/>
    <w:rsid w:val="000A1180"/>
    <w:rsid w:val="000A18FD"/>
    <w:rsid w:val="000A1933"/>
    <w:rsid w:val="000A1E55"/>
    <w:rsid w:val="000A2021"/>
    <w:rsid w:val="000A2570"/>
    <w:rsid w:val="000A315D"/>
    <w:rsid w:val="000A36D9"/>
    <w:rsid w:val="000A3EF5"/>
    <w:rsid w:val="000A3F12"/>
    <w:rsid w:val="000A3F24"/>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59FA"/>
    <w:rsid w:val="000B5DA0"/>
    <w:rsid w:val="000B61F9"/>
    <w:rsid w:val="000B6BF9"/>
    <w:rsid w:val="000B78A5"/>
    <w:rsid w:val="000B79E8"/>
    <w:rsid w:val="000B7B71"/>
    <w:rsid w:val="000C0029"/>
    <w:rsid w:val="000C0B76"/>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C5DD3"/>
    <w:rsid w:val="000D0D9D"/>
    <w:rsid w:val="000D1063"/>
    <w:rsid w:val="000D132E"/>
    <w:rsid w:val="000D1A7D"/>
    <w:rsid w:val="000D1C0C"/>
    <w:rsid w:val="000D1D7D"/>
    <w:rsid w:val="000D219F"/>
    <w:rsid w:val="000D3454"/>
    <w:rsid w:val="000D3C2A"/>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2BC"/>
    <w:rsid w:val="000E6316"/>
    <w:rsid w:val="000E65C0"/>
    <w:rsid w:val="000F03E4"/>
    <w:rsid w:val="000F1056"/>
    <w:rsid w:val="000F10A9"/>
    <w:rsid w:val="000F11FB"/>
    <w:rsid w:val="000F1673"/>
    <w:rsid w:val="000F1AD6"/>
    <w:rsid w:val="000F2574"/>
    <w:rsid w:val="000F26E5"/>
    <w:rsid w:val="000F2B8A"/>
    <w:rsid w:val="000F2BE1"/>
    <w:rsid w:val="000F350B"/>
    <w:rsid w:val="000F3F64"/>
    <w:rsid w:val="000F4E13"/>
    <w:rsid w:val="000F5BAE"/>
    <w:rsid w:val="000F5C6D"/>
    <w:rsid w:val="000F76A8"/>
    <w:rsid w:val="000F7E43"/>
    <w:rsid w:val="000F7F72"/>
    <w:rsid w:val="00100C85"/>
    <w:rsid w:val="00101C78"/>
    <w:rsid w:val="00101E8B"/>
    <w:rsid w:val="001026AF"/>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7AC"/>
    <w:rsid w:val="001158B8"/>
    <w:rsid w:val="00115C79"/>
    <w:rsid w:val="00115E41"/>
    <w:rsid w:val="00115FEB"/>
    <w:rsid w:val="001160AE"/>
    <w:rsid w:val="00117AFE"/>
    <w:rsid w:val="00117E30"/>
    <w:rsid w:val="0012027F"/>
    <w:rsid w:val="001208CD"/>
    <w:rsid w:val="00120B83"/>
    <w:rsid w:val="00120D11"/>
    <w:rsid w:val="001216CA"/>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94D"/>
    <w:rsid w:val="00126EDA"/>
    <w:rsid w:val="00126F73"/>
    <w:rsid w:val="00127B93"/>
    <w:rsid w:val="00127C8B"/>
    <w:rsid w:val="00130C2B"/>
    <w:rsid w:val="001314F3"/>
    <w:rsid w:val="00131D67"/>
    <w:rsid w:val="00132B23"/>
    <w:rsid w:val="00132DE0"/>
    <w:rsid w:val="00133AD8"/>
    <w:rsid w:val="00134107"/>
    <w:rsid w:val="001347C1"/>
    <w:rsid w:val="00134CB8"/>
    <w:rsid w:val="00134D23"/>
    <w:rsid w:val="00135693"/>
    <w:rsid w:val="00135D2B"/>
    <w:rsid w:val="001360FA"/>
    <w:rsid w:val="0013630A"/>
    <w:rsid w:val="0013630F"/>
    <w:rsid w:val="001363F8"/>
    <w:rsid w:val="00136646"/>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6F85"/>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1E81"/>
    <w:rsid w:val="00162E9E"/>
    <w:rsid w:val="00162FFF"/>
    <w:rsid w:val="0016389E"/>
    <w:rsid w:val="00163C5C"/>
    <w:rsid w:val="00163CCE"/>
    <w:rsid w:val="001647D4"/>
    <w:rsid w:val="00164D0A"/>
    <w:rsid w:val="00164E13"/>
    <w:rsid w:val="00164E4D"/>
    <w:rsid w:val="0016530E"/>
    <w:rsid w:val="001656EF"/>
    <w:rsid w:val="00165789"/>
    <w:rsid w:val="00165A12"/>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0918"/>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2DF"/>
    <w:rsid w:val="00191525"/>
    <w:rsid w:val="00191CC7"/>
    <w:rsid w:val="001922AC"/>
    <w:rsid w:val="00192633"/>
    <w:rsid w:val="00192A1F"/>
    <w:rsid w:val="00192F7A"/>
    <w:rsid w:val="00193537"/>
    <w:rsid w:val="00193A6E"/>
    <w:rsid w:val="0019437F"/>
    <w:rsid w:val="0019556C"/>
    <w:rsid w:val="00195DDE"/>
    <w:rsid w:val="00196202"/>
    <w:rsid w:val="00196793"/>
    <w:rsid w:val="00196F2E"/>
    <w:rsid w:val="0019758E"/>
    <w:rsid w:val="001977C3"/>
    <w:rsid w:val="001A02A1"/>
    <w:rsid w:val="001A0609"/>
    <w:rsid w:val="001A14B1"/>
    <w:rsid w:val="001A16AC"/>
    <w:rsid w:val="001A1887"/>
    <w:rsid w:val="001A1A1E"/>
    <w:rsid w:val="001A1C49"/>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87D"/>
    <w:rsid w:val="001A6AB1"/>
    <w:rsid w:val="001A6E82"/>
    <w:rsid w:val="001A721F"/>
    <w:rsid w:val="001B0017"/>
    <w:rsid w:val="001B012C"/>
    <w:rsid w:val="001B01FF"/>
    <w:rsid w:val="001B096D"/>
    <w:rsid w:val="001B136B"/>
    <w:rsid w:val="001B15AE"/>
    <w:rsid w:val="001B197D"/>
    <w:rsid w:val="001B1DFA"/>
    <w:rsid w:val="001B28E6"/>
    <w:rsid w:val="001B2AF2"/>
    <w:rsid w:val="001B37A4"/>
    <w:rsid w:val="001B423B"/>
    <w:rsid w:val="001B4C67"/>
    <w:rsid w:val="001B54C1"/>
    <w:rsid w:val="001B5579"/>
    <w:rsid w:val="001B55B0"/>
    <w:rsid w:val="001B62CE"/>
    <w:rsid w:val="001B658C"/>
    <w:rsid w:val="001B6D78"/>
    <w:rsid w:val="001B6DB1"/>
    <w:rsid w:val="001B7896"/>
    <w:rsid w:val="001B7990"/>
    <w:rsid w:val="001C0019"/>
    <w:rsid w:val="001C01A9"/>
    <w:rsid w:val="001C023D"/>
    <w:rsid w:val="001C10B7"/>
    <w:rsid w:val="001C13F6"/>
    <w:rsid w:val="001C1ACF"/>
    <w:rsid w:val="001C2234"/>
    <w:rsid w:val="001C235B"/>
    <w:rsid w:val="001C23C5"/>
    <w:rsid w:val="001C2C72"/>
    <w:rsid w:val="001C2CB3"/>
    <w:rsid w:val="001C339A"/>
    <w:rsid w:val="001C3AB9"/>
    <w:rsid w:val="001C50A7"/>
    <w:rsid w:val="001C5598"/>
    <w:rsid w:val="001C5B7E"/>
    <w:rsid w:val="001C5DE9"/>
    <w:rsid w:val="001C67FD"/>
    <w:rsid w:val="001C6DEC"/>
    <w:rsid w:val="001C7105"/>
    <w:rsid w:val="001C73A9"/>
    <w:rsid w:val="001C7715"/>
    <w:rsid w:val="001C794C"/>
    <w:rsid w:val="001C7B43"/>
    <w:rsid w:val="001D02B5"/>
    <w:rsid w:val="001D0328"/>
    <w:rsid w:val="001D03BD"/>
    <w:rsid w:val="001D1B5C"/>
    <w:rsid w:val="001D222F"/>
    <w:rsid w:val="001D24EC"/>
    <w:rsid w:val="001D27B2"/>
    <w:rsid w:val="001D3374"/>
    <w:rsid w:val="001D3B42"/>
    <w:rsid w:val="001D5400"/>
    <w:rsid w:val="001D5A8D"/>
    <w:rsid w:val="001D6AB5"/>
    <w:rsid w:val="001D77BE"/>
    <w:rsid w:val="001D7FDC"/>
    <w:rsid w:val="001E005D"/>
    <w:rsid w:val="001E111A"/>
    <w:rsid w:val="001E1803"/>
    <w:rsid w:val="001E1903"/>
    <w:rsid w:val="001E22C3"/>
    <w:rsid w:val="001E22C9"/>
    <w:rsid w:val="001E2E35"/>
    <w:rsid w:val="001E2F69"/>
    <w:rsid w:val="001E34B7"/>
    <w:rsid w:val="001E34E7"/>
    <w:rsid w:val="001E35D1"/>
    <w:rsid w:val="001E39CF"/>
    <w:rsid w:val="001E3D74"/>
    <w:rsid w:val="001E3E75"/>
    <w:rsid w:val="001E3EA6"/>
    <w:rsid w:val="001E5396"/>
    <w:rsid w:val="001E5EB5"/>
    <w:rsid w:val="001E65D2"/>
    <w:rsid w:val="001E69EB"/>
    <w:rsid w:val="001E6CB0"/>
    <w:rsid w:val="001E75C2"/>
    <w:rsid w:val="001E7906"/>
    <w:rsid w:val="001E7A79"/>
    <w:rsid w:val="001F040F"/>
    <w:rsid w:val="001F0717"/>
    <w:rsid w:val="001F08A3"/>
    <w:rsid w:val="001F0ADD"/>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B"/>
    <w:rsid w:val="0020263D"/>
    <w:rsid w:val="00202978"/>
    <w:rsid w:val="00202F39"/>
    <w:rsid w:val="0020305B"/>
    <w:rsid w:val="00203425"/>
    <w:rsid w:val="00203759"/>
    <w:rsid w:val="002046A2"/>
    <w:rsid w:val="00204871"/>
    <w:rsid w:val="0020547C"/>
    <w:rsid w:val="0020574F"/>
    <w:rsid w:val="00205DD4"/>
    <w:rsid w:val="00205F95"/>
    <w:rsid w:val="00206A86"/>
    <w:rsid w:val="00206ABC"/>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D8F"/>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03"/>
    <w:rsid w:val="00225A89"/>
    <w:rsid w:val="00225FED"/>
    <w:rsid w:val="00226343"/>
    <w:rsid w:val="002265ED"/>
    <w:rsid w:val="00227070"/>
    <w:rsid w:val="00227C3A"/>
    <w:rsid w:val="00230323"/>
    <w:rsid w:val="00230C16"/>
    <w:rsid w:val="0023278E"/>
    <w:rsid w:val="00232CAD"/>
    <w:rsid w:val="002332B5"/>
    <w:rsid w:val="002332BD"/>
    <w:rsid w:val="00233A29"/>
    <w:rsid w:val="00233BD8"/>
    <w:rsid w:val="00233E4D"/>
    <w:rsid w:val="002341E0"/>
    <w:rsid w:val="0023569A"/>
    <w:rsid w:val="00237381"/>
    <w:rsid w:val="0023747F"/>
    <w:rsid w:val="002376D6"/>
    <w:rsid w:val="00237744"/>
    <w:rsid w:val="00237A1D"/>
    <w:rsid w:val="00237C64"/>
    <w:rsid w:val="00237CAC"/>
    <w:rsid w:val="002403C8"/>
    <w:rsid w:val="00240468"/>
    <w:rsid w:val="00240FC0"/>
    <w:rsid w:val="00241963"/>
    <w:rsid w:val="00241BD7"/>
    <w:rsid w:val="00241E45"/>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7BE"/>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559E"/>
    <w:rsid w:val="00266531"/>
    <w:rsid w:val="00266F1C"/>
    <w:rsid w:val="00266FC7"/>
    <w:rsid w:val="00267353"/>
    <w:rsid w:val="002673E5"/>
    <w:rsid w:val="00267B10"/>
    <w:rsid w:val="00267DBD"/>
    <w:rsid w:val="00267F3E"/>
    <w:rsid w:val="00270A38"/>
    <w:rsid w:val="00271105"/>
    <w:rsid w:val="00271F22"/>
    <w:rsid w:val="002725D1"/>
    <w:rsid w:val="00272DCB"/>
    <w:rsid w:val="002733AE"/>
    <w:rsid w:val="00273DEF"/>
    <w:rsid w:val="0027418A"/>
    <w:rsid w:val="00275224"/>
    <w:rsid w:val="0027668D"/>
    <w:rsid w:val="00276B6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319"/>
    <w:rsid w:val="002925B8"/>
    <w:rsid w:val="00293366"/>
    <w:rsid w:val="0029354E"/>
    <w:rsid w:val="00293B67"/>
    <w:rsid w:val="00293E6A"/>
    <w:rsid w:val="002940F5"/>
    <w:rsid w:val="002943C4"/>
    <w:rsid w:val="002946F6"/>
    <w:rsid w:val="0029477A"/>
    <w:rsid w:val="0029481B"/>
    <w:rsid w:val="00294B9C"/>
    <w:rsid w:val="002950F3"/>
    <w:rsid w:val="0029511F"/>
    <w:rsid w:val="002951DC"/>
    <w:rsid w:val="002976C9"/>
    <w:rsid w:val="00297745"/>
    <w:rsid w:val="00297C24"/>
    <w:rsid w:val="00297D00"/>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2A0"/>
    <w:rsid w:val="002A55B8"/>
    <w:rsid w:val="002A59F3"/>
    <w:rsid w:val="002A6D70"/>
    <w:rsid w:val="002A6D9D"/>
    <w:rsid w:val="002A7E2A"/>
    <w:rsid w:val="002B0A2B"/>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B7F90"/>
    <w:rsid w:val="002C03A9"/>
    <w:rsid w:val="002C1098"/>
    <w:rsid w:val="002C11E3"/>
    <w:rsid w:val="002C1A13"/>
    <w:rsid w:val="002C272D"/>
    <w:rsid w:val="002C2738"/>
    <w:rsid w:val="002C2C1D"/>
    <w:rsid w:val="002C35EE"/>
    <w:rsid w:val="002C37EE"/>
    <w:rsid w:val="002C3937"/>
    <w:rsid w:val="002C39C2"/>
    <w:rsid w:val="002C3A0B"/>
    <w:rsid w:val="002C404D"/>
    <w:rsid w:val="002C41E1"/>
    <w:rsid w:val="002C44D2"/>
    <w:rsid w:val="002C4E27"/>
    <w:rsid w:val="002C51C8"/>
    <w:rsid w:val="002C646F"/>
    <w:rsid w:val="002C6C1A"/>
    <w:rsid w:val="002C6C63"/>
    <w:rsid w:val="002C6D11"/>
    <w:rsid w:val="002C731C"/>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68BC"/>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5AE"/>
    <w:rsid w:val="002F3AA3"/>
    <w:rsid w:val="002F3AAE"/>
    <w:rsid w:val="002F3BE7"/>
    <w:rsid w:val="002F3CAA"/>
    <w:rsid w:val="002F3D00"/>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AD0"/>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1FA7"/>
    <w:rsid w:val="003223C4"/>
    <w:rsid w:val="0032340D"/>
    <w:rsid w:val="0032368C"/>
    <w:rsid w:val="00323EE6"/>
    <w:rsid w:val="00323F93"/>
    <w:rsid w:val="0032415D"/>
    <w:rsid w:val="0032506F"/>
    <w:rsid w:val="00325246"/>
    <w:rsid w:val="0032558C"/>
    <w:rsid w:val="003259C9"/>
    <w:rsid w:val="00325EE2"/>
    <w:rsid w:val="00326081"/>
    <w:rsid w:val="00326B86"/>
    <w:rsid w:val="003277BD"/>
    <w:rsid w:val="00327E0F"/>
    <w:rsid w:val="00330014"/>
    <w:rsid w:val="003301A2"/>
    <w:rsid w:val="003310CD"/>
    <w:rsid w:val="00333151"/>
    <w:rsid w:val="003332AA"/>
    <w:rsid w:val="003333AC"/>
    <w:rsid w:val="0033486B"/>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A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752"/>
    <w:rsid w:val="00363A5B"/>
    <w:rsid w:val="00363B7E"/>
    <w:rsid w:val="003644A3"/>
    <w:rsid w:val="00364588"/>
    <w:rsid w:val="00365084"/>
    <w:rsid w:val="00365280"/>
    <w:rsid w:val="003653AF"/>
    <w:rsid w:val="003656D9"/>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41F"/>
    <w:rsid w:val="00380853"/>
    <w:rsid w:val="00380B58"/>
    <w:rsid w:val="00380E41"/>
    <w:rsid w:val="00380FBB"/>
    <w:rsid w:val="003812B7"/>
    <w:rsid w:val="00381AEE"/>
    <w:rsid w:val="00382665"/>
    <w:rsid w:val="00383A5E"/>
    <w:rsid w:val="0038435A"/>
    <w:rsid w:val="00384415"/>
    <w:rsid w:val="00385624"/>
    <w:rsid w:val="00385A8A"/>
    <w:rsid w:val="00385F40"/>
    <w:rsid w:val="003860AC"/>
    <w:rsid w:val="00386519"/>
    <w:rsid w:val="003865BE"/>
    <w:rsid w:val="00386AC2"/>
    <w:rsid w:val="00387129"/>
    <w:rsid w:val="00387224"/>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036"/>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157"/>
    <w:rsid w:val="003A5B85"/>
    <w:rsid w:val="003A657B"/>
    <w:rsid w:val="003A6804"/>
    <w:rsid w:val="003A7106"/>
    <w:rsid w:val="003A728B"/>
    <w:rsid w:val="003A75FB"/>
    <w:rsid w:val="003B12D1"/>
    <w:rsid w:val="003B1FFE"/>
    <w:rsid w:val="003B3C68"/>
    <w:rsid w:val="003B3D12"/>
    <w:rsid w:val="003B3DA4"/>
    <w:rsid w:val="003B486D"/>
    <w:rsid w:val="003B5262"/>
    <w:rsid w:val="003B6F84"/>
    <w:rsid w:val="003B7288"/>
    <w:rsid w:val="003B7D4C"/>
    <w:rsid w:val="003B7F7D"/>
    <w:rsid w:val="003C03CE"/>
    <w:rsid w:val="003C0FB0"/>
    <w:rsid w:val="003C1EAF"/>
    <w:rsid w:val="003C1FAA"/>
    <w:rsid w:val="003C26AC"/>
    <w:rsid w:val="003C3413"/>
    <w:rsid w:val="003C3715"/>
    <w:rsid w:val="003C3827"/>
    <w:rsid w:val="003C38D3"/>
    <w:rsid w:val="003C40EC"/>
    <w:rsid w:val="003C41B1"/>
    <w:rsid w:val="003C46FE"/>
    <w:rsid w:val="003C4918"/>
    <w:rsid w:val="003C4A30"/>
    <w:rsid w:val="003C4C18"/>
    <w:rsid w:val="003C4D55"/>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461"/>
    <w:rsid w:val="003E5A17"/>
    <w:rsid w:val="003E66D9"/>
    <w:rsid w:val="003E6765"/>
    <w:rsid w:val="003E6DC7"/>
    <w:rsid w:val="003E7047"/>
    <w:rsid w:val="003E79DB"/>
    <w:rsid w:val="003F0940"/>
    <w:rsid w:val="003F1005"/>
    <w:rsid w:val="003F164A"/>
    <w:rsid w:val="003F1AD1"/>
    <w:rsid w:val="003F1E1F"/>
    <w:rsid w:val="003F2428"/>
    <w:rsid w:val="003F2C85"/>
    <w:rsid w:val="003F3054"/>
    <w:rsid w:val="003F3CC1"/>
    <w:rsid w:val="003F4294"/>
    <w:rsid w:val="003F4DCA"/>
    <w:rsid w:val="003F5027"/>
    <w:rsid w:val="003F508A"/>
    <w:rsid w:val="003F511C"/>
    <w:rsid w:val="003F5534"/>
    <w:rsid w:val="003F607F"/>
    <w:rsid w:val="003F60F1"/>
    <w:rsid w:val="003F6D9B"/>
    <w:rsid w:val="003F7176"/>
    <w:rsid w:val="003F7AB0"/>
    <w:rsid w:val="003F7D6D"/>
    <w:rsid w:val="00400143"/>
    <w:rsid w:val="00400964"/>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5CD6"/>
    <w:rsid w:val="00406552"/>
    <w:rsid w:val="00406783"/>
    <w:rsid w:val="0040716D"/>
    <w:rsid w:val="0041030E"/>
    <w:rsid w:val="004107F6"/>
    <w:rsid w:val="00410866"/>
    <w:rsid w:val="004113DC"/>
    <w:rsid w:val="0041154B"/>
    <w:rsid w:val="0041181B"/>
    <w:rsid w:val="00412126"/>
    <w:rsid w:val="00412D48"/>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00"/>
    <w:rsid w:val="00422C82"/>
    <w:rsid w:val="00422D12"/>
    <w:rsid w:val="00422E24"/>
    <w:rsid w:val="004230CF"/>
    <w:rsid w:val="0042323C"/>
    <w:rsid w:val="004234C8"/>
    <w:rsid w:val="00424292"/>
    <w:rsid w:val="0042495D"/>
    <w:rsid w:val="00425286"/>
    <w:rsid w:val="004256B3"/>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AC9"/>
    <w:rsid w:val="00450B1B"/>
    <w:rsid w:val="004517BA"/>
    <w:rsid w:val="00451B17"/>
    <w:rsid w:val="00451B4F"/>
    <w:rsid w:val="00451CA0"/>
    <w:rsid w:val="00452313"/>
    <w:rsid w:val="0045254A"/>
    <w:rsid w:val="00452EC9"/>
    <w:rsid w:val="004538AB"/>
    <w:rsid w:val="00453914"/>
    <w:rsid w:val="0045457A"/>
    <w:rsid w:val="00454DF9"/>
    <w:rsid w:val="004550DB"/>
    <w:rsid w:val="004553BC"/>
    <w:rsid w:val="00455BE3"/>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3C7F"/>
    <w:rsid w:val="00464508"/>
    <w:rsid w:val="00464C61"/>
    <w:rsid w:val="00464CD8"/>
    <w:rsid w:val="00464EC5"/>
    <w:rsid w:val="00465240"/>
    <w:rsid w:val="00465792"/>
    <w:rsid w:val="00466BE9"/>
    <w:rsid w:val="0046716D"/>
    <w:rsid w:val="0046760B"/>
    <w:rsid w:val="00467629"/>
    <w:rsid w:val="00467DCB"/>
    <w:rsid w:val="004705DE"/>
    <w:rsid w:val="004708D9"/>
    <w:rsid w:val="00470CF2"/>
    <w:rsid w:val="004711C6"/>
    <w:rsid w:val="00471381"/>
    <w:rsid w:val="00471C97"/>
    <w:rsid w:val="00472211"/>
    <w:rsid w:val="004723C7"/>
    <w:rsid w:val="00472D18"/>
    <w:rsid w:val="00472F8B"/>
    <w:rsid w:val="004735A0"/>
    <w:rsid w:val="00473994"/>
    <w:rsid w:val="00473C8A"/>
    <w:rsid w:val="00473CAD"/>
    <w:rsid w:val="004745BB"/>
    <w:rsid w:val="004762B9"/>
    <w:rsid w:val="00476C21"/>
    <w:rsid w:val="00476D52"/>
    <w:rsid w:val="00476F17"/>
    <w:rsid w:val="00477550"/>
    <w:rsid w:val="00477692"/>
    <w:rsid w:val="00477AB6"/>
    <w:rsid w:val="00477AE3"/>
    <w:rsid w:val="00477BA4"/>
    <w:rsid w:val="00477CCE"/>
    <w:rsid w:val="0048044F"/>
    <w:rsid w:val="00481059"/>
    <w:rsid w:val="00481A13"/>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12B"/>
    <w:rsid w:val="0049239A"/>
    <w:rsid w:val="00492E62"/>
    <w:rsid w:val="004932C6"/>
    <w:rsid w:val="004934AA"/>
    <w:rsid w:val="00493D77"/>
    <w:rsid w:val="00493D8B"/>
    <w:rsid w:val="00493FD5"/>
    <w:rsid w:val="004943BF"/>
    <w:rsid w:val="004953D4"/>
    <w:rsid w:val="00495E8E"/>
    <w:rsid w:val="00495EE9"/>
    <w:rsid w:val="0049673E"/>
    <w:rsid w:val="00497021"/>
    <w:rsid w:val="004970A2"/>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5A92"/>
    <w:rsid w:val="004A5C66"/>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B7E26"/>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059"/>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644"/>
    <w:rsid w:val="004E6F38"/>
    <w:rsid w:val="004F05DC"/>
    <w:rsid w:val="004F08F2"/>
    <w:rsid w:val="004F1BCB"/>
    <w:rsid w:val="004F1C7D"/>
    <w:rsid w:val="004F2149"/>
    <w:rsid w:val="004F28E0"/>
    <w:rsid w:val="004F35E7"/>
    <w:rsid w:val="004F3C8A"/>
    <w:rsid w:val="004F4377"/>
    <w:rsid w:val="004F487D"/>
    <w:rsid w:val="004F49EE"/>
    <w:rsid w:val="004F4FE1"/>
    <w:rsid w:val="004F5021"/>
    <w:rsid w:val="004F53D2"/>
    <w:rsid w:val="004F55F9"/>
    <w:rsid w:val="004F5BCC"/>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07376"/>
    <w:rsid w:val="0051004F"/>
    <w:rsid w:val="00510CA1"/>
    <w:rsid w:val="00510CF7"/>
    <w:rsid w:val="005115B6"/>
    <w:rsid w:val="0051194F"/>
    <w:rsid w:val="0051233B"/>
    <w:rsid w:val="0051254F"/>
    <w:rsid w:val="00512569"/>
    <w:rsid w:val="005125B7"/>
    <w:rsid w:val="00512B45"/>
    <w:rsid w:val="00512E29"/>
    <w:rsid w:val="00512ECE"/>
    <w:rsid w:val="00513092"/>
    <w:rsid w:val="0051327D"/>
    <w:rsid w:val="0051334E"/>
    <w:rsid w:val="00513BD6"/>
    <w:rsid w:val="00513CEA"/>
    <w:rsid w:val="00513DE5"/>
    <w:rsid w:val="00514227"/>
    <w:rsid w:val="005145DB"/>
    <w:rsid w:val="0051475F"/>
    <w:rsid w:val="00514A08"/>
    <w:rsid w:val="00514BCF"/>
    <w:rsid w:val="00514CF8"/>
    <w:rsid w:val="00514DB1"/>
    <w:rsid w:val="00515F77"/>
    <w:rsid w:val="005164E0"/>
    <w:rsid w:val="005168E2"/>
    <w:rsid w:val="0051717D"/>
    <w:rsid w:val="005175B8"/>
    <w:rsid w:val="00520515"/>
    <w:rsid w:val="00520A44"/>
    <w:rsid w:val="0052109F"/>
    <w:rsid w:val="0052155A"/>
    <w:rsid w:val="00521690"/>
    <w:rsid w:val="00522486"/>
    <w:rsid w:val="005229FE"/>
    <w:rsid w:val="00522AF2"/>
    <w:rsid w:val="00522F3A"/>
    <w:rsid w:val="005233A6"/>
    <w:rsid w:val="0052402D"/>
    <w:rsid w:val="005245FC"/>
    <w:rsid w:val="00524794"/>
    <w:rsid w:val="005248FB"/>
    <w:rsid w:val="00524DFF"/>
    <w:rsid w:val="00525208"/>
    <w:rsid w:val="005253B3"/>
    <w:rsid w:val="00525D9C"/>
    <w:rsid w:val="00525EC2"/>
    <w:rsid w:val="00526375"/>
    <w:rsid w:val="005264B2"/>
    <w:rsid w:val="00527384"/>
    <w:rsid w:val="00527CF2"/>
    <w:rsid w:val="00531097"/>
    <w:rsid w:val="00531458"/>
    <w:rsid w:val="005329F3"/>
    <w:rsid w:val="005331A5"/>
    <w:rsid w:val="0053511E"/>
    <w:rsid w:val="0053512B"/>
    <w:rsid w:val="00535300"/>
    <w:rsid w:val="0053585F"/>
    <w:rsid w:val="00535921"/>
    <w:rsid w:val="00535E1E"/>
    <w:rsid w:val="00536110"/>
    <w:rsid w:val="0053629E"/>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5D3"/>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87E"/>
    <w:rsid w:val="0055392C"/>
    <w:rsid w:val="0055436B"/>
    <w:rsid w:val="005548A2"/>
    <w:rsid w:val="00554907"/>
    <w:rsid w:val="00554A87"/>
    <w:rsid w:val="00554EA6"/>
    <w:rsid w:val="005555D3"/>
    <w:rsid w:val="0055566A"/>
    <w:rsid w:val="00555814"/>
    <w:rsid w:val="00556AE0"/>
    <w:rsid w:val="005570BB"/>
    <w:rsid w:val="0055727B"/>
    <w:rsid w:val="00557A53"/>
    <w:rsid w:val="00557B0B"/>
    <w:rsid w:val="00557B9A"/>
    <w:rsid w:val="005600E5"/>
    <w:rsid w:val="00561CDA"/>
    <w:rsid w:val="00562207"/>
    <w:rsid w:val="005627F4"/>
    <w:rsid w:val="00562E5E"/>
    <w:rsid w:val="005639F4"/>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5F7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6053"/>
    <w:rsid w:val="00586A7E"/>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2E7F"/>
    <w:rsid w:val="005A32F0"/>
    <w:rsid w:val="005A3C00"/>
    <w:rsid w:val="005A3CEA"/>
    <w:rsid w:val="005A3EDE"/>
    <w:rsid w:val="005A41E6"/>
    <w:rsid w:val="005A4355"/>
    <w:rsid w:val="005A4B00"/>
    <w:rsid w:val="005A64BE"/>
    <w:rsid w:val="005A7FC0"/>
    <w:rsid w:val="005B00BA"/>
    <w:rsid w:val="005B02B8"/>
    <w:rsid w:val="005B02DE"/>
    <w:rsid w:val="005B0ABF"/>
    <w:rsid w:val="005B0ACE"/>
    <w:rsid w:val="005B0D2C"/>
    <w:rsid w:val="005B10E8"/>
    <w:rsid w:val="005B17F4"/>
    <w:rsid w:val="005B183B"/>
    <w:rsid w:val="005B201F"/>
    <w:rsid w:val="005B2A0A"/>
    <w:rsid w:val="005B2FC9"/>
    <w:rsid w:val="005B426D"/>
    <w:rsid w:val="005B4591"/>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C7BF3"/>
    <w:rsid w:val="005C7D85"/>
    <w:rsid w:val="005C7DEB"/>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04E0"/>
    <w:rsid w:val="005F1505"/>
    <w:rsid w:val="005F1CF0"/>
    <w:rsid w:val="005F1D21"/>
    <w:rsid w:val="005F1FDC"/>
    <w:rsid w:val="005F25D2"/>
    <w:rsid w:val="005F279C"/>
    <w:rsid w:val="005F2C99"/>
    <w:rsid w:val="005F2D0A"/>
    <w:rsid w:val="005F2E6D"/>
    <w:rsid w:val="005F2EB8"/>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3F47"/>
    <w:rsid w:val="006140E5"/>
    <w:rsid w:val="006145EC"/>
    <w:rsid w:val="0061538D"/>
    <w:rsid w:val="00616B4E"/>
    <w:rsid w:val="0062067D"/>
    <w:rsid w:val="00620C4E"/>
    <w:rsid w:val="00620F48"/>
    <w:rsid w:val="0062110E"/>
    <w:rsid w:val="0062134C"/>
    <w:rsid w:val="0062172B"/>
    <w:rsid w:val="00621902"/>
    <w:rsid w:val="00621FB0"/>
    <w:rsid w:val="006221D6"/>
    <w:rsid w:val="006236EF"/>
    <w:rsid w:val="006243E6"/>
    <w:rsid w:val="0062480B"/>
    <w:rsid w:val="00624C4D"/>
    <w:rsid w:val="00625227"/>
    <w:rsid w:val="006259E9"/>
    <w:rsid w:val="00625A6B"/>
    <w:rsid w:val="006262B2"/>
    <w:rsid w:val="006267A6"/>
    <w:rsid w:val="00626D56"/>
    <w:rsid w:val="00626D9B"/>
    <w:rsid w:val="00626FED"/>
    <w:rsid w:val="00627EEB"/>
    <w:rsid w:val="00627FB9"/>
    <w:rsid w:val="006309D1"/>
    <w:rsid w:val="00630A3C"/>
    <w:rsid w:val="00630E46"/>
    <w:rsid w:val="00630EE4"/>
    <w:rsid w:val="0063118F"/>
    <w:rsid w:val="006312EA"/>
    <w:rsid w:val="00631AA3"/>
    <w:rsid w:val="00632B65"/>
    <w:rsid w:val="00632DCE"/>
    <w:rsid w:val="00633140"/>
    <w:rsid w:val="00634673"/>
    <w:rsid w:val="00634FDA"/>
    <w:rsid w:val="00635514"/>
    <w:rsid w:val="00635871"/>
    <w:rsid w:val="00636B6D"/>
    <w:rsid w:val="00637477"/>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97D"/>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339"/>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0E8"/>
    <w:rsid w:val="0068154D"/>
    <w:rsid w:val="00681C34"/>
    <w:rsid w:val="00681F01"/>
    <w:rsid w:val="00681F07"/>
    <w:rsid w:val="006822A8"/>
    <w:rsid w:val="006826D4"/>
    <w:rsid w:val="00682823"/>
    <w:rsid w:val="00682FC6"/>
    <w:rsid w:val="00683A2C"/>
    <w:rsid w:val="00683AEE"/>
    <w:rsid w:val="00683B6D"/>
    <w:rsid w:val="0068573B"/>
    <w:rsid w:val="0068581C"/>
    <w:rsid w:val="00685BD1"/>
    <w:rsid w:val="0068617E"/>
    <w:rsid w:val="00686A3C"/>
    <w:rsid w:val="00687117"/>
    <w:rsid w:val="006872AD"/>
    <w:rsid w:val="00687422"/>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2CE"/>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775"/>
    <w:rsid w:val="006A085F"/>
    <w:rsid w:val="006A0E77"/>
    <w:rsid w:val="006A0EE4"/>
    <w:rsid w:val="006A17C3"/>
    <w:rsid w:val="006A1F73"/>
    <w:rsid w:val="006A2F24"/>
    <w:rsid w:val="006A317A"/>
    <w:rsid w:val="006A328F"/>
    <w:rsid w:val="006A3ECC"/>
    <w:rsid w:val="006A3FCC"/>
    <w:rsid w:val="006A4C24"/>
    <w:rsid w:val="006A5587"/>
    <w:rsid w:val="006A64DE"/>
    <w:rsid w:val="006A66B6"/>
    <w:rsid w:val="006A7545"/>
    <w:rsid w:val="006A77EF"/>
    <w:rsid w:val="006A781A"/>
    <w:rsid w:val="006A7CAE"/>
    <w:rsid w:val="006B0084"/>
    <w:rsid w:val="006B0B1F"/>
    <w:rsid w:val="006B1B72"/>
    <w:rsid w:val="006B1EB3"/>
    <w:rsid w:val="006B22BA"/>
    <w:rsid w:val="006B330C"/>
    <w:rsid w:val="006B44CC"/>
    <w:rsid w:val="006B4C8D"/>
    <w:rsid w:val="006B500C"/>
    <w:rsid w:val="006B51B4"/>
    <w:rsid w:val="006B577A"/>
    <w:rsid w:val="006B59F0"/>
    <w:rsid w:val="006B6DE6"/>
    <w:rsid w:val="006B6DE8"/>
    <w:rsid w:val="006B779D"/>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A48"/>
    <w:rsid w:val="006D1D77"/>
    <w:rsid w:val="006D2B19"/>
    <w:rsid w:val="006D2BEC"/>
    <w:rsid w:val="006D2D36"/>
    <w:rsid w:val="006D3488"/>
    <w:rsid w:val="006D3593"/>
    <w:rsid w:val="006D35E3"/>
    <w:rsid w:val="006D3A77"/>
    <w:rsid w:val="006D3E2D"/>
    <w:rsid w:val="006D5112"/>
    <w:rsid w:val="006D5229"/>
    <w:rsid w:val="006D5446"/>
    <w:rsid w:val="006D5586"/>
    <w:rsid w:val="006D577C"/>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E25"/>
    <w:rsid w:val="006E60F6"/>
    <w:rsid w:val="006E6625"/>
    <w:rsid w:val="006E70FC"/>
    <w:rsid w:val="006E7136"/>
    <w:rsid w:val="006E756F"/>
    <w:rsid w:val="006E790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859"/>
    <w:rsid w:val="006F6D45"/>
    <w:rsid w:val="006F767D"/>
    <w:rsid w:val="006F7907"/>
    <w:rsid w:val="006F79F1"/>
    <w:rsid w:val="006F7F05"/>
    <w:rsid w:val="007000C6"/>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15B2"/>
    <w:rsid w:val="00713393"/>
    <w:rsid w:val="0071381B"/>
    <w:rsid w:val="0071385D"/>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C41"/>
    <w:rsid w:val="00723E59"/>
    <w:rsid w:val="00724740"/>
    <w:rsid w:val="007248AE"/>
    <w:rsid w:val="0072506F"/>
    <w:rsid w:val="00725196"/>
    <w:rsid w:val="00725330"/>
    <w:rsid w:val="0072594F"/>
    <w:rsid w:val="00726826"/>
    <w:rsid w:val="00726904"/>
    <w:rsid w:val="00726935"/>
    <w:rsid w:val="00727D48"/>
    <w:rsid w:val="00730ADD"/>
    <w:rsid w:val="00730FD2"/>
    <w:rsid w:val="007318E0"/>
    <w:rsid w:val="0073221D"/>
    <w:rsid w:val="007322C5"/>
    <w:rsid w:val="00732424"/>
    <w:rsid w:val="007326D9"/>
    <w:rsid w:val="00732D5D"/>
    <w:rsid w:val="00733160"/>
    <w:rsid w:val="00733387"/>
    <w:rsid w:val="00734469"/>
    <w:rsid w:val="00734888"/>
    <w:rsid w:val="00735621"/>
    <w:rsid w:val="00735D28"/>
    <w:rsid w:val="00736965"/>
    <w:rsid w:val="00736AD7"/>
    <w:rsid w:val="00737604"/>
    <w:rsid w:val="00740F69"/>
    <w:rsid w:val="00741019"/>
    <w:rsid w:val="007417AB"/>
    <w:rsid w:val="0074250D"/>
    <w:rsid w:val="00743116"/>
    <w:rsid w:val="00743781"/>
    <w:rsid w:val="00743D44"/>
    <w:rsid w:val="00743F6C"/>
    <w:rsid w:val="00744236"/>
    <w:rsid w:val="007447A4"/>
    <w:rsid w:val="0074590C"/>
    <w:rsid w:val="00745B4B"/>
    <w:rsid w:val="00746138"/>
    <w:rsid w:val="00746A3F"/>
    <w:rsid w:val="00746AEC"/>
    <w:rsid w:val="00747712"/>
    <w:rsid w:val="007500E6"/>
    <w:rsid w:val="007505B8"/>
    <w:rsid w:val="007505FD"/>
    <w:rsid w:val="00750ADD"/>
    <w:rsid w:val="0075120B"/>
    <w:rsid w:val="00751831"/>
    <w:rsid w:val="007521EC"/>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3A8"/>
    <w:rsid w:val="00763527"/>
    <w:rsid w:val="00763B6D"/>
    <w:rsid w:val="00763EBE"/>
    <w:rsid w:val="007648FD"/>
    <w:rsid w:val="00764D52"/>
    <w:rsid w:val="0076549F"/>
    <w:rsid w:val="00765FC5"/>
    <w:rsid w:val="00766361"/>
    <w:rsid w:val="00766A13"/>
    <w:rsid w:val="00766D09"/>
    <w:rsid w:val="007676D4"/>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69FE"/>
    <w:rsid w:val="0079778F"/>
    <w:rsid w:val="007A03AA"/>
    <w:rsid w:val="007A0808"/>
    <w:rsid w:val="007A0912"/>
    <w:rsid w:val="007A2295"/>
    <w:rsid w:val="007A266B"/>
    <w:rsid w:val="007A2BB9"/>
    <w:rsid w:val="007A2C84"/>
    <w:rsid w:val="007A2E02"/>
    <w:rsid w:val="007A3500"/>
    <w:rsid w:val="007A3831"/>
    <w:rsid w:val="007A3B96"/>
    <w:rsid w:val="007A3BB5"/>
    <w:rsid w:val="007A3BDF"/>
    <w:rsid w:val="007A3D40"/>
    <w:rsid w:val="007A4200"/>
    <w:rsid w:val="007A45B7"/>
    <w:rsid w:val="007A59BB"/>
    <w:rsid w:val="007A69AB"/>
    <w:rsid w:val="007A6A31"/>
    <w:rsid w:val="007A7280"/>
    <w:rsid w:val="007A7673"/>
    <w:rsid w:val="007A78B4"/>
    <w:rsid w:val="007B0481"/>
    <w:rsid w:val="007B0DCB"/>
    <w:rsid w:val="007B0E3F"/>
    <w:rsid w:val="007B1574"/>
    <w:rsid w:val="007B161E"/>
    <w:rsid w:val="007B1AAE"/>
    <w:rsid w:val="007B1C30"/>
    <w:rsid w:val="007B1C9D"/>
    <w:rsid w:val="007B25AD"/>
    <w:rsid w:val="007B2FA8"/>
    <w:rsid w:val="007B3980"/>
    <w:rsid w:val="007B46CC"/>
    <w:rsid w:val="007B49B8"/>
    <w:rsid w:val="007B511B"/>
    <w:rsid w:val="007B5724"/>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105"/>
    <w:rsid w:val="007C4843"/>
    <w:rsid w:val="007C5156"/>
    <w:rsid w:val="007C5308"/>
    <w:rsid w:val="007C6087"/>
    <w:rsid w:val="007C6CC3"/>
    <w:rsid w:val="007C6F6C"/>
    <w:rsid w:val="007C751F"/>
    <w:rsid w:val="007C7E40"/>
    <w:rsid w:val="007C7F99"/>
    <w:rsid w:val="007D032C"/>
    <w:rsid w:val="007D03A0"/>
    <w:rsid w:val="007D0AE2"/>
    <w:rsid w:val="007D0E9F"/>
    <w:rsid w:val="007D10AA"/>
    <w:rsid w:val="007D13B6"/>
    <w:rsid w:val="007D17A9"/>
    <w:rsid w:val="007D21F7"/>
    <w:rsid w:val="007D322E"/>
    <w:rsid w:val="007D39BE"/>
    <w:rsid w:val="007D3A93"/>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4F22"/>
    <w:rsid w:val="007E660A"/>
    <w:rsid w:val="007E684B"/>
    <w:rsid w:val="007E77E0"/>
    <w:rsid w:val="007E7DB6"/>
    <w:rsid w:val="007E7F42"/>
    <w:rsid w:val="007F022E"/>
    <w:rsid w:val="007F0693"/>
    <w:rsid w:val="007F0CEF"/>
    <w:rsid w:val="007F1856"/>
    <w:rsid w:val="007F1FA8"/>
    <w:rsid w:val="007F2B0C"/>
    <w:rsid w:val="007F31D6"/>
    <w:rsid w:val="007F330A"/>
    <w:rsid w:val="007F41DB"/>
    <w:rsid w:val="007F43B3"/>
    <w:rsid w:val="007F4712"/>
    <w:rsid w:val="007F5CA0"/>
    <w:rsid w:val="007F65A4"/>
    <w:rsid w:val="007F757D"/>
    <w:rsid w:val="007F7AAA"/>
    <w:rsid w:val="00800502"/>
    <w:rsid w:val="008008D3"/>
    <w:rsid w:val="00800B21"/>
    <w:rsid w:val="008010FE"/>
    <w:rsid w:val="008013DD"/>
    <w:rsid w:val="00801941"/>
    <w:rsid w:val="00802222"/>
    <w:rsid w:val="00802DB3"/>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59C5"/>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93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1CAA"/>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729"/>
    <w:rsid w:val="00857BA3"/>
    <w:rsid w:val="008609BE"/>
    <w:rsid w:val="00860E9C"/>
    <w:rsid w:val="00861390"/>
    <w:rsid w:val="008626E0"/>
    <w:rsid w:val="0086284C"/>
    <w:rsid w:val="008633AC"/>
    <w:rsid w:val="008634A7"/>
    <w:rsid w:val="00863B17"/>
    <w:rsid w:val="00864053"/>
    <w:rsid w:val="00864207"/>
    <w:rsid w:val="00864DC3"/>
    <w:rsid w:val="00865893"/>
    <w:rsid w:val="00865A4F"/>
    <w:rsid w:val="008661AD"/>
    <w:rsid w:val="00866691"/>
    <w:rsid w:val="00870095"/>
    <w:rsid w:val="0087074A"/>
    <w:rsid w:val="008708F0"/>
    <w:rsid w:val="008709F3"/>
    <w:rsid w:val="0087130D"/>
    <w:rsid w:val="00871601"/>
    <w:rsid w:val="00871E86"/>
    <w:rsid w:val="008721E9"/>
    <w:rsid w:val="0087368F"/>
    <w:rsid w:val="008737E8"/>
    <w:rsid w:val="00873F11"/>
    <w:rsid w:val="00874FF5"/>
    <w:rsid w:val="00875102"/>
    <w:rsid w:val="00875323"/>
    <w:rsid w:val="00875800"/>
    <w:rsid w:val="00875814"/>
    <w:rsid w:val="008758E9"/>
    <w:rsid w:val="00876927"/>
    <w:rsid w:val="00876DF2"/>
    <w:rsid w:val="00876E78"/>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7F0"/>
    <w:rsid w:val="00896863"/>
    <w:rsid w:val="00896A24"/>
    <w:rsid w:val="008973CA"/>
    <w:rsid w:val="00897441"/>
    <w:rsid w:val="008A08DC"/>
    <w:rsid w:val="008A0925"/>
    <w:rsid w:val="008A0C9C"/>
    <w:rsid w:val="008A1BBF"/>
    <w:rsid w:val="008A1D26"/>
    <w:rsid w:val="008A1DAD"/>
    <w:rsid w:val="008A26E6"/>
    <w:rsid w:val="008A2939"/>
    <w:rsid w:val="008A2C16"/>
    <w:rsid w:val="008A2C98"/>
    <w:rsid w:val="008A3806"/>
    <w:rsid w:val="008A404B"/>
    <w:rsid w:val="008A4B24"/>
    <w:rsid w:val="008A54EA"/>
    <w:rsid w:val="008A5AFC"/>
    <w:rsid w:val="008A5B2B"/>
    <w:rsid w:val="008A64F7"/>
    <w:rsid w:val="008A6AD1"/>
    <w:rsid w:val="008A6BE6"/>
    <w:rsid w:val="008A71AD"/>
    <w:rsid w:val="008A7874"/>
    <w:rsid w:val="008A7AF2"/>
    <w:rsid w:val="008B111F"/>
    <w:rsid w:val="008B186A"/>
    <w:rsid w:val="008B197A"/>
    <w:rsid w:val="008B2662"/>
    <w:rsid w:val="008B2910"/>
    <w:rsid w:val="008B293C"/>
    <w:rsid w:val="008B2C1B"/>
    <w:rsid w:val="008B2D9F"/>
    <w:rsid w:val="008B37FD"/>
    <w:rsid w:val="008B3C7E"/>
    <w:rsid w:val="008B4A7D"/>
    <w:rsid w:val="008B4DB5"/>
    <w:rsid w:val="008B549A"/>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B2A"/>
    <w:rsid w:val="008D0E1A"/>
    <w:rsid w:val="008D123C"/>
    <w:rsid w:val="008D1437"/>
    <w:rsid w:val="008D15D7"/>
    <w:rsid w:val="008D19D8"/>
    <w:rsid w:val="008D21ED"/>
    <w:rsid w:val="008D27F0"/>
    <w:rsid w:val="008D2D00"/>
    <w:rsid w:val="008D321F"/>
    <w:rsid w:val="008D36D7"/>
    <w:rsid w:val="008D3E71"/>
    <w:rsid w:val="008D407C"/>
    <w:rsid w:val="008D4FFC"/>
    <w:rsid w:val="008D5191"/>
    <w:rsid w:val="008D53C7"/>
    <w:rsid w:val="008D6363"/>
    <w:rsid w:val="008D6413"/>
    <w:rsid w:val="008D6E49"/>
    <w:rsid w:val="008D7166"/>
    <w:rsid w:val="008D7D29"/>
    <w:rsid w:val="008E143D"/>
    <w:rsid w:val="008E2299"/>
    <w:rsid w:val="008E24BD"/>
    <w:rsid w:val="008E2B88"/>
    <w:rsid w:val="008E2E7C"/>
    <w:rsid w:val="008E36B8"/>
    <w:rsid w:val="008E3B29"/>
    <w:rsid w:val="008E3F59"/>
    <w:rsid w:val="008E546F"/>
    <w:rsid w:val="008E581F"/>
    <w:rsid w:val="008E6678"/>
    <w:rsid w:val="008E66A2"/>
    <w:rsid w:val="008E707A"/>
    <w:rsid w:val="008E70C6"/>
    <w:rsid w:val="008E7802"/>
    <w:rsid w:val="008E7E18"/>
    <w:rsid w:val="008F0154"/>
    <w:rsid w:val="008F01A3"/>
    <w:rsid w:val="008F16A1"/>
    <w:rsid w:val="008F17E7"/>
    <w:rsid w:val="008F1FFE"/>
    <w:rsid w:val="008F2114"/>
    <w:rsid w:val="008F2183"/>
    <w:rsid w:val="008F25E4"/>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66FD"/>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241"/>
    <w:rsid w:val="009178F5"/>
    <w:rsid w:val="00917A73"/>
    <w:rsid w:val="00917A8F"/>
    <w:rsid w:val="00917B7C"/>
    <w:rsid w:val="00917F45"/>
    <w:rsid w:val="00920044"/>
    <w:rsid w:val="00920833"/>
    <w:rsid w:val="0092100C"/>
    <w:rsid w:val="009211C6"/>
    <w:rsid w:val="0092129E"/>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653"/>
    <w:rsid w:val="009338C0"/>
    <w:rsid w:val="00933BAA"/>
    <w:rsid w:val="00933CE4"/>
    <w:rsid w:val="0093463D"/>
    <w:rsid w:val="009349B2"/>
    <w:rsid w:val="00934A3F"/>
    <w:rsid w:val="00934F09"/>
    <w:rsid w:val="00935032"/>
    <w:rsid w:val="00935B2D"/>
    <w:rsid w:val="00935DB0"/>
    <w:rsid w:val="009361FA"/>
    <w:rsid w:val="00936205"/>
    <w:rsid w:val="00936D5D"/>
    <w:rsid w:val="0094021A"/>
    <w:rsid w:val="009406E9"/>
    <w:rsid w:val="00940814"/>
    <w:rsid w:val="00941406"/>
    <w:rsid w:val="009415F8"/>
    <w:rsid w:val="00941ACB"/>
    <w:rsid w:val="00941DAF"/>
    <w:rsid w:val="0094252D"/>
    <w:rsid w:val="00942AB2"/>
    <w:rsid w:val="00942D3A"/>
    <w:rsid w:val="0094354C"/>
    <w:rsid w:val="0094373D"/>
    <w:rsid w:val="00944074"/>
    <w:rsid w:val="009443A2"/>
    <w:rsid w:val="009444C9"/>
    <w:rsid w:val="00944902"/>
    <w:rsid w:val="0094514B"/>
    <w:rsid w:val="009453FF"/>
    <w:rsid w:val="009462CB"/>
    <w:rsid w:val="00946351"/>
    <w:rsid w:val="009468D5"/>
    <w:rsid w:val="0094768E"/>
    <w:rsid w:val="00950A3A"/>
    <w:rsid w:val="00950AFE"/>
    <w:rsid w:val="00951B36"/>
    <w:rsid w:val="00952951"/>
    <w:rsid w:val="00952DD1"/>
    <w:rsid w:val="00952DDB"/>
    <w:rsid w:val="00953991"/>
    <w:rsid w:val="00953D98"/>
    <w:rsid w:val="0095401B"/>
    <w:rsid w:val="00954C4D"/>
    <w:rsid w:val="00954E3C"/>
    <w:rsid w:val="0095507B"/>
    <w:rsid w:val="009553C2"/>
    <w:rsid w:val="00955D4D"/>
    <w:rsid w:val="0095771E"/>
    <w:rsid w:val="009579C1"/>
    <w:rsid w:val="00957BDB"/>
    <w:rsid w:val="00960587"/>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4A6F"/>
    <w:rsid w:val="00965AFD"/>
    <w:rsid w:val="00965B1A"/>
    <w:rsid w:val="009661A1"/>
    <w:rsid w:val="00966D2A"/>
    <w:rsid w:val="00967D31"/>
    <w:rsid w:val="00971665"/>
    <w:rsid w:val="00971678"/>
    <w:rsid w:val="00971691"/>
    <w:rsid w:val="00971E91"/>
    <w:rsid w:val="00972E78"/>
    <w:rsid w:val="0097324F"/>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36"/>
    <w:rsid w:val="00983B5D"/>
    <w:rsid w:val="00983FE3"/>
    <w:rsid w:val="00984172"/>
    <w:rsid w:val="00985083"/>
    <w:rsid w:val="00985CAF"/>
    <w:rsid w:val="00986720"/>
    <w:rsid w:val="00986D01"/>
    <w:rsid w:val="0098719D"/>
    <w:rsid w:val="00987601"/>
    <w:rsid w:val="0098797E"/>
    <w:rsid w:val="00987A88"/>
    <w:rsid w:val="00987D91"/>
    <w:rsid w:val="00990705"/>
    <w:rsid w:val="00990A71"/>
    <w:rsid w:val="009913B9"/>
    <w:rsid w:val="00991751"/>
    <w:rsid w:val="00992FC9"/>
    <w:rsid w:val="00993600"/>
    <w:rsid w:val="0099413B"/>
    <w:rsid w:val="009948B6"/>
    <w:rsid w:val="009950A0"/>
    <w:rsid w:val="00995227"/>
    <w:rsid w:val="00995E42"/>
    <w:rsid w:val="00995EE7"/>
    <w:rsid w:val="009963CE"/>
    <w:rsid w:val="00996EC4"/>
    <w:rsid w:val="0099778F"/>
    <w:rsid w:val="009978CA"/>
    <w:rsid w:val="00997E39"/>
    <w:rsid w:val="009A0105"/>
    <w:rsid w:val="009A0729"/>
    <w:rsid w:val="009A0B20"/>
    <w:rsid w:val="009A13C3"/>
    <w:rsid w:val="009A1F71"/>
    <w:rsid w:val="009A2585"/>
    <w:rsid w:val="009A28DD"/>
    <w:rsid w:val="009A2906"/>
    <w:rsid w:val="009A2B5D"/>
    <w:rsid w:val="009A2B69"/>
    <w:rsid w:val="009A337D"/>
    <w:rsid w:val="009A3B9E"/>
    <w:rsid w:val="009A3CE5"/>
    <w:rsid w:val="009A4CFC"/>
    <w:rsid w:val="009A4D4A"/>
    <w:rsid w:val="009A4FD7"/>
    <w:rsid w:val="009A53EE"/>
    <w:rsid w:val="009A557F"/>
    <w:rsid w:val="009A57A4"/>
    <w:rsid w:val="009A5954"/>
    <w:rsid w:val="009A5F12"/>
    <w:rsid w:val="009A635D"/>
    <w:rsid w:val="009A6CD6"/>
    <w:rsid w:val="009A73D6"/>
    <w:rsid w:val="009A7F93"/>
    <w:rsid w:val="009B008B"/>
    <w:rsid w:val="009B00B1"/>
    <w:rsid w:val="009B1173"/>
    <w:rsid w:val="009B1707"/>
    <w:rsid w:val="009B171D"/>
    <w:rsid w:val="009B2087"/>
    <w:rsid w:val="009B230C"/>
    <w:rsid w:val="009B2693"/>
    <w:rsid w:val="009B31A9"/>
    <w:rsid w:val="009B37B6"/>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366"/>
    <w:rsid w:val="009D34ED"/>
    <w:rsid w:val="009D376D"/>
    <w:rsid w:val="009D40F3"/>
    <w:rsid w:val="009D4106"/>
    <w:rsid w:val="009D441C"/>
    <w:rsid w:val="009D442A"/>
    <w:rsid w:val="009D4576"/>
    <w:rsid w:val="009D457A"/>
    <w:rsid w:val="009D4ED7"/>
    <w:rsid w:val="009D547A"/>
    <w:rsid w:val="009D62F0"/>
    <w:rsid w:val="009D6DAE"/>
    <w:rsid w:val="009D714D"/>
    <w:rsid w:val="009D7202"/>
    <w:rsid w:val="009E07EA"/>
    <w:rsid w:val="009E0BDF"/>
    <w:rsid w:val="009E1BA6"/>
    <w:rsid w:val="009E1C9A"/>
    <w:rsid w:val="009E1FE6"/>
    <w:rsid w:val="009E2EA1"/>
    <w:rsid w:val="009E3082"/>
    <w:rsid w:val="009E3259"/>
    <w:rsid w:val="009E55BB"/>
    <w:rsid w:val="009E5CF3"/>
    <w:rsid w:val="009E6FBF"/>
    <w:rsid w:val="009E706E"/>
    <w:rsid w:val="009E771D"/>
    <w:rsid w:val="009E77B4"/>
    <w:rsid w:val="009F0869"/>
    <w:rsid w:val="009F0B53"/>
    <w:rsid w:val="009F11BE"/>
    <w:rsid w:val="009F1761"/>
    <w:rsid w:val="009F21B0"/>
    <w:rsid w:val="009F273B"/>
    <w:rsid w:val="009F275B"/>
    <w:rsid w:val="009F3014"/>
    <w:rsid w:val="009F3148"/>
    <w:rsid w:val="009F36F7"/>
    <w:rsid w:val="009F3A66"/>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48C"/>
    <w:rsid w:val="00A0356F"/>
    <w:rsid w:val="00A0378F"/>
    <w:rsid w:val="00A0491C"/>
    <w:rsid w:val="00A05AC5"/>
    <w:rsid w:val="00A05CFC"/>
    <w:rsid w:val="00A05DB9"/>
    <w:rsid w:val="00A060D3"/>
    <w:rsid w:val="00A0682A"/>
    <w:rsid w:val="00A06972"/>
    <w:rsid w:val="00A0729F"/>
    <w:rsid w:val="00A07A7A"/>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3C5"/>
    <w:rsid w:val="00A24746"/>
    <w:rsid w:val="00A24C78"/>
    <w:rsid w:val="00A2574B"/>
    <w:rsid w:val="00A267E9"/>
    <w:rsid w:val="00A27BAE"/>
    <w:rsid w:val="00A27F5C"/>
    <w:rsid w:val="00A30414"/>
    <w:rsid w:val="00A30635"/>
    <w:rsid w:val="00A3082B"/>
    <w:rsid w:val="00A311C6"/>
    <w:rsid w:val="00A3161F"/>
    <w:rsid w:val="00A317AE"/>
    <w:rsid w:val="00A31B7A"/>
    <w:rsid w:val="00A31D4F"/>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ABF"/>
    <w:rsid w:val="00A41BB0"/>
    <w:rsid w:val="00A41EBA"/>
    <w:rsid w:val="00A42F09"/>
    <w:rsid w:val="00A4344E"/>
    <w:rsid w:val="00A434CC"/>
    <w:rsid w:val="00A43B9E"/>
    <w:rsid w:val="00A43CC8"/>
    <w:rsid w:val="00A4446F"/>
    <w:rsid w:val="00A445EF"/>
    <w:rsid w:val="00A4563B"/>
    <w:rsid w:val="00A46437"/>
    <w:rsid w:val="00A465B4"/>
    <w:rsid w:val="00A46E5B"/>
    <w:rsid w:val="00A47504"/>
    <w:rsid w:val="00A47C2F"/>
    <w:rsid w:val="00A47E8E"/>
    <w:rsid w:val="00A501B3"/>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67FA3"/>
    <w:rsid w:val="00A701DA"/>
    <w:rsid w:val="00A7039A"/>
    <w:rsid w:val="00A70FAB"/>
    <w:rsid w:val="00A71063"/>
    <w:rsid w:val="00A71310"/>
    <w:rsid w:val="00A7159F"/>
    <w:rsid w:val="00A716F1"/>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78A"/>
    <w:rsid w:val="00A929DA"/>
    <w:rsid w:val="00A9307C"/>
    <w:rsid w:val="00A93111"/>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2D21"/>
    <w:rsid w:val="00AA404A"/>
    <w:rsid w:val="00AA40A6"/>
    <w:rsid w:val="00AA44F9"/>
    <w:rsid w:val="00AA4621"/>
    <w:rsid w:val="00AA4852"/>
    <w:rsid w:val="00AA4923"/>
    <w:rsid w:val="00AA4E27"/>
    <w:rsid w:val="00AA4F0F"/>
    <w:rsid w:val="00AA5370"/>
    <w:rsid w:val="00AA577C"/>
    <w:rsid w:val="00AA5845"/>
    <w:rsid w:val="00AA5B73"/>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1319"/>
    <w:rsid w:val="00AC2A2A"/>
    <w:rsid w:val="00AC2A81"/>
    <w:rsid w:val="00AC2C56"/>
    <w:rsid w:val="00AC4273"/>
    <w:rsid w:val="00AC4290"/>
    <w:rsid w:val="00AC4480"/>
    <w:rsid w:val="00AC4A4A"/>
    <w:rsid w:val="00AC672B"/>
    <w:rsid w:val="00AC69D7"/>
    <w:rsid w:val="00AC6A9F"/>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0FBE"/>
    <w:rsid w:val="00AE1E69"/>
    <w:rsid w:val="00AE2985"/>
    <w:rsid w:val="00AE2A59"/>
    <w:rsid w:val="00AE2F0E"/>
    <w:rsid w:val="00AE3287"/>
    <w:rsid w:val="00AE3502"/>
    <w:rsid w:val="00AE3E8D"/>
    <w:rsid w:val="00AE42E4"/>
    <w:rsid w:val="00AE46DD"/>
    <w:rsid w:val="00AE484A"/>
    <w:rsid w:val="00AE584D"/>
    <w:rsid w:val="00AE60B9"/>
    <w:rsid w:val="00AE6106"/>
    <w:rsid w:val="00AE6400"/>
    <w:rsid w:val="00AE6773"/>
    <w:rsid w:val="00AE6807"/>
    <w:rsid w:val="00AE696C"/>
    <w:rsid w:val="00AE7D71"/>
    <w:rsid w:val="00AE7F64"/>
    <w:rsid w:val="00AE7FDB"/>
    <w:rsid w:val="00AF108D"/>
    <w:rsid w:val="00AF243A"/>
    <w:rsid w:val="00AF27EB"/>
    <w:rsid w:val="00AF2BA1"/>
    <w:rsid w:val="00AF2C5E"/>
    <w:rsid w:val="00AF2DC6"/>
    <w:rsid w:val="00AF3225"/>
    <w:rsid w:val="00AF3425"/>
    <w:rsid w:val="00AF3727"/>
    <w:rsid w:val="00AF37F7"/>
    <w:rsid w:val="00AF3A26"/>
    <w:rsid w:val="00AF3BE3"/>
    <w:rsid w:val="00AF40AE"/>
    <w:rsid w:val="00AF430C"/>
    <w:rsid w:val="00AF4319"/>
    <w:rsid w:val="00AF4386"/>
    <w:rsid w:val="00AF453E"/>
    <w:rsid w:val="00AF5936"/>
    <w:rsid w:val="00AF5EFD"/>
    <w:rsid w:val="00AF6743"/>
    <w:rsid w:val="00AF6BD6"/>
    <w:rsid w:val="00AF6E86"/>
    <w:rsid w:val="00AF7288"/>
    <w:rsid w:val="00AF736F"/>
    <w:rsid w:val="00B00142"/>
    <w:rsid w:val="00B0045A"/>
    <w:rsid w:val="00B006B2"/>
    <w:rsid w:val="00B0077D"/>
    <w:rsid w:val="00B00D33"/>
    <w:rsid w:val="00B00FDA"/>
    <w:rsid w:val="00B0125D"/>
    <w:rsid w:val="00B02B0F"/>
    <w:rsid w:val="00B03718"/>
    <w:rsid w:val="00B03C70"/>
    <w:rsid w:val="00B042B0"/>
    <w:rsid w:val="00B04829"/>
    <w:rsid w:val="00B04CC1"/>
    <w:rsid w:val="00B0679C"/>
    <w:rsid w:val="00B068EE"/>
    <w:rsid w:val="00B06C23"/>
    <w:rsid w:val="00B06D29"/>
    <w:rsid w:val="00B10853"/>
    <w:rsid w:val="00B10DAD"/>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4E8E"/>
    <w:rsid w:val="00B160DA"/>
    <w:rsid w:val="00B164F6"/>
    <w:rsid w:val="00B16DF9"/>
    <w:rsid w:val="00B17467"/>
    <w:rsid w:val="00B1753B"/>
    <w:rsid w:val="00B20041"/>
    <w:rsid w:val="00B2009F"/>
    <w:rsid w:val="00B20608"/>
    <w:rsid w:val="00B2061F"/>
    <w:rsid w:val="00B2066A"/>
    <w:rsid w:val="00B2072D"/>
    <w:rsid w:val="00B2078C"/>
    <w:rsid w:val="00B20F5F"/>
    <w:rsid w:val="00B21104"/>
    <w:rsid w:val="00B21662"/>
    <w:rsid w:val="00B218BB"/>
    <w:rsid w:val="00B218C1"/>
    <w:rsid w:val="00B221CE"/>
    <w:rsid w:val="00B22379"/>
    <w:rsid w:val="00B2257F"/>
    <w:rsid w:val="00B23048"/>
    <w:rsid w:val="00B2333E"/>
    <w:rsid w:val="00B23593"/>
    <w:rsid w:val="00B2371A"/>
    <w:rsid w:val="00B237F0"/>
    <w:rsid w:val="00B24419"/>
    <w:rsid w:val="00B24624"/>
    <w:rsid w:val="00B246E3"/>
    <w:rsid w:val="00B247AC"/>
    <w:rsid w:val="00B251B1"/>
    <w:rsid w:val="00B25225"/>
    <w:rsid w:val="00B25605"/>
    <w:rsid w:val="00B256E3"/>
    <w:rsid w:val="00B256E4"/>
    <w:rsid w:val="00B2652F"/>
    <w:rsid w:val="00B265D0"/>
    <w:rsid w:val="00B266E1"/>
    <w:rsid w:val="00B26E18"/>
    <w:rsid w:val="00B26EA4"/>
    <w:rsid w:val="00B30170"/>
    <w:rsid w:val="00B304B6"/>
    <w:rsid w:val="00B30B6F"/>
    <w:rsid w:val="00B30EF3"/>
    <w:rsid w:val="00B31347"/>
    <w:rsid w:val="00B31539"/>
    <w:rsid w:val="00B3167A"/>
    <w:rsid w:val="00B3274E"/>
    <w:rsid w:val="00B3329F"/>
    <w:rsid w:val="00B3423F"/>
    <w:rsid w:val="00B34CAA"/>
    <w:rsid w:val="00B359BB"/>
    <w:rsid w:val="00B363CA"/>
    <w:rsid w:val="00B364F9"/>
    <w:rsid w:val="00B36A08"/>
    <w:rsid w:val="00B40603"/>
    <w:rsid w:val="00B40A8D"/>
    <w:rsid w:val="00B40DB3"/>
    <w:rsid w:val="00B414D5"/>
    <w:rsid w:val="00B42058"/>
    <w:rsid w:val="00B42F36"/>
    <w:rsid w:val="00B431EC"/>
    <w:rsid w:val="00B43345"/>
    <w:rsid w:val="00B433F9"/>
    <w:rsid w:val="00B4400D"/>
    <w:rsid w:val="00B4475F"/>
    <w:rsid w:val="00B44953"/>
    <w:rsid w:val="00B458BF"/>
    <w:rsid w:val="00B458FA"/>
    <w:rsid w:val="00B45D99"/>
    <w:rsid w:val="00B46099"/>
    <w:rsid w:val="00B4615D"/>
    <w:rsid w:val="00B4635F"/>
    <w:rsid w:val="00B46710"/>
    <w:rsid w:val="00B46731"/>
    <w:rsid w:val="00B4695E"/>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5F0B"/>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5B3"/>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3692"/>
    <w:rsid w:val="00B8401A"/>
    <w:rsid w:val="00B84352"/>
    <w:rsid w:val="00B8473B"/>
    <w:rsid w:val="00B84EE9"/>
    <w:rsid w:val="00B84F76"/>
    <w:rsid w:val="00B8528B"/>
    <w:rsid w:val="00B855DC"/>
    <w:rsid w:val="00B85B87"/>
    <w:rsid w:val="00B85FEE"/>
    <w:rsid w:val="00B860EC"/>
    <w:rsid w:val="00B865BE"/>
    <w:rsid w:val="00B867A4"/>
    <w:rsid w:val="00B86849"/>
    <w:rsid w:val="00B86F74"/>
    <w:rsid w:val="00B907B1"/>
    <w:rsid w:val="00B90F54"/>
    <w:rsid w:val="00B91215"/>
    <w:rsid w:val="00B91799"/>
    <w:rsid w:val="00B91D87"/>
    <w:rsid w:val="00B91EB0"/>
    <w:rsid w:val="00B9279B"/>
    <w:rsid w:val="00B9346C"/>
    <w:rsid w:val="00B934E9"/>
    <w:rsid w:val="00B9354C"/>
    <w:rsid w:val="00B939A3"/>
    <w:rsid w:val="00B93D2C"/>
    <w:rsid w:val="00B93E49"/>
    <w:rsid w:val="00B942FA"/>
    <w:rsid w:val="00B942FB"/>
    <w:rsid w:val="00B95399"/>
    <w:rsid w:val="00B95414"/>
    <w:rsid w:val="00B957D3"/>
    <w:rsid w:val="00B957D4"/>
    <w:rsid w:val="00B95FBA"/>
    <w:rsid w:val="00B96DA1"/>
    <w:rsid w:val="00B972C1"/>
    <w:rsid w:val="00B97815"/>
    <w:rsid w:val="00B97A54"/>
    <w:rsid w:val="00B97ED6"/>
    <w:rsid w:val="00BA075D"/>
    <w:rsid w:val="00BA0F2F"/>
    <w:rsid w:val="00BA0F74"/>
    <w:rsid w:val="00BA153D"/>
    <w:rsid w:val="00BA15C3"/>
    <w:rsid w:val="00BA1E39"/>
    <w:rsid w:val="00BA2F24"/>
    <w:rsid w:val="00BA3CAE"/>
    <w:rsid w:val="00BA440F"/>
    <w:rsid w:val="00BA4BE0"/>
    <w:rsid w:val="00BA4CCE"/>
    <w:rsid w:val="00BA50EE"/>
    <w:rsid w:val="00BA5381"/>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66DD"/>
    <w:rsid w:val="00BB70DA"/>
    <w:rsid w:val="00BB7320"/>
    <w:rsid w:val="00BB7644"/>
    <w:rsid w:val="00BB7708"/>
    <w:rsid w:val="00BB7FBB"/>
    <w:rsid w:val="00BC03F2"/>
    <w:rsid w:val="00BC0F9F"/>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550"/>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8E"/>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04B"/>
    <w:rsid w:val="00C02860"/>
    <w:rsid w:val="00C0375C"/>
    <w:rsid w:val="00C03BAA"/>
    <w:rsid w:val="00C03BE5"/>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5D69"/>
    <w:rsid w:val="00C1639A"/>
    <w:rsid w:val="00C16515"/>
    <w:rsid w:val="00C16715"/>
    <w:rsid w:val="00C16DF6"/>
    <w:rsid w:val="00C179BD"/>
    <w:rsid w:val="00C17E59"/>
    <w:rsid w:val="00C204F8"/>
    <w:rsid w:val="00C20608"/>
    <w:rsid w:val="00C210E9"/>
    <w:rsid w:val="00C21F1E"/>
    <w:rsid w:val="00C21FC8"/>
    <w:rsid w:val="00C22469"/>
    <w:rsid w:val="00C224EF"/>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66F7"/>
    <w:rsid w:val="00C2764F"/>
    <w:rsid w:val="00C3034F"/>
    <w:rsid w:val="00C304AD"/>
    <w:rsid w:val="00C311B2"/>
    <w:rsid w:val="00C31DB0"/>
    <w:rsid w:val="00C31FF7"/>
    <w:rsid w:val="00C32DED"/>
    <w:rsid w:val="00C33426"/>
    <w:rsid w:val="00C34C26"/>
    <w:rsid w:val="00C34E36"/>
    <w:rsid w:val="00C35058"/>
    <w:rsid w:val="00C351E7"/>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ED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5EE5"/>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87433"/>
    <w:rsid w:val="00C903ED"/>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6B7"/>
    <w:rsid w:val="00CA38FA"/>
    <w:rsid w:val="00CA3A4A"/>
    <w:rsid w:val="00CA3B2D"/>
    <w:rsid w:val="00CA41BA"/>
    <w:rsid w:val="00CA4940"/>
    <w:rsid w:val="00CA49EE"/>
    <w:rsid w:val="00CA4A1A"/>
    <w:rsid w:val="00CA59B7"/>
    <w:rsid w:val="00CA5A76"/>
    <w:rsid w:val="00CA736A"/>
    <w:rsid w:val="00CB02ED"/>
    <w:rsid w:val="00CB077B"/>
    <w:rsid w:val="00CB1AF8"/>
    <w:rsid w:val="00CB1F74"/>
    <w:rsid w:val="00CB1FFE"/>
    <w:rsid w:val="00CB3696"/>
    <w:rsid w:val="00CB3AD0"/>
    <w:rsid w:val="00CB3E50"/>
    <w:rsid w:val="00CB44FE"/>
    <w:rsid w:val="00CB46AA"/>
    <w:rsid w:val="00CB560C"/>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345"/>
    <w:rsid w:val="00CC05BF"/>
    <w:rsid w:val="00CC07EF"/>
    <w:rsid w:val="00CC0A01"/>
    <w:rsid w:val="00CC0E08"/>
    <w:rsid w:val="00CC0F04"/>
    <w:rsid w:val="00CC14F7"/>
    <w:rsid w:val="00CC15D8"/>
    <w:rsid w:val="00CC16BF"/>
    <w:rsid w:val="00CC1A23"/>
    <w:rsid w:val="00CC1A33"/>
    <w:rsid w:val="00CC1D49"/>
    <w:rsid w:val="00CC1E79"/>
    <w:rsid w:val="00CC3453"/>
    <w:rsid w:val="00CC3874"/>
    <w:rsid w:val="00CC4E75"/>
    <w:rsid w:val="00CC5030"/>
    <w:rsid w:val="00CC54F6"/>
    <w:rsid w:val="00CC608C"/>
    <w:rsid w:val="00CC67F1"/>
    <w:rsid w:val="00CC7C98"/>
    <w:rsid w:val="00CC7FFB"/>
    <w:rsid w:val="00CD0242"/>
    <w:rsid w:val="00CD0340"/>
    <w:rsid w:val="00CD0344"/>
    <w:rsid w:val="00CD0ED9"/>
    <w:rsid w:val="00CD150A"/>
    <w:rsid w:val="00CD1E96"/>
    <w:rsid w:val="00CD1FFC"/>
    <w:rsid w:val="00CD20FB"/>
    <w:rsid w:val="00CD3505"/>
    <w:rsid w:val="00CD37A2"/>
    <w:rsid w:val="00CD3B91"/>
    <w:rsid w:val="00CD419E"/>
    <w:rsid w:val="00CD4710"/>
    <w:rsid w:val="00CD4A6B"/>
    <w:rsid w:val="00CD625A"/>
    <w:rsid w:val="00CD65F2"/>
    <w:rsid w:val="00CD6691"/>
    <w:rsid w:val="00CD693F"/>
    <w:rsid w:val="00CD76F5"/>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1A4"/>
    <w:rsid w:val="00CF6292"/>
    <w:rsid w:val="00CF66B0"/>
    <w:rsid w:val="00CF72D7"/>
    <w:rsid w:val="00CF79B3"/>
    <w:rsid w:val="00CF7AED"/>
    <w:rsid w:val="00CF7DCD"/>
    <w:rsid w:val="00CF7F36"/>
    <w:rsid w:val="00CF7FF4"/>
    <w:rsid w:val="00D00C86"/>
    <w:rsid w:val="00D00E49"/>
    <w:rsid w:val="00D013B3"/>
    <w:rsid w:val="00D01A91"/>
    <w:rsid w:val="00D01BCE"/>
    <w:rsid w:val="00D028D7"/>
    <w:rsid w:val="00D0332C"/>
    <w:rsid w:val="00D036A3"/>
    <w:rsid w:val="00D038EB"/>
    <w:rsid w:val="00D04138"/>
    <w:rsid w:val="00D046E3"/>
    <w:rsid w:val="00D059CA"/>
    <w:rsid w:val="00D06317"/>
    <w:rsid w:val="00D06C25"/>
    <w:rsid w:val="00D06F99"/>
    <w:rsid w:val="00D0717E"/>
    <w:rsid w:val="00D07BB8"/>
    <w:rsid w:val="00D07E24"/>
    <w:rsid w:val="00D113C8"/>
    <w:rsid w:val="00D116E6"/>
    <w:rsid w:val="00D11C70"/>
    <w:rsid w:val="00D12217"/>
    <w:rsid w:val="00D1337F"/>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2F11"/>
    <w:rsid w:val="00D231B6"/>
    <w:rsid w:val="00D2349B"/>
    <w:rsid w:val="00D237D0"/>
    <w:rsid w:val="00D23B3B"/>
    <w:rsid w:val="00D24A03"/>
    <w:rsid w:val="00D24EF5"/>
    <w:rsid w:val="00D26873"/>
    <w:rsid w:val="00D26980"/>
    <w:rsid w:val="00D269A8"/>
    <w:rsid w:val="00D26C65"/>
    <w:rsid w:val="00D27214"/>
    <w:rsid w:val="00D2745A"/>
    <w:rsid w:val="00D30CDC"/>
    <w:rsid w:val="00D30FE8"/>
    <w:rsid w:val="00D311CC"/>
    <w:rsid w:val="00D31C27"/>
    <w:rsid w:val="00D32083"/>
    <w:rsid w:val="00D325F3"/>
    <w:rsid w:val="00D3285F"/>
    <w:rsid w:val="00D32C31"/>
    <w:rsid w:val="00D33956"/>
    <w:rsid w:val="00D3399D"/>
    <w:rsid w:val="00D339EC"/>
    <w:rsid w:val="00D3467F"/>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5967"/>
    <w:rsid w:val="00D4640A"/>
    <w:rsid w:val="00D46FA0"/>
    <w:rsid w:val="00D47294"/>
    <w:rsid w:val="00D472AC"/>
    <w:rsid w:val="00D47B6A"/>
    <w:rsid w:val="00D504D1"/>
    <w:rsid w:val="00D50633"/>
    <w:rsid w:val="00D506C8"/>
    <w:rsid w:val="00D50744"/>
    <w:rsid w:val="00D5235D"/>
    <w:rsid w:val="00D53B4E"/>
    <w:rsid w:val="00D540CE"/>
    <w:rsid w:val="00D54229"/>
    <w:rsid w:val="00D54535"/>
    <w:rsid w:val="00D5455A"/>
    <w:rsid w:val="00D546AC"/>
    <w:rsid w:val="00D54C97"/>
    <w:rsid w:val="00D55430"/>
    <w:rsid w:val="00D5596D"/>
    <w:rsid w:val="00D55E5B"/>
    <w:rsid w:val="00D56524"/>
    <w:rsid w:val="00D56E41"/>
    <w:rsid w:val="00D57199"/>
    <w:rsid w:val="00D57724"/>
    <w:rsid w:val="00D60789"/>
    <w:rsid w:val="00D617E3"/>
    <w:rsid w:val="00D6283F"/>
    <w:rsid w:val="00D62C62"/>
    <w:rsid w:val="00D62DA6"/>
    <w:rsid w:val="00D6309C"/>
    <w:rsid w:val="00D6321D"/>
    <w:rsid w:val="00D6354E"/>
    <w:rsid w:val="00D636D8"/>
    <w:rsid w:val="00D6372A"/>
    <w:rsid w:val="00D63889"/>
    <w:rsid w:val="00D639B1"/>
    <w:rsid w:val="00D63D15"/>
    <w:rsid w:val="00D63DE4"/>
    <w:rsid w:val="00D64F72"/>
    <w:rsid w:val="00D65504"/>
    <w:rsid w:val="00D656FF"/>
    <w:rsid w:val="00D67AA5"/>
    <w:rsid w:val="00D67B84"/>
    <w:rsid w:val="00D72140"/>
    <w:rsid w:val="00D72D6E"/>
    <w:rsid w:val="00D72D9C"/>
    <w:rsid w:val="00D738E8"/>
    <w:rsid w:val="00D73C74"/>
    <w:rsid w:val="00D748A7"/>
    <w:rsid w:val="00D757FB"/>
    <w:rsid w:val="00D75D1F"/>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97A40"/>
    <w:rsid w:val="00DA032C"/>
    <w:rsid w:val="00DA039A"/>
    <w:rsid w:val="00DA09CE"/>
    <w:rsid w:val="00DA156E"/>
    <w:rsid w:val="00DA1D5C"/>
    <w:rsid w:val="00DA1EF5"/>
    <w:rsid w:val="00DA21AC"/>
    <w:rsid w:val="00DA2A09"/>
    <w:rsid w:val="00DA36AE"/>
    <w:rsid w:val="00DA37B9"/>
    <w:rsid w:val="00DA3A8D"/>
    <w:rsid w:val="00DA410E"/>
    <w:rsid w:val="00DA47E8"/>
    <w:rsid w:val="00DA5689"/>
    <w:rsid w:val="00DA5793"/>
    <w:rsid w:val="00DA5899"/>
    <w:rsid w:val="00DA5EC3"/>
    <w:rsid w:val="00DA604C"/>
    <w:rsid w:val="00DA6FEF"/>
    <w:rsid w:val="00DA7674"/>
    <w:rsid w:val="00DA7EA8"/>
    <w:rsid w:val="00DB0276"/>
    <w:rsid w:val="00DB0707"/>
    <w:rsid w:val="00DB0899"/>
    <w:rsid w:val="00DB1B6E"/>
    <w:rsid w:val="00DB1E8F"/>
    <w:rsid w:val="00DB23C2"/>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1FA"/>
    <w:rsid w:val="00DC3CD9"/>
    <w:rsid w:val="00DC3CE9"/>
    <w:rsid w:val="00DC3D3D"/>
    <w:rsid w:val="00DC47DB"/>
    <w:rsid w:val="00DC4AA2"/>
    <w:rsid w:val="00DC519A"/>
    <w:rsid w:val="00DC57BF"/>
    <w:rsid w:val="00DC5834"/>
    <w:rsid w:val="00DC6074"/>
    <w:rsid w:val="00DC772C"/>
    <w:rsid w:val="00DC7736"/>
    <w:rsid w:val="00DC7F71"/>
    <w:rsid w:val="00DD041C"/>
    <w:rsid w:val="00DD1448"/>
    <w:rsid w:val="00DD1971"/>
    <w:rsid w:val="00DD1E00"/>
    <w:rsid w:val="00DD2347"/>
    <w:rsid w:val="00DD2F23"/>
    <w:rsid w:val="00DD30AC"/>
    <w:rsid w:val="00DD35DF"/>
    <w:rsid w:val="00DD3F0A"/>
    <w:rsid w:val="00DD4010"/>
    <w:rsid w:val="00DD453D"/>
    <w:rsid w:val="00DD5026"/>
    <w:rsid w:val="00DD5204"/>
    <w:rsid w:val="00DD52AD"/>
    <w:rsid w:val="00DD5C99"/>
    <w:rsid w:val="00DD62C0"/>
    <w:rsid w:val="00DD6560"/>
    <w:rsid w:val="00DD680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36"/>
    <w:rsid w:val="00DE396C"/>
    <w:rsid w:val="00DE4274"/>
    <w:rsid w:val="00DE439D"/>
    <w:rsid w:val="00DE4C9A"/>
    <w:rsid w:val="00DE5D8C"/>
    <w:rsid w:val="00DE7380"/>
    <w:rsid w:val="00DE74B6"/>
    <w:rsid w:val="00DE7A74"/>
    <w:rsid w:val="00DE7ABB"/>
    <w:rsid w:val="00DE7F8C"/>
    <w:rsid w:val="00DF01BD"/>
    <w:rsid w:val="00DF0B67"/>
    <w:rsid w:val="00DF1A3F"/>
    <w:rsid w:val="00DF2D75"/>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BD5"/>
    <w:rsid w:val="00E05F00"/>
    <w:rsid w:val="00E0701B"/>
    <w:rsid w:val="00E072DF"/>
    <w:rsid w:val="00E073A1"/>
    <w:rsid w:val="00E0745D"/>
    <w:rsid w:val="00E10235"/>
    <w:rsid w:val="00E104EC"/>
    <w:rsid w:val="00E1076C"/>
    <w:rsid w:val="00E12876"/>
    <w:rsid w:val="00E131A9"/>
    <w:rsid w:val="00E133C2"/>
    <w:rsid w:val="00E134E6"/>
    <w:rsid w:val="00E13799"/>
    <w:rsid w:val="00E13804"/>
    <w:rsid w:val="00E13E5A"/>
    <w:rsid w:val="00E14485"/>
    <w:rsid w:val="00E14691"/>
    <w:rsid w:val="00E14902"/>
    <w:rsid w:val="00E14E57"/>
    <w:rsid w:val="00E14EEC"/>
    <w:rsid w:val="00E150E6"/>
    <w:rsid w:val="00E154E7"/>
    <w:rsid w:val="00E1584C"/>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5DC6"/>
    <w:rsid w:val="00E36623"/>
    <w:rsid w:val="00E37EB5"/>
    <w:rsid w:val="00E40541"/>
    <w:rsid w:val="00E4087F"/>
    <w:rsid w:val="00E41B1D"/>
    <w:rsid w:val="00E41EB1"/>
    <w:rsid w:val="00E42762"/>
    <w:rsid w:val="00E42CDB"/>
    <w:rsid w:val="00E42FE9"/>
    <w:rsid w:val="00E43FD9"/>
    <w:rsid w:val="00E444FA"/>
    <w:rsid w:val="00E45011"/>
    <w:rsid w:val="00E4549E"/>
    <w:rsid w:val="00E45AFC"/>
    <w:rsid w:val="00E45B57"/>
    <w:rsid w:val="00E45F31"/>
    <w:rsid w:val="00E461F6"/>
    <w:rsid w:val="00E4637A"/>
    <w:rsid w:val="00E46753"/>
    <w:rsid w:val="00E4727F"/>
    <w:rsid w:val="00E4729D"/>
    <w:rsid w:val="00E47F15"/>
    <w:rsid w:val="00E47F86"/>
    <w:rsid w:val="00E47FCD"/>
    <w:rsid w:val="00E50559"/>
    <w:rsid w:val="00E51A3C"/>
    <w:rsid w:val="00E51A59"/>
    <w:rsid w:val="00E51DBC"/>
    <w:rsid w:val="00E51DFF"/>
    <w:rsid w:val="00E52A98"/>
    <w:rsid w:val="00E52DD0"/>
    <w:rsid w:val="00E53565"/>
    <w:rsid w:val="00E53771"/>
    <w:rsid w:val="00E53D29"/>
    <w:rsid w:val="00E5446A"/>
    <w:rsid w:val="00E5455F"/>
    <w:rsid w:val="00E54612"/>
    <w:rsid w:val="00E5474A"/>
    <w:rsid w:val="00E54EDF"/>
    <w:rsid w:val="00E55217"/>
    <w:rsid w:val="00E55799"/>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59B3"/>
    <w:rsid w:val="00E662C0"/>
    <w:rsid w:val="00E66518"/>
    <w:rsid w:val="00E666B3"/>
    <w:rsid w:val="00E667ED"/>
    <w:rsid w:val="00E6691B"/>
    <w:rsid w:val="00E67149"/>
    <w:rsid w:val="00E67203"/>
    <w:rsid w:val="00E673DE"/>
    <w:rsid w:val="00E6740B"/>
    <w:rsid w:val="00E67CA1"/>
    <w:rsid w:val="00E67DC5"/>
    <w:rsid w:val="00E701FC"/>
    <w:rsid w:val="00E70440"/>
    <w:rsid w:val="00E707AC"/>
    <w:rsid w:val="00E71107"/>
    <w:rsid w:val="00E714C2"/>
    <w:rsid w:val="00E71D6B"/>
    <w:rsid w:val="00E72745"/>
    <w:rsid w:val="00E727C4"/>
    <w:rsid w:val="00E72B44"/>
    <w:rsid w:val="00E73253"/>
    <w:rsid w:val="00E739AE"/>
    <w:rsid w:val="00E73E83"/>
    <w:rsid w:val="00E73EBD"/>
    <w:rsid w:val="00E73F10"/>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1DE"/>
    <w:rsid w:val="00E8124A"/>
    <w:rsid w:val="00E81DF8"/>
    <w:rsid w:val="00E81F6E"/>
    <w:rsid w:val="00E82FB1"/>
    <w:rsid w:val="00E840AB"/>
    <w:rsid w:val="00E84167"/>
    <w:rsid w:val="00E84AD4"/>
    <w:rsid w:val="00E8526A"/>
    <w:rsid w:val="00E85491"/>
    <w:rsid w:val="00E854A7"/>
    <w:rsid w:val="00E85CC5"/>
    <w:rsid w:val="00E864E5"/>
    <w:rsid w:val="00E87385"/>
    <w:rsid w:val="00E8740A"/>
    <w:rsid w:val="00E877C5"/>
    <w:rsid w:val="00E87CEF"/>
    <w:rsid w:val="00E9057E"/>
    <w:rsid w:val="00E90A6A"/>
    <w:rsid w:val="00E90A7D"/>
    <w:rsid w:val="00E91855"/>
    <w:rsid w:val="00E91B44"/>
    <w:rsid w:val="00E92AB6"/>
    <w:rsid w:val="00E92AFF"/>
    <w:rsid w:val="00E9325B"/>
    <w:rsid w:val="00E94596"/>
    <w:rsid w:val="00E94774"/>
    <w:rsid w:val="00E95130"/>
    <w:rsid w:val="00E9513F"/>
    <w:rsid w:val="00E9516D"/>
    <w:rsid w:val="00E956A3"/>
    <w:rsid w:val="00E95763"/>
    <w:rsid w:val="00E95A71"/>
    <w:rsid w:val="00E95E66"/>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52AC"/>
    <w:rsid w:val="00EA56F0"/>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CC7"/>
    <w:rsid w:val="00EB5DD1"/>
    <w:rsid w:val="00EB6401"/>
    <w:rsid w:val="00EB65D4"/>
    <w:rsid w:val="00EB6B7D"/>
    <w:rsid w:val="00EB6C15"/>
    <w:rsid w:val="00EB6CA7"/>
    <w:rsid w:val="00EB7C9A"/>
    <w:rsid w:val="00EC0599"/>
    <w:rsid w:val="00EC105D"/>
    <w:rsid w:val="00EC1D19"/>
    <w:rsid w:val="00EC2A5C"/>
    <w:rsid w:val="00EC356C"/>
    <w:rsid w:val="00EC35AD"/>
    <w:rsid w:val="00EC375C"/>
    <w:rsid w:val="00EC3864"/>
    <w:rsid w:val="00EC43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846"/>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D734D"/>
    <w:rsid w:val="00EE03C5"/>
    <w:rsid w:val="00EE03E5"/>
    <w:rsid w:val="00EE0495"/>
    <w:rsid w:val="00EE1169"/>
    <w:rsid w:val="00EE1677"/>
    <w:rsid w:val="00EE1FD0"/>
    <w:rsid w:val="00EE25C4"/>
    <w:rsid w:val="00EE2DD1"/>
    <w:rsid w:val="00EE304D"/>
    <w:rsid w:val="00EE3219"/>
    <w:rsid w:val="00EE3937"/>
    <w:rsid w:val="00EE3C25"/>
    <w:rsid w:val="00EE4ADC"/>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5F07"/>
    <w:rsid w:val="00EF6061"/>
    <w:rsid w:val="00EF6996"/>
    <w:rsid w:val="00EF72F6"/>
    <w:rsid w:val="00EF7C36"/>
    <w:rsid w:val="00EF7EB8"/>
    <w:rsid w:val="00F00619"/>
    <w:rsid w:val="00F01094"/>
    <w:rsid w:val="00F01385"/>
    <w:rsid w:val="00F01B50"/>
    <w:rsid w:val="00F01BC4"/>
    <w:rsid w:val="00F02091"/>
    <w:rsid w:val="00F03A59"/>
    <w:rsid w:val="00F03B79"/>
    <w:rsid w:val="00F04051"/>
    <w:rsid w:val="00F04336"/>
    <w:rsid w:val="00F050CC"/>
    <w:rsid w:val="00F05302"/>
    <w:rsid w:val="00F05CE0"/>
    <w:rsid w:val="00F05EE2"/>
    <w:rsid w:val="00F064D1"/>
    <w:rsid w:val="00F06F64"/>
    <w:rsid w:val="00F071A9"/>
    <w:rsid w:val="00F074DF"/>
    <w:rsid w:val="00F077F6"/>
    <w:rsid w:val="00F07A2F"/>
    <w:rsid w:val="00F07AB1"/>
    <w:rsid w:val="00F07B1E"/>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0F4C"/>
    <w:rsid w:val="00F31FFE"/>
    <w:rsid w:val="00F32933"/>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19B"/>
    <w:rsid w:val="00F4433D"/>
    <w:rsid w:val="00F449B8"/>
    <w:rsid w:val="00F44E46"/>
    <w:rsid w:val="00F45B79"/>
    <w:rsid w:val="00F46ABC"/>
    <w:rsid w:val="00F46B83"/>
    <w:rsid w:val="00F46BAD"/>
    <w:rsid w:val="00F46DC0"/>
    <w:rsid w:val="00F46EF3"/>
    <w:rsid w:val="00F47072"/>
    <w:rsid w:val="00F47334"/>
    <w:rsid w:val="00F478E6"/>
    <w:rsid w:val="00F47C97"/>
    <w:rsid w:val="00F50236"/>
    <w:rsid w:val="00F505D3"/>
    <w:rsid w:val="00F50C1A"/>
    <w:rsid w:val="00F51997"/>
    <w:rsid w:val="00F51DD9"/>
    <w:rsid w:val="00F5205B"/>
    <w:rsid w:val="00F5215E"/>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391A"/>
    <w:rsid w:val="00F6430C"/>
    <w:rsid w:val="00F645C7"/>
    <w:rsid w:val="00F6495F"/>
    <w:rsid w:val="00F64FB4"/>
    <w:rsid w:val="00F65059"/>
    <w:rsid w:val="00F6513A"/>
    <w:rsid w:val="00F654E4"/>
    <w:rsid w:val="00F657F0"/>
    <w:rsid w:val="00F6649A"/>
    <w:rsid w:val="00F66796"/>
    <w:rsid w:val="00F6690E"/>
    <w:rsid w:val="00F6691B"/>
    <w:rsid w:val="00F66F36"/>
    <w:rsid w:val="00F6744B"/>
    <w:rsid w:val="00F6777A"/>
    <w:rsid w:val="00F67BAF"/>
    <w:rsid w:val="00F67F05"/>
    <w:rsid w:val="00F703A2"/>
    <w:rsid w:val="00F70EB8"/>
    <w:rsid w:val="00F711BB"/>
    <w:rsid w:val="00F719B0"/>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093"/>
    <w:rsid w:val="00F85237"/>
    <w:rsid w:val="00F864AD"/>
    <w:rsid w:val="00F8730B"/>
    <w:rsid w:val="00F87A07"/>
    <w:rsid w:val="00F87D8E"/>
    <w:rsid w:val="00F87E19"/>
    <w:rsid w:val="00F90474"/>
    <w:rsid w:val="00F90648"/>
    <w:rsid w:val="00F906EC"/>
    <w:rsid w:val="00F909CF"/>
    <w:rsid w:val="00F90B0F"/>
    <w:rsid w:val="00F90BE5"/>
    <w:rsid w:val="00F90C56"/>
    <w:rsid w:val="00F90F95"/>
    <w:rsid w:val="00F9130E"/>
    <w:rsid w:val="00F91817"/>
    <w:rsid w:val="00F9193B"/>
    <w:rsid w:val="00F91ABD"/>
    <w:rsid w:val="00F91BD4"/>
    <w:rsid w:val="00F92241"/>
    <w:rsid w:val="00F92994"/>
    <w:rsid w:val="00F92BFE"/>
    <w:rsid w:val="00F92E29"/>
    <w:rsid w:val="00F92FD2"/>
    <w:rsid w:val="00F930F1"/>
    <w:rsid w:val="00F935A3"/>
    <w:rsid w:val="00F937C1"/>
    <w:rsid w:val="00F93BC7"/>
    <w:rsid w:val="00F9519F"/>
    <w:rsid w:val="00F957B0"/>
    <w:rsid w:val="00F97D80"/>
    <w:rsid w:val="00FA191C"/>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7A"/>
    <w:rsid w:val="00FB05D9"/>
    <w:rsid w:val="00FB0ADD"/>
    <w:rsid w:val="00FB0E62"/>
    <w:rsid w:val="00FB126B"/>
    <w:rsid w:val="00FB12C6"/>
    <w:rsid w:val="00FB1995"/>
    <w:rsid w:val="00FB1AEB"/>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2BCA"/>
    <w:rsid w:val="00FC3168"/>
    <w:rsid w:val="00FC336A"/>
    <w:rsid w:val="00FC433C"/>
    <w:rsid w:val="00FC49E6"/>
    <w:rsid w:val="00FC4DC3"/>
    <w:rsid w:val="00FC5B50"/>
    <w:rsid w:val="00FC5BBF"/>
    <w:rsid w:val="00FC6C94"/>
    <w:rsid w:val="00FC7383"/>
    <w:rsid w:val="00FC7751"/>
    <w:rsid w:val="00FD04C7"/>
    <w:rsid w:val="00FD07CA"/>
    <w:rsid w:val="00FD0E09"/>
    <w:rsid w:val="00FD18CF"/>
    <w:rsid w:val="00FD2704"/>
    <w:rsid w:val="00FD3147"/>
    <w:rsid w:val="00FD33D8"/>
    <w:rsid w:val="00FD3642"/>
    <w:rsid w:val="00FD365F"/>
    <w:rsid w:val="00FD38B1"/>
    <w:rsid w:val="00FD451F"/>
    <w:rsid w:val="00FD48C1"/>
    <w:rsid w:val="00FD5424"/>
    <w:rsid w:val="00FD59B0"/>
    <w:rsid w:val="00FD5A6F"/>
    <w:rsid w:val="00FD63E3"/>
    <w:rsid w:val="00FD6C4C"/>
    <w:rsid w:val="00FD712C"/>
    <w:rsid w:val="00FD7224"/>
    <w:rsid w:val="00FD738A"/>
    <w:rsid w:val="00FD7704"/>
    <w:rsid w:val="00FE000E"/>
    <w:rsid w:val="00FE10D1"/>
    <w:rsid w:val="00FE1582"/>
    <w:rsid w:val="00FE184C"/>
    <w:rsid w:val="00FE2000"/>
    <w:rsid w:val="00FE2A01"/>
    <w:rsid w:val="00FE4B47"/>
    <w:rsid w:val="00FE4CF0"/>
    <w:rsid w:val="00FE588F"/>
    <w:rsid w:val="00FE5B95"/>
    <w:rsid w:val="00FE61F8"/>
    <w:rsid w:val="00FE6567"/>
    <w:rsid w:val="00FE65BE"/>
    <w:rsid w:val="00FE7C50"/>
    <w:rsid w:val="00FE7DFC"/>
    <w:rsid w:val="00FF1736"/>
    <w:rsid w:val="00FF1FD7"/>
    <w:rsid w:val="00FF2038"/>
    <w:rsid w:val="00FF2862"/>
    <w:rsid w:val="00FF2DF8"/>
    <w:rsid w:val="00FF2E6B"/>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 w:type="character" w:styleId="Accentuation">
    <w:name w:val="Emphasis"/>
    <w:basedOn w:val="Policepardfaut"/>
    <w:uiPriority w:val="20"/>
    <w:qFormat/>
    <w:rsid w:val="00043B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48960610">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522607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76389688">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2353172">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06446639">
      <w:bodyDiv w:val="1"/>
      <w:marLeft w:val="0"/>
      <w:marRight w:val="0"/>
      <w:marTop w:val="0"/>
      <w:marBottom w:val="0"/>
      <w:divBdr>
        <w:top w:val="none" w:sz="0" w:space="0" w:color="auto"/>
        <w:left w:val="none" w:sz="0" w:space="0" w:color="auto"/>
        <w:bottom w:val="none" w:sz="0" w:space="0" w:color="auto"/>
        <w:right w:val="none" w:sz="0" w:space="0" w:color="auto"/>
      </w:divBdr>
    </w:div>
    <w:div w:id="309794948">
      <w:bodyDiv w:val="1"/>
      <w:marLeft w:val="0"/>
      <w:marRight w:val="0"/>
      <w:marTop w:val="0"/>
      <w:marBottom w:val="0"/>
      <w:divBdr>
        <w:top w:val="none" w:sz="0" w:space="0" w:color="auto"/>
        <w:left w:val="none" w:sz="0" w:space="0" w:color="auto"/>
        <w:bottom w:val="none" w:sz="0" w:space="0" w:color="auto"/>
        <w:right w:val="none" w:sz="0" w:space="0" w:color="auto"/>
      </w:divBdr>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8674348">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289377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83745602">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6104243">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386133">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06293004">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354202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66018678">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405105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4799456">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69577682">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32710732">
      <w:bodyDiv w:val="1"/>
      <w:marLeft w:val="0"/>
      <w:marRight w:val="0"/>
      <w:marTop w:val="0"/>
      <w:marBottom w:val="0"/>
      <w:divBdr>
        <w:top w:val="none" w:sz="0" w:space="0" w:color="auto"/>
        <w:left w:val="none" w:sz="0" w:space="0" w:color="auto"/>
        <w:bottom w:val="none" w:sz="0" w:space="0" w:color="auto"/>
        <w:right w:val="none" w:sz="0" w:space="0" w:color="auto"/>
      </w:divBdr>
    </w:div>
    <w:div w:id="1640377748">
      <w:bodyDiv w:val="1"/>
      <w:marLeft w:val="0"/>
      <w:marRight w:val="0"/>
      <w:marTop w:val="0"/>
      <w:marBottom w:val="0"/>
      <w:divBdr>
        <w:top w:val="none" w:sz="0" w:space="0" w:color="auto"/>
        <w:left w:val="none" w:sz="0" w:space="0" w:color="auto"/>
        <w:bottom w:val="none" w:sz="0" w:space="0" w:color="auto"/>
        <w:right w:val="none" w:sz="0" w:space="0" w:color="auto"/>
      </w:divBdr>
      <w:divsChild>
        <w:div w:id="1027364362">
          <w:marLeft w:val="274"/>
          <w:marRight w:val="0"/>
          <w:marTop w:val="0"/>
          <w:marBottom w:val="0"/>
          <w:divBdr>
            <w:top w:val="none" w:sz="0" w:space="0" w:color="auto"/>
            <w:left w:val="none" w:sz="0" w:space="0" w:color="auto"/>
            <w:bottom w:val="none" w:sz="0" w:space="0" w:color="auto"/>
            <w:right w:val="none" w:sz="0" w:space="0" w:color="auto"/>
          </w:divBdr>
        </w:div>
        <w:div w:id="958804561">
          <w:marLeft w:val="274"/>
          <w:marRight w:val="0"/>
          <w:marTop w:val="0"/>
          <w:marBottom w:val="0"/>
          <w:divBdr>
            <w:top w:val="none" w:sz="0" w:space="0" w:color="auto"/>
            <w:left w:val="none" w:sz="0" w:space="0" w:color="auto"/>
            <w:bottom w:val="none" w:sz="0" w:space="0" w:color="auto"/>
            <w:right w:val="none" w:sz="0" w:space="0" w:color="auto"/>
          </w:divBdr>
        </w:div>
        <w:div w:id="910963815">
          <w:marLeft w:val="274"/>
          <w:marRight w:val="0"/>
          <w:marTop w:val="0"/>
          <w:marBottom w:val="0"/>
          <w:divBdr>
            <w:top w:val="none" w:sz="0" w:space="0" w:color="auto"/>
            <w:left w:val="none" w:sz="0" w:space="0" w:color="auto"/>
            <w:bottom w:val="none" w:sz="0" w:space="0" w:color="auto"/>
            <w:right w:val="none" w:sz="0" w:space="0" w:color="auto"/>
          </w:divBdr>
        </w:div>
      </w:divsChild>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4695478">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0565808">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557614">
      <w:bodyDiv w:val="1"/>
      <w:marLeft w:val="0"/>
      <w:marRight w:val="0"/>
      <w:marTop w:val="0"/>
      <w:marBottom w:val="0"/>
      <w:divBdr>
        <w:top w:val="none" w:sz="0" w:space="0" w:color="auto"/>
        <w:left w:val="none" w:sz="0" w:space="0" w:color="auto"/>
        <w:bottom w:val="none" w:sz="0" w:space="0" w:color="auto"/>
        <w:right w:val="none" w:sz="0" w:space="0" w:color="auto"/>
      </w:divBdr>
      <w:divsChild>
        <w:div w:id="1780300182">
          <w:marLeft w:val="994"/>
          <w:marRight w:val="0"/>
          <w:marTop w:val="0"/>
          <w:marBottom w:val="0"/>
          <w:divBdr>
            <w:top w:val="none" w:sz="0" w:space="0" w:color="auto"/>
            <w:left w:val="none" w:sz="0" w:space="0" w:color="auto"/>
            <w:bottom w:val="none" w:sz="0" w:space="0" w:color="auto"/>
            <w:right w:val="none" w:sz="0" w:space="0" w:color="auto"/>
          </w:divBdr>
        </w:div>
        <w:div w:id="2006206994">
          <w:marLeft w:val="994"/>
          <w:marRight w:val="0"/>
          <w:marTop w:val="0"/>
          <w:marBottom w:val="0"/>
          <w:divBdr>
            <w:top w:val="none" w:sz="0" w:space="0" w:color="auto"/>
            <w:left w:val="none" w:sz="0" w:space="0" w:color="auto"/>
            <w:bottom w:val="none" w:sz="0" w:space="0" w:color="auto"/>
            <w:right w:val="none" w:sz="0" w:space="0" w:color="auto"/>
          </w:divBdr>
        </w:div>
        <w:div w:id="1686711827">
          <w:marLeft w:val="446"/>
          <w:marRight w:val="0"/>
          <w:marTop w:val="0"/>
          <w:marBottom w:val="60"/>
          <w:divBdr>
            <w:top w:val="none" w:sz="0" w:space="0" w:color="auto"/>
            <w:left w:val="none" w:sz="0" w:space="0" w:color="auto"/>
            <w:bottom w:val="none" w:sz="0" w:space="0" w:color="auto"/>
            <w:right w:val="none" w:sz="0" w:space="0" w:color="auto"/>
          </w:divBdr>
        </w:div>
      </w:divsChild>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26126547">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8497494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3297166">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0817380">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0371923">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077900641">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39909503">
      <w:bodyDiv w:val="1"/>
      <w:marLeft w:val="0"/>
      <w:marRight w:val="0"/>
      <w:marTop w:val="0"/>
      <w:marBottom w:val="0"/>
      <w:divBdr>
        <w:top w:val="none" w:sz="0" w:space="0" w:color="auto"/>
        <w:left w:val="none" w:sz="0" w:space="0" w:color="auto"/>
        <w:bottom w:val="none" w:sz="0" w:space="0" w:color="auto"/>
        <w:right w:val="none" w:sz="0" w:space="0" w:color="auto"/>
      </w:divBdr>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267/pel-en-non-respect/10586/pel-potentiellement-en-non-respect-du-1610-au-10112018.xlsx" TargetMode="External"/><Relationship Id="rId18" Type="http://schemas.openxmlformats.org/officeDocument/2006/relationships/hyperlink" Target="http://commerciaux.celca.caisse-epargne.fr/download/1302/les-cibles-ponctuelles/10311/book-evenements-gerc-q3-2018.pdf" TargetMode="Externa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mailto:BG-513-DSB-TITRES-BOURSE@cegee.caisse-epargne.fr" TargetMode="External"/><Relationship Id="rId34" Type="http://schemas.openxmlformats.org/officeDocument/2006/relationships/hyperlink" Target="http://commerciaux.celca.caisse-epargne.fr/download/1302/les-cibles-ponctuelles/10311/book-evenements-gerc-q3-2018.pdf" TargetMode="External"/><Relationship Id="rId7" Type="http://schemas.openxmlformats.org/officeDocument/2006/relationships/footnotes" Target="footnotes.xml"/><Relationship Id="rId12" Type="http://schemas.openxmlformats.org/officeDocument/2006/relationships/hyperlink" Target="mailto:francis.legendre@cegee.caisse-epargne.fr" TargetMode="External"/><Relationship Id="rId17" Type="http://schemas.openxmlformats.org/officeDocument/2006/relationships/image" Target="media/image2.png"/><Relationship Id="rId25" Type="http://schemas.openxmlformats.org/officeDocument/2006/relationships/hyperlink" Target="http://commerciaux.celca.caisse-epargne.fr/global-bdd/multicanal/internet/messagerie-securisee/messagerie-securisee-internet/" TargetMode="External"/><Relationship Id="rId33" Type="http://schemas.openxmlformats.org/officeDocument/2006/relationships/hyperlink" Target="http://commerciaux.celca.caisse-epargne.fr/global-bdd/communication-client/documents-reglementaires/tableau-synthetique-affichages-reglementaires/" TargetMode="External"/><Relationship Id="rId2" Type="http://schemas.openxmlformats.org/officeDocument/2006/relationships/numbering" Target="numbering.xml"/><Relationship Id="rId16" Type="http://schemas.openxmlformats.org/officeDocument/2006/relationships/hyperlink" Target="mailto:anneclaire.liaubet@cegee.caisse-epargne.fr" TargetMode="External"/><Relationship Id="rId20" Type="http://schemas.openxmlformats.org/officeDocument/2006/relationships/image" Target="media/image3.B34AF5F0"/><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176/documents-hors-arbo-2/10580/resultats-definitifs-coup-de-poing-n3.xlsx" TargetMode="External"/><Relationship Id="rId24" Type="http://schemas.openxmlformats.org/officeDocument/2006/relationships/hyperlink" Target="http://commerciaux.celca.caisse-epargne.fr/download/1546/meteo-vad/10509/meteo-ovad-2018.pdf" TargetMode="External"/><Relationship Id="rId32" Type="http://schemas.openxmlformats.org/officeDocument/2006/relationships/hyperlink" Target="http://commerciaux.celca.caisse-epargne.fr/global-bdd/communication-client/documents-reglementaires/tableau-synthetique-affichages-reglementaires/"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pmmpresentation-pro.sigce.caisse-epargne.fr:8851/GCE.CultureNet.Web/Pages/ResultatRechercheRubrique.aspx?action=ResultatRechercheRubrique&amp;nom=PILCOT" TargetMode="External"/><Relationship Id="rId23" Type="http://schemas.openxmlformats.org/officeDocument/2006/relationships/hyperlink" Target="http://commerciaux.celca.caisse-epargne.fr/download/1176/documents-hors-arbo-2/10596/pj-s42-quiz-des-chefs.pdf" TargetMode="External"/><Relationship Id="rId28" Type="http://schemas.openxmlformats.org/officeDocument/2006/relationships/image" Target="media/image6.png"/><Relationship Id="rId36" Type="http://schemas.openxmlformats.org/officeDocument/2006/relationships/fontTable" Target="fontTable.xml"/><Relationship Id="rId10" Type="http://schemas.openxmlformats.org/officeDocument/2006/relationships/hyperlink" Target="http://commerciaux.celca.caisse-epargne.fr/download/1176/documents-hors-arbo-2/10579/resultats-definitifs-bonus-qhd-2018.xlsx" TargetMode="External"/><Relationship Id="rId19" Type="http://schemas.openxmlformats.org/officeDocument/2006/relationships/hyperlink" Target="http://wnsgprw1.celca.caisse-epargne.fr/app/BPR/home.aspx?r=eai&amp;prd=true&amp;imp=true&amp;mog=true&amp;nds=true&amp;esp=true&amp;filtre=true" TargetMode="External"/><Relationship Id="rId31"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hyperlink" Target="http://commerciaux.celca.caisse-epargne.fr/download/1176/documents-hors-arbo-2/10578/resultats-definitifs-tf1-2018.xlsx" TargetMode="External"/><Relationship Id="rId14" Type="http://schemas.openxmlformats.org/officeDocument/2006/relationships/image" Target="media/image1.emf"/><Relationship Id="rId22" Type="http://schemas.openxmlformats.org/officeDocument/2006/relationships/hyperlink" Target="http://commerciaux.celca.caisse-epargne.fr/download/1176/documents-hors-arbo-2/10588/ou-trouver-le-nif.pdf" TargetMode="External"/><Relationship Id="rId27" Type="http://schemas.openxmlformats.org/officeDocument/2006/relationships/image" Target="media/image5.png"/><Relationship Id="rId30" Type="http://schemas.openxmlformats.org/officeDocument/2006/relationships/hyperlink" Target="http://commerciaux.celca.caisse-epargne.fr/download/1176/documents-hors-arbo-2/10600/credit-immo-outil-synchro.ppt" TargetMode="External"/><Relationship Id="rId35"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55A426-0AF7-4542-87A8-837D02BEB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TotalTime>
  <Pages>1</Pages>
  <Words>2815</Words>
  <Characters>15484</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18263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32</cp:revision>
  <dcterms:created xsi:type="dcterms:W3CDTF">2018-09-21T12:43:00Z</dcterms:created>
  <dcterms:modified xsi:type="dcterms:W3CDTF">2018-10-12T13:47:00Z</dcterms:modified>
</cp:coreProperties>
</file>