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3D2003" w:rsidP="003D200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ED2E44">
              <w:rPr>
                <w:rFonts w:ascii="Times New Roman" w:hAnsi="Times New Roman" w:cs="Times New Roman"/>
                <w:b/>
                <w:sz w:val="32"/>
                <w:szCs w:val="40"/>
              </w:rPr>
              <w:t>4</w:t>
            </w:r>
            <w:r w:rsidR="004C4C7C">
              <w:rPr>
                <w:rFonts w:ascii="Times New Roman" w:hAnsi="Times New Roman" w:cs="Times New Roman"/>
                <w:b/>
                <w:sz w:val="32"/>
                <w:szCs w:val="40"/>
              </w:rPr>
              <w:t>8</w:t>
            </w:r>
            <w:r w:rsidR="00D82F8B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450AC9">
            <w:pPr>
              <w:pStyle w:val="wordsection1"/>
              <w:spacing w:before="0" w:beforeAutospacing="0" w:after="0" w:afterAutospacing="0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4C4C7C" w:rsidRPr="008A2C98" w:rsidTr="00E5696C">
        <w:trPr>
          <w:trHeight w:val="309"/>
        </w:trPr>
        <w:tc>
          <w:tcPr>
            <w:tcW w:w="1560" w:type="dxa"/>
            <w:tcBorders>
              <w:bottom w:val="single" w:sz="4" w:space="0" w:color="auto"/>
            </w:tcBorders>
          </w:tcPr>
          <w:p w:rsidR="004C4C7C" w:rsidRDefault="004C4C7C" w:rsidP="00EE49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C4C7C" w:rsidRPr="004C4C7C" w:rsidRDefault="004C4C7C" w:rsidP="006A044D">
            <w:pPr>
              <w:pStyle w:val="wordsection1"/>
              <w:rPr>
                <w:b/>
                <w:bCs/>
                <w:sz w:val="20"/>
                <w:szCs w:val="20"/>
              </w:rPr>
            </w:pPr>
            <w:r w:rsidRPr="004C4C7C">
              <w:rPr>
                <w:b/>
                <w:bCs/>
                <w:sz w:val="20"/>
                <w:szCs w:val="20"/>
              </w:rPr>
              <w:t>Suivi Helios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C4C7C" w:rsidRPr="004C4C7C" w:rsidRDefault="004C4C7C" w:rsidP="004C4C7C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Vos réalisations au </w:t>
            </w:r>
            <w:r w:rsidRPr="004C4C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22 novembre </w:t>
            </w: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:</w:t>
            </w:r>
          </w:p>
          <w:p w:rsidR="004C4C7C" w:rsidRPr="004C4C7C" w:rsidRDefault="004C4C7C" w:rsidP="006A044D">
            <w:pPr>
              <w:ind w:left="708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La CEGEE affiche un taux d’atteinte de l’objectif de </w:t>
            </w:r>
            <w:r w:rsidRPr="004C4C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86%</w:t>
            </w: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</w:t>
            </w:r>
            <w:r w:rsidRPr="004C4C7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pour un % temps écoulé de 79%.</w:t>
            </w:r>
          </w:p>
          <w:p w:rsidR="004C4C7C" w:rsidRPr="004C4C7C" w:rsidRDefault="004C4C7C" w:rsidP="006A044D">
            <w:pPr>
              <w:ind w:left="708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sym w:font="Wingdings" w:char="F0C4"/>
            </w: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Voici les résultats par Direction Commerciale : </w:t>
            </w:r>
          </w:p>
          <w:p w:rsidR="004C4C7C" w:rsidRPr="004C4C7C" w:rsidRDefault="004C4C7C" w:rsidP="006A044D">
            <w:pPr>
              <w:ind w:left="708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C4C7C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eastAsia="fr-FR"/>
              </w:rPr>
              <w:drawing>
                <wp:inline distT="0" distB="0" distL="0" distR="0" wp14:anchorId="0BABACEA" wp14:editId="5415540A">
                  <wp:extent cx="6029864" cy="2386026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241" b="6407"/>
                          <a:stretch/>
                        </pic:blipFill>
                        <pic:spPr bwMode="auto">
                          <a:xfrm>
                            <a:off x="0" y="0"/>
                            <a:ext cx="6030055" cy="2386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4C4C7C" w:rsidRPr="004C4C7C" w:rsidRDefault="004C4C7C" w:rsidP="006A044D">
            <w:pPr>
              <w:ind w:left="176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  <w:p w:rsidR="004C4C7C" w:rsidRPr="004C4C7C" w:rsidRDefault="004C4C7C" w:rsidP="006A044D">
            <w:pPr>
              <w:ind w:left="176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sym w:font="Wingdings" w:char="F0E8"/>
            </w: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Chaque agence et secteur peut consulter sa propre avancée via ce lien </w:t>
            </w:r>
            <w:hyperlink r:id="rId10" w:history="1">
              <w:r w:rsidRPr="004C4C7C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CLIC</w:t>
              </w:r>
            </w:hyperlink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</w:t>
            </w:r>
            <w:r w:rsidRPr="004C4C7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2</w:t>
            </w:r>
            <w:r w:rsidRPr="004C4C7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eastAsia="fr-FR"/>
              </w:rPr>
              <w:t>nd</w:t>
            </w:r>
            <w:r w:rsidRPr="004C4C7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 onglet</w:t>
            </w:r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  <w:p w:rsidR="004C4C7C" w:rsidRPr="004C4C7C" w:rsidRDefault="004C4C7C" w:rsidP="006A044D">
            <w:pPr>
              <w:ind w:left="176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  <w:p w:rsidR="004C4C7C" w:rsidRPr="004C4C7C" w:rsidRDefault="004C4C7C" w:rsidP="006A044D">
            <w:pPr>
              <w:ind w:left="176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C4C7C">
              <w:rPr>
                <w:rFonts w:ascii="Times New Roman" w:hAnsi="Times New Roman" w:cs="Times New Roman"/>
                <w:i/>
                <w:iCs/>
                <w:color w:val="C00000"/>
                <w:sz w:val="20"/>
                <w:szCs w:val="20"/>
                <w:lang w:eastAsia="fr-FR"/>
              </w:rPr>
              <w:t xml:space="preserve">Pour rappel : les </w:t>
            </w:r>
            <w:r w:rsidRPr="004C4C7C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20"/>
                <w:szCs w:val="20"/>
                <w:lang w:eastAsia="fr-FR"/>
              </w:rPr>
              <w:t xml:space="preserve">saisies manuelles </w:t>
            </w:r>
            <w:r w:rsidRPr="004C4C7C">
              <w:rPr>
                <w:rFonts w:ascii="Times New Roman" w:hAnsi="Times New Roman" w:cs="Times New Roman"/>
                <w:i/>
                <w:iCs/>
                <w:color w:val="C00000"/>
                <w:sz w:val="20"/>
                <w:szCs w:val="20"/>
                <w:lang w:eastAsia="fr-FR"/>
              </w:rPr>
              <w:t xml:space="preserve">sous ISI ou WebAssur ne seront plus accessibles dès ce soir, </w:t>
            </w:r>
            <w:r w:rsidRPr="004C4C7C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20"/>
                <w:szCs w:val="20"/>
                <w:lang w:eastAsia="fr-FR"/>
              </w:rPr>
              <w:t>vendredi 23 novembre</w:t>
            </w:r>
          </w:p>
        </w:tc>
      </w:tr>
      <w:tr w:rsidR="004C4C7C" w:rsidRPr="008A2C98" w:rsidTr="00E5696C">
        <w:trPr>
          <w:trHeight w:val="272"/>
        </w:trPr>
        <w:tc>
          <w:tcPr>
            <w:tcW w:w="1560" w:type="dxa"/>
            <w:tcBorders>
              <w:bottom w:val="single" w:sz="4" w:space="0" w:color="auto"/>
            </w:tcBorders>
          </w:tcPr>
          <w:p w:rsidR="004C4C7C" w:rsidRPr="006E6BE3" w:rsidRDefault="004C4C7C" w:rsidP="00EE49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C4C7C" w:rsidRPr="004C4C7C" w:rsidRDefault="004C4C7C" w:rsidP="006A044D">
            <w:pPr>
              <w:pStyle w:val="wordsection1"/>
              <w:rPr>
                <w:b/>
                <w:bCs/>
                <w:sz w:val="20"/>
                <w:szCs w:val="20"/>
              </w:rPr>
            </w:pPr>
            <w:r w:rsidRPr="004C4C7C">
              <w:rPr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C4C7C" w:rsidRPr="004C4C7C" w:rsidRDefault="004C4C7C" w:rsidP="004C4C7C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Pr="004C4C7C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Pr="004C4C7C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4C4C7C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pour accéder à la liste des PEL potentiellement en non-respect, échéances du 27/11 au 21/12/2018 qui seront clôturés à J+1 de la date anniversaire (volumétrie 3</w:t>
            </w:r>
            <w:r w:rsidRPr="004C4C7C">
              <w:rPr>
                <w:rFonts w:ascii="Times New Roman" w:hAnsi="Times New Roman" w:cs="Times New Roman"/>
                <w:color w:val="1F497D"/>
                <w:sz w:val="20"/>
                <w:szCs w:val="20"/>
                <w:lang w:eastAsia="fr-FR"/>
              </w:rPr>
              <w:t>7</w:t>
            </w:r>
            <w:r w:rsidRPr="004C4C7C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5 clients).</w:t>
            </w:r>
          </w:p>
        </w:tc>
      </w:tr>
      <w:tr w:rsidR="003A1AC9" w:rsidRPr="008A2C98" w:rsidTr="001912DF">
        <w:trPr>
          <w:trHeight w:val="34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A1AC9" w:rsidRPr="00425802" w:rsidRDefault="00D82F8B" w:rsidP="00450A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Bancarisation</w:t>
            </w:r>
          </w:p>
        </w:tc>
      </w:tr>
      <w:tr w:rsidR="004C4C7C" w:rsidRPr="008A2C98" w:rsidTr="00E5696C">
        <w:trPr>
          <w:trHeight w:val="333"/>
        </w:trPr>
        <w:tc>
          <w:tcPr>
            <w:tcW w:w="1560" w:type="dxa"/>
            <w:tcBorders>
              <w:bottom w:val="single" w:sz="4" w:space="0" w:color="auto"/>
            </w:tcBorders>
          </w:tcPr>
          <w:p w:rsidR="004C4C7C" w:rsidRDefault="004C4C7C" w:rsidP="00ED4D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Direction des Crédits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C4C7C" w:rsidRPr="004C4C7C" w:rsidRDefault="004C4C7C" w:rsidP="006A044D">
            <w:pPr>
              <w:pStyle w:val="wordsection1"/>
              <w:rPr>
                <w:b/>
                <w:bCs/>
                <w:sz w:val="20"/>
                <w:szCs w:val="20"/>
              </w:rPr>
            </w:pPr>
            <w:r w:rsidRPr="004C4C7C">
              <w:rPr>
                <w:b/>
                <w:bCs/>
                <w:sz w:val="20"/>
                <w:szCs w:val="20"/>
              </w:rPr>
              <w:t>Modification de la convention de CDD et des CG cartes Particuliers au 1</w:t>
            </w:r>
            <w:r w:rsidRPr="004C4C7C">
              <w:rPr>
                <w:b/>
                <w:bCs/>
                <w:sz w:val="20"/>
                <w:szCs w:val="20"/>
                <w:vertAlign w:val="superscript"/>
              </w:rPr>
              <w:t>er</w:t>
            </w:r>
            <w:r w:rsidRPr="004C4C7C">
              <w:rPr>
                <w:b/>
                <w:bCs/>
                <w:sz w:val="20"/>
                <w:szCs w:val="20"/>
              </w:rPr>
              <w:t xml:space="preserve"> mars 2019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C4C7C" w:rsidRPr="004C4C7C" w:rsidRDefault="004C4C7C" w:rsidP="004C4C7C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>Des modifications des conditions générales entreront en vigueur à compter du 1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>er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mars 2019. Celles-ci portent sur :</w:t>
            </w:r>
          </w:p>
          <w:p w:rsidR="004C4C7C" w:rsidRPr="004C4C7C" w:rsidRDefault="004C4C7C" w:rsidP="004F4D62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la 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convention de compte de dépôt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(services de paiement, protection de la vie privée, lutte contre la corruption et le trafic d’influence), </w:t>
            </w:r>
          </w:p>
          <w:p w:rsidR="004C4C7C" w:rsidRPr="004C4C7C" w:rsidRDefault="004C4C7C" w:rsidP="004F4D62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sur certains services associés </w:t>
            </w:r>
          </w:p>
          <w:p w:rsidR="004C4C7C" w:rsidRPr="004C4C7C" w:rsidRDefault="004C4C7C" w:rsidP="004F4D62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ainsi que sur les conditions générales de 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fonctionnement des cartes bancaires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Particuliers. </w:t>
            </w:r>
          </w:p>
          <w:p w:rsidR="004C4C7C" w:rsidRPr="004C4C7C" w:rsidRDefault="004C4C7C" w:rsidP="004C4C7C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>La règlementation nous impose de porter ces informations à la connaissance de nos clients au moins 2 mois avant l’entrée en vigueur de ces conditions. Voici comment nos clients seront informés pour respecter cette contrainte calendaire :</w:t>
            </w:r>
          </w:p>
          <w:p w:rsidR="004C4C7C" w:rsidRPr="004C4C7C" w:rsidRDefault="004C4C7C" w:rsidP="004C4C7C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Par le relevé de compte 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  <w:t>papier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>: un message dans le relevé de compte ainsi qu’un dépliant de l’Avenant à la Convention CDD et des CG cartes ont été insérés dans les relevés de compte de décembre</w:t>
            </w:r>
          </w:p>
          <w:p w:rsidR="004C4C7C" w:rsidRPr="004C4C7C" w:rsidRDefault="004C4C7C" w:rsidP="004C4C7C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Par le relevé de compte 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  <w:t>électronique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: un message dans le relevé de compte invitant le client à se rendre sur 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le site Internet de la Caisse d’Epargne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hyperlink r:id="rId12" w:history="1">
              <w:r w:rsidRPr="004C4C7C">
                <w:rPr>
                  <w:rStyle w:val="Lienhypertexte"/>
                  <w:rFonts w:ascii="Times New Roman" w:hAnsi="Times New Roman" w:cs="Times New Roman"/>
                  <w:iCs/>
                  <w:sz w:val="20"/>
                  <w:szCs w:val="20"/>
                </w:rPr>
                <w:t>http://www.caisse-epargne.fr</w:t>
              </w:r>
            </w:hyperlink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dans l’espace « Tarifs et Informations Réglementaires » a été inséré dans le RDC de décembre</w:t>
            </w:r>
          </w:p>
          <w:p w:rsidR="004C4C7C" w:rsidRPr="004C4C7C" w:rsidRDefault="004C4C7C" w:rsidP="004C4C7C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lastRenderedPageBreak/>
              <w:t xml:space="preserve">Par un message MSI : 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le message invite le client à se rendre sur </w:t>
            </w: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le site Internet de la Caisse d’Epargne</w:t>
            </w:r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hyperlink r:id="rId13" w:history="1">
              <w:r w:rsidRPr="004C4C7C">
                <w:rPr>
                  <w:rStyle w:val="Lienhypertexte"/>
                  <w:rFonts w:ascii="Times New Roman" w:hAnsi="Times New Roman" w:cs="Times New Roman"/>
                  <w:iCs/>
                  <w:sz w:val="20"/>
                  <w:szCs w:val="20"/>
                </w:rPr>
                <w:t>http://www.caisse-epargne.fr</w:t>
              </w:r>
            </w:hyperlink>
            <w:r w:rsidRPr="004C4C7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dans l’espace Banque au quotidien « Tarifs et Informations Réglementaires » et contient en pièce jointe le dépliant de l’Avenant à la Convention CDD et des CG cartes</w:t>
            </w:r>
          </w:p>
          <w:p w:rsidR="004C4C7C" w:rsidRPr="004C4C7C" w:rsidRDefault="004C4C7C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Dépliant « Avenant » disponible dans la Rubrique des Commerciaux ou en </w:t>
            </w:r>
            <w:hyperlink r:id="rId14" w:history="1">
              <w:r w:rsidRPr="004C4C7C">
                <w:rPr>
                  <w:rStyle w:val="Lienhypertexte"/>
                  <w:rFonts w:ascii="Times New Roman" w:hAnsi="Times New Roman" w:cs="Times New Roman"/>
                  <w:b/>
                  <w:bCs/>
                  <w:iCs/>
                  <w:sz w:val="20"/>
                  <w:szCs w:val="20"/>
                </w:rPr>
                <w:t>cliquant ici</w:t>
              </w:r>
            </w:hyperlink>
          </w:p>
          <w:p w:rsidR="004C4C7C" w:rsidRPr="004C4C7C" w:rsidRDefault="004C4C7C" w:rsidP="006A044D">
            <w:pPr>
              <w:contextualSpacing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C4C7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NB : cette info Brief vise à vous donner les éléments nécessaires pour répondre à d’éventuelles questions de clients recevant ce dépliant « Avenant »</w:t>
            </w:r>
          </w:p>
        </w:tc>
      </w:tr>
      <w:tr w:rsidR="00035237" w:rsidRPr="008A2C98" w:rsidTr="00035237">
        <w:trPr>
          <w:trHeight w:val="398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5237" w:rsidRPr="00035237" w:rsidRDefault="00035237" w:rsidP="00035237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03523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lastRenderedPageBreak/>
              <w:t>IARD - Prévoyance</w:t>
            </w:r>
          </w:p>
        </w:tc>
      </w:tr>
      <w:tr w:rsidR="004C4C7C" w:rsidRPr="008A2C98" w:rsidTr="00E5696C">
        <w:trPr>
          <w:trHeight w:val="295"/>
        </w:trPr>
        <w:tc>
          <w:tcPr>
            <w:tcW w:w="1560" w:type="dxa"/>
            <w:tcBorders>
              <w:bottom w:val="single" w:sz="4" w:space="0" w:color="auto"/>
            </w:tcBorders>
          </w:tcPr>
          <w:p w:rsidR="004C4C7C" w:rsidRPr="006E6BE3" w:rsidRDefault="004C4C7C" w:rsidP="006A044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FIDUCIE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C4C7C" w:rsidRPr="006E6BE3" w:rsidRDefault="004C4C7C" w:rsidP="006A044D">
            <w:pPr>
              <w:pStyle w:val="wordsection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</w:t>
            </w:r>
            <w:r w:rsidRPr="00583EB4">
              <w:rPr>
                <w:b/>
                <w:bCs/>
                <w:sz w:val="20"/>
                <w:szCs w:val="20"/>
              </w:rPr>
              <w:t>ouvements de fonds GA</w:t>
            </w:r>
            <w:r>
              <w:rPr>
                <w:b/>
                <w:bCs/>
                <w:sz w:val="20"/>
                <w:szCs w:val="20"/>
              </w:rPr>
              <w:t>B</w:t>
            </w:r>
            <w:r w:rsidRPr="00583EB4">
              <w:rPr>
                <w:b/>
                <w:bCs/>
                <w:sz w:val="20"/>
                <w:szCs w:val="20"/>
              </w:rPr>
              <w:t xml:space="preserve"> &amp; diff</w:t>
            </w:r>
            <w:r>
              <w:rPr>
                <w:b/>
                <w:bCs/>
                <w:sz w:val="20"/>
                <w:szCs w:val="20"/>
              </w:rPr>
              <w:t>érence</w:t>
            </w:r>
            <w:r w:rsidRPr="00583EB4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d</w:t>
            </w:r>
            <w:r w:rsidRPr="00583EB4">
              <w:rPr>
                <w:b/>
                <w:bCs/>
                <w:sz w:val="20"/>
                <w:szCs w:val="20"/>
              </w:rPr>
              <w:t xml:space="preserve">e caisse : les nouvelles </w:t>
            </w:r>
            <w:r>
              <w:rPr>
                <w:b/>
                <w:bCs/>
                <w:sz w:val="20"/>
                <w:szCs w:val="20"/>
              </w:rPr>
              <w:t>OD</w:t>
            </w:r>
            <w:r w:rsidRPr="00583EB4">
              <w:rPr>
                <w:b/>
                <w:bCs/>
                <w:sz w:val="20"/>
                <w:szCs w:val="20"/>
              </w:rPr>
              <w:t xml:space="preserve"> à utiliser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C4C7C" w:rsidRPr="004F4D62" w:rsidRDefault="004C4C7C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Une nouvelle fiche mémo est disponible sur bEST’WAY. Elle porte sur les </w:t>
            </w: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OD à utiliser </w:t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pour enregistrer des mouvements de fonds dans les 2 cas suivants :</w:t>
            </w:r>
          </w:p>
          <w:p w:rsidR="004C4C7C" w:rsidRPr="004F4D62" w:rsidRDefault="004C4C7C" w:rsidP="004F4D62">
            <w:pPr>
              <w:numPr>
                <w:ilvl w:val="0"/>
                <w:numId w:val="36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Mouvements de fonds (envois/retours) entre Agence &amp; GAB</w:t>
            </w:r>
          </w:p>
          <w:p w:rsidR="004C4C7C" w:rsidRPr="004F4D62" w:rsidRDefault="004C4C7C" w:rsidP="004F4D62">
            <w:pPr>
              <w:numPr>
                <w:ilvl w:val="0"/>
                <w:numId w:val="36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Enregistrement d’une différence de caisse (en plus ou en moins)</w:t>
            </w:r>
          </w:p>
          <w:p w:rsidR="004C4C7C" w:rsidRPr="004F4D62" w:rsidRDefault="004C4C7C" w:rsidP="006A044D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fr-FR"/>
              </w:rPr>
              <w:t xml:space="preserve">Lien direct vers cette fiche mémo </w:t>
            </w:r>
            <w:r w:rsidRPr="004F4D6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fr-FR"/>
              </w:rPr>
              <w:sym w:font="Wingdings" w:char="F0E0"/>
            </w:r>
            <w:r w:rsidRPr="004F4D6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fr-FR"/>
              </w:rPr>
              <w:t xml:space="preserve"> </w:t>
            </w:r>
            <w:hyperlink r:id="rId15" w:history="1">
              <w:r w:rsidR="004F4D62" w:rsidRPr="004F4D62">
                <w:rPr>
                  <w:rStyle w:val="Lienhypertexte"/>
                  <w:rFonts w:ascii="Times New Roman" w:hAnsi="Times New Roman" w:cs="Times New Roman"/>
                  <w:bCs/>
                  <w:i/>
                  <w:iCs/>
                  <w:sz w:val="20"/>
                  <w:szCs w:val="20"/>
                  <w:lang w:eastAsia="fr-FR"/>
                </w:rPr>
                <w:t>CLIC</w:t>
              </w:r>
            </w:hyperlink>
          </w:p>
        </w:tc>
      </w:tr>
      <w:tr w:rsidR="004C4C7C" w:rsidRPr="008A2C98" w:rsidTr="00E5696C">
        <w:trPr>
          <w:trHeight w:val="295"/>
        </w:trPr>
        <w:tc>
          <w:tcPr>
            <w:tcW w:w="1560" w:type="dxa"/>
            <w:tcBorders>
              <w:bottom w:val="single" w:sz="4" w:space="0" w:color="auto"/>
            </w:tcBorders>
          </w:tcPr>
          <w:p w:rsidR="004C4C7C" w:rsidRPr="00AD478F" w:rsidRDefault="004C4C7C" w:rsidP="006A044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D47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C4C7C" w:rsidRPr="00644324" w:rsidRDefault="004C4C7C" w:rsidP="006A044D">
            <w:pPr>
              <w:pStyle w:val="wordsection1"/>
              <w:rPr>
                <w:bCs/>
                <w:sz w:val="20"/>
                <w:szCs w:val="20"/>
              </w:rPr>
            </w:pPr>
            <w:r w:rsidRPr="004F4D62">
              <w:rPr>
                <w:b/>
                <w:bCs/>
                <w:sz w:val="20"/>
                <w:szCs w:val="20"/>
              </w:rPr>
              <w:t>Contrats Auto « provisoires » : suivi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C4C7C" w:rsidRPr="004F4D62" w:rsidRDefault="004C4C7C" w:rsidP="004F4D62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F4D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Si un contrat auto n’est pas au format « contrat définitif » dès sa souscription, notre client doit nous fournir les justificatifs sous 30 jours à compter de la date d’effet du contrat. Passé ce délai</w:t>
            </w:r>
            <w:r w:rsidRPr="004F4D6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, le véhicule ne sera plus assuré</w:t>
            </w:r>
            <w:r w:rsidRPr="004F4D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</w:p>
          <w:p w:rsidR="004C4C7C" w:rsidRPr="004F4D62" w:rsidRDefault="004C4C7C" w:rsidP="004F4D62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F4D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pour info, l’an passé </w:t>
            </w:r>
            <w:r w:rsidRPr="004F4D6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nous avons perdu 14% de notre production brute de contrats auto pour motif de justificatifs absents</w:t>
            </w:r>
            <w:r w:rsidRPr="004F4D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:rsidR="004C4C7C" w:rsidRPr="004F4D62" w:rsidRDefault="004C4C7C" w:rsidP="004F4D62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4D62">
              <w:rPr>
                <w:rFonts w:ascii="Times New Roman" w:hAnsi="Times New Roman" w:cs="Times New Roman"/>
                <w:sz w:val="20"/>
                <w:szCs w:val="20"/>
              </w:rPr>
              <w:t xml:space="preserve">D’où l’utilité à disposer d’un suivi de ces contrats « provisoires » qui vous permet de relancer les clients </w:t>
            </w:r>
            <w:r w:rsidRPr="004F4D62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4F4D62">
              <w:rPr>
                <w:rFonts w:ascii="Times New Roman" w:hAnsi="Times New Roman" w:cs="Times New Roman"/>
                <w:sz w:val="20"/>
                <w:szCs w:val="20"/>
              </w:rPr>
              <w:t xml:space="preserve"> Lien vers ce suivi « </w:t>
            </w:r>
            <w:r w:rsidRPr="004F4D6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Auto contrats provisoires</w:t>
            </w:r>
            <w:r w:rsidRPr="004F4D62">
              <w:rPr>
                <w:rFonts w:ascii="Times New Roman" w:hAnsi="Times New Roman" w:cs="Times New Roman"/>
                <w:sz w:val="20"/>
                <w:szCs w:val="20"/>
              </w:rPr>
              <w:t xml:space="preserve"> » </w:t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</w:rPr>
              <w:sym w:font="Wingdings" w:char="F0E0"/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hyperlink r:id="rId16" w:history="1">
              <w:r w:rsidRPr="004F4D62">
                <w:rPr>
                  <w:rStyle w:val="Lienhypertexte"/>
                  <w:rFonts w:ascii="Times New Roman" w:hAnsi="Times New Roman" w:cs="Times New Roman"/>
                  <w:bCs/>
                  <w:sz w:val="20"/>
                  <w:szCs w:val="20"/>
                </w:rPr>
                <w:t>CLIC</w:t>
              </w:r>
            </w:hyperlink>
            <w:r w:rsidRPr="004F4D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4F4D62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(disponible depuis la Rubrique des Commerciaux)</w:t>
            </w:r>
          </w:p>
          <w:p w:rsidR="004C4C7C" w:rsidRPr="004F4D62" w:rsidRDefault="004C4C7C" w:rsidP="004F4D62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F4D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NB : il convient de prioriser les</w:t>
            </w:r>
            <w:r w:rsidR="004F4D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4F4D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contrats à moins de 10 jours de la sortie</w:t>
            </w:r>
          </w:p>
        </w:tc>
      </w:tr>
      <w:tr w:rsidR="00035237" w:rsidRPr="008A2C98" w:rsidTr="00035237">
        <w:trPr>
          <w:trHeight w:val="31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5237" w:rsidRPr="00035237" w:rsidRDefault="00035237" w:rsidP="00035237">
            <w:pPr>
              <w:contextualSpacing/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035237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Crédits</w:t>
            </w:r>
          </w:p>
        </w:tc>
      </w:tr>
      <w:tr w:rsidR="004C4C7C" w:rsidRPr="008A2C98" w:rsidTr="004F4D62">
        <w:trPr>
          <w:trHeight w:val="376"/>
        </w:trPr>
        <w:tc>
          <w:tcPr>
            <w:tcW w:w="1560" w:type="dxa"/>
            <w:tcBorders>
              <w:bottom w:val="single" w:sz="4" w:space="0" w:color="auto"/>
            </w:tcBorders>
          </w:tcPr>
          <w:p w:rsidR="004C4C7C" w:rsidRPr="006E6BE3" w:rsidRDefault="004C4C7C" w:rsidP="006A044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Direction des Crédits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C4C7C" w:rsidRPr="004F4D62" w:rsidRDefault="004C4C7C" w:rsidP="006A044D">
            <w:pPr>
              <w:pStyle w:val="wordsection1"/>
              <w:rPr>
                <w:b/>
                <w:bCs/>
                <w:sz w:val="20"/>
                <w:szCs w:val="20"/>
              </w:rPr>
            </w:pPr>
            <w:r w:rsidRPr="004F4D62">
              <w:rPr>
                <w:b/>
                <w:bCs/>
                <w:sz w:val="20"/>
                <w:szCs w:val="20"/>
                <w:lang w:eastAsia="en-US"/>
              </w:rPr>
              <w:t>Crédits PROfessionnels : modalités de transmission des dossiers sous DEFI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C4C7C" w:rsidRPr="004F4D62" w:rsidRDefault="004C4C7C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u w:val="single"/>
                <w:lang w:eastAsia="fr-FR"/>
              </w:rPr>
            </w:pPr>
            <w:r w:rsidRPr="004F4D6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highlight w:val="yellow"/>
                <w:u w:val="single"/>
                <w:lang w:eastAsia="fr-FR"/>
              </w:rPr>
              <w:t>REMPLACE &amp; ANNULE LA COMMUNICATION PRECEDENTE SUR LE SUJET (</w:t>
            </w:r>
            <w:r w:rsidR="004F4D62" w:rsidRPr="004F4D6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highlight w:val="yellow"/>
                <w:u w:val="single"/>
                <w:lang w:eastAsia="fr-FR"/>
              </w:rPr>
              <w:t>cf.</w:t>
            </w:r>
            <w:r w:rsidRPr="004F4D6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highlight w:val="yellow"/>
                <w:u w:val="single"/>
                <w:lang w:eastAsia="fr-FR"/>
              </w:rPr>
              <w:t xml:space="preserve"> Brief des Actus S47)</w:t>
            </w:r>
            <w:r w:rsidRPr="004F4D6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eastAsia="fr-FR"/>
              </w:rPr>
              <w:t> :</w:t>
            </w:r>
          </w:p>
          <w:p w:rsidR="004C4C7C" w:rsidRPr="004F4D62" w:rsidRDefault="004C4C7C" w:rsidP="006A044D">
            <w:pPr>
              <w:pStyle w:val="Paragraphedeliste"/>
              <w:ind w:left="0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</w:p>
          <w:p w:rsidR="004C4C7C" w:rsidRPr="004F4D62" w:rsidRDefault="004C4C7C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Les modalités de transmission des dossiers sous DEFI, d’information et de communication à destination du Service Décisions tous Engagements sont appelées à changer à la FIBO.</w:t>
            </w:r>
          </w:p>
          <w:p w:rsidR="004C4C7C" w:rsidRPr="004F4D62" w:rsidRDefault="004C4C7C" w:rsidP="006A044D">
            <w:pPr>
              <w:pStyle w:val="Paragraphedeliste"/>
              <w:ind w:left="360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 </w:t>
            </w:r>
          </w:p>
          <w:p w:rsidR="004C4C7C" w:rsidRPr="004F4D62" w:rsidRDefault="004C4C7C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fr-FR"/>
              </w:rPr>
              <w:t>Concrètement et depuis le Lundi 19 Novembre 2018</w:t>
            </w:r>
          </w:p>
          <w:p w:rsidR="004C4C7C" w:rsidRPr="004F4D62" w:rsidRDefault="004C4C7C" w:rsidP="006A044D">
            <w:pPr>
              <w:pStyle w:val="Paragraphedeliste"/>
              <w:ind w:left="360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les demandes DEFI sont à adresser exclusivement sur l’EDS :</w:t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DECISIONS ENGAGEMENTS MARCHES [0007320]</w:t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 (à l’exclusion de tout autre EDS)</w:t>
            </w:r>
          </w:p>
          <w:p w:rsidR="004C4C7C" w:rsidRPr="004F4D62" w:rsidRDefault="004C4C7C" w:rsidP="006A044D">
            <w:pPr>
              <w:pStyle w:val="Paragraphedeliste"/>
              <w:ind w:left="360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Elles doivent être accompagnées impérativement d’un mail à adresser :</w:t>
            </w:r>
          </w:p>
          <w:p w:rsidR="004C4C7C" w:rsidRPr="004F4D62" w:rsidRDefault="004C4C7C" w:rsidP="004C4C7C">
            <w:pPr>
              <w:pStyle w:val="Paragraphedeliste"/>
              <w:numPr>
                <w:ilvl w:val="0"/>
                <w:numId w:val="30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soit sur la boite mail générique</w:t>
            </w: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 : </w:t>
            </w: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CEGEE-B-CRED-PRO-BDR-EST@cegee.caisse-epargne.fr pour les dossiers issus du Territoire ALS </w:t>
            </w:r>
            <w:r w:rsidRPr="004F4D62">
              <w:rPr>
                <w:rFonts w:ascii="Times New Roman" w:hAnsi="Times New Roman" w:cs="Times New Roman"/>
                <w:b/>
                <w:bCs/>
                <w:color w:val="0070C0"/>
                <w:sz w:val="20"/>
                <w:szCs w:val="20"/>
              </w:rPr>
              <w:t>+ MOSELLE</w:t>
            </w:r>
          </w:p>
          <w:p w:rsidR="004C4C7C" w:rsidRPr="004F4D62" w:rsidRDefault="004C4C7C" w:rsidP="004C4C7C">
            <w:pPr>
              <w:pStyle w:val="Paragraphedeliste"/>
              <w:numPr>
                <w:ilvl w:val="0"/>
                <w:numId w:val="30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soit sur la boite mail générique</w:t>
            </w: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 :</w:t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CEGEE-B-CRED-PRO-BDR-OUEST@cegee.caisse-epargne.fr pour les dossiers issus du Territoire LCA </w:t>
            </w:r>
            <w:r w:rsidRPr="004F4D6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hors MOSELLE</w:t>
            </w:r>
          </w:p>
          <w:p w:rsidR="004C4C7C" w:rsidRPr="004F4D62" w:rsidRDefault="004C4C7C" w:rsidP="006A044D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</w:p>
          <w:p w:rsidR="004C4C7C" w:rsidRPr="004F4D62" w:rsidRDefault="004C4C7C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A défaut de mail d’envoi</w:t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 sur l’un de ces boites mail, </w:t>
            </w: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les dossiers ne seront pas traités.</w:t>
            </w:r>
          </w:p>
          <w:p w:rsidR="004C4C7C" w:rsidRPr="004F4D62" w:rsidRDefault="004C4C7C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fr-FR"/>
              </w:rPr>
              <w:t xml:space="preserve">Eléments à impérativement faire figurer dans ce mail d’envoi </w:t>
            </w: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:</w:t>
            </w:r>
          </w:p>
          <w:p w:rsidR="004C4C7C" w:rsidRPr="004F4D62" w:rsidRDefault="004C4C7C" w:rsidP="004F4D62">
            <w:pPr>
              <w:numPr>
                <w:ilvl w:val="0"/>
                <w:numId w:val="37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 nom du client ou groupe de clients</w:t>
            </w:r>
          </w:p>
          <w:p w:rsidR="004C4C7C" w:rsidRPr="004F4D62" w:rsidRDefault="004C4C7C" w:rsidP="004F4D62">
            <w:pPr>
              <w:numPr>
                <w:ilvl w:val="0"/>
                <w:numId w:val="37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 SIREN ou numéro du client bancaire de l’emprunteur</w:t>
            </w:r>
          </w:p>
          <w:p w:rsidR="004C4C7C" w:rsidRPr="004F4D62" w:rsidRDefault="004C4C7C" w:rsidP="004F4D62">
            <w:pPr>
              <w:numPr>
                <w:ilvl w:val="0"/>
                <w:numId w:val="37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 nom du gestionnaire du compte</w:t>
            </w:r>
          </w:p>
          <w:p w:rsidR="004C4C7C" w:rsidRPr="004F4D62" w:rsidRDefault="004C4C7C" w:rsidP="004F4D62">
            <w:pPr>
              <w:numPr>
                <w:ilvl w:val="0"/>
                <w:numId w:val="37"/>
              </w:numP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la Direction Commerciale de rattachement</w:t>
            </w:r>
          </w:p>
          <w:p w:rsidR="004C4C7C" w:rsidRPr="004F4D62" w:rsidRDefault="004C4C7C" w:rsidP="006A044D">
            <w:pPr>
              <w:pStyle w:val="Paragraphedeliste"/>
              <w:ind w:left="0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4F4D6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 marché d’appartenance : Viticulture pour les dossiers VITI, Professionnels pour tous les autres dossiers professionnels</w:t>
            </w:r>
          </w:p>
        </w:tc>
      </w:tr>
      <w:tr w:rsidR="004F4D62" w:rsidRPr="008A2C98" w:rsidTr="004F4D62">
        <w:trPr>
          <w:trHeight w:val="376"/>
        </w:trPr>
        <w:tc>
          <w:tcPr>
            <w:tcW w:w="15735" w:type="dxa"/>
            <w:gridSpan w:val="3"/>
            <w:shd w:val="clear" w:color="auto" w:fill="BFBFBF" w:themeFill="background1" w:themeFillShade="BF"/>
            <w:vAlign w:val="center"/>
          </w:tcPr>
          <w:p w:rsidR="004F4D62" w:rsidRPr="004F4D62" w:rsidRDefault="004F4D62" w:rsidP="004F4D62">
            <w:pPr>
              <w:contextualSpacing/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4F4D62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Les suivis</w:t>
            </w:r>
          </w:p>
        </w:tc>
      </w:tr>
      <w:tr w:rsidR="004F4D62" w:rsidRPr="008A2C98" w:rsidTr="008741B4">
        <w:trPr>
          <w:trHeight w:val="376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4F4D62" w:rsidRPr="00292319" w:rsidRDefault="004F4D62" w:rsidP="006A04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Direction des Contrôles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4F4D62" w:rsidRPr="00292319" w:rsidRDefault="004F4D62" w:rsidP="006A044D">
            <w:pPr>
              <w:pStyle w:val="wordsection1"/>
              <w:spacing w:before="0" w:beforeAutospacing="0" w:after="0" w:afterAutospacing="0"/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MAJ conformité des EER sur flux KO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4D62" w:rsidRPr="00292319" w:rsidRDefault="004F4D62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L’outil ATTIC est en cours de migration depuis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le 19 cour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ant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vers une nouvelle application qui centralisera l’ensemble des suivis relatifs aux Entrées En Relation et DRC. </w:t>
            </w:r>
            <w:r w:rsidRPr="00DF5EE3">
              <w:rPr>
                <w:rFonts w:ascii="Times New Roman" w:hAnsi="Times New Roman" w:cs="Times New Roman"/>
                <w:b/>
                <w:sz w:val="20"/>
                <w:szCs w:val="20"/>
              </w:rPr>
              <w:t>La déclaration de MAJ des EER K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 w:rsidRPr="00DF5E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sur flux ne peut donc plus être réalisée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5EE3">
              <w:rPr>
                <w:rFonts w:ascii="Times New Roman" w:hAnsi="Times New Roman" w:cs="Times New Roman"/>
                <w:b/>
                <w:sz w:val="20"/>
                <w:szCs w:val="20"/>
              </w:rPr>
              <w:t>dans l’outil ATTIC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(concerne uniquement les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DirCos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à l’Ouest des Vosges. Ce suivi n’étant pas en place, pour l’heure, sur l’Est des Vosges). </w:t>
            </w:r>
            <w:r w:rsidRPr="00FA64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 nouvelle application sera mise </w:t>
            </w:r>
            <w:r w:rsidRPr="00FA64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à disposition début décembre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permettant de déclarer la MAJ réalisée des EER sur flux KO (toutes les EER KO, sur la période du 20/11 à la mise à disposition de la nouvelle application, seront reprises automatiquement). </w:t>
            </w:r>
            <w:r w:rsidRPr="00A10E24">
              <w:rPr>
                <w:rFonts w:ascii="Times New Roman" w:hAnsi="Times New Roman" w:cs="Times New Roman"/>
                <w:b/>
                <w:sz w:val="20"/>
                <w:szCs w:val="20"/>
              </w:rPr>
              <w:t>Pour autant, toutes les agences doivent impérativement continuer à mettre à jour les DRC KO (complétude, conformité et fiabilisation du SI) faisant suite au publipostage généré par la Direction des Contrôles.</w:t>
            </w:r>
          </w:p>
        </w:tc>
      </w:tr>
      <w:tr w:rsidR="008741B4" w:rsidRPr="008A2C98" w:rsidTr="008741B4">
        <w:trPr>
          <w:trHeight w:val="376"/>
        </w:trPr>
        <w:tc>
          <w:tcPr>
            <w:tcW w:w="15735" w:type="dxa"/>
            <w:gridSpan w:val="3"/>
            <w:shd w:val="clear" w:color="auto" w:fill="BFBFBF" w:themeFill="background1" w:themeFillShade="BF"/>
            <w:vAlign w:val="center"/>
          </w:tcPr>
          <w:p w:rsidR="008741B4" w:rsidRPr="008741B4" w:rsidRDefault="008741B4" w:rsidP="008741B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41B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Communication interne</w:t>
            </w:r>
          </w:p>
        </w:tc>
      </w:tr>
      <w:tr w:rsidR="008741B4" w:rsidRPr="008A2C98" w:rsidTr="00CE798C">
        <w:trPr>
          <w:trHeight w:val="376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741B4" w:rsidRDefault="008741B4" w:rsidP="006A04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7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741B4" w:rsidRDefault="008741B4" w:rsidP="006A044D">
            <w:pPr>
              <w:pStyle w:val="wordsection1"/>
              <w:spacing w:before="0" w:beforeAutospacing="0" w:after="0" w:afterAutospacing="0"/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PLV décembre 2018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41B4" w:rsidRDefault="008741B4" w:rsidP="004F4D62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741B4">
              <w:rPr>
                <w:rFonts w:ascii="Times New Roman" w:hAnsi="Times New Roman" w:cs="Times New Roman"/>
                <w:b/>
                <w:sz w:val="20"/>
                <w:szCs w:val="20"/>
              </w:rPr>
              <w:t>Nous vous informons que la PLV du mois de décembre vous sera livrée avec un peu de retard, au plus tard début de semaine 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A votre disposition le plan PLV est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dispo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sur la Rubrique des Commerciaux / Communication Client (</w:t>
            </w:r>
            <w:hyperlink r:id="rId17" w:history="1">
              <w:r w:rsidRPr="008741B4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18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D88" w:rsidRDefault="00054D88" w:rsidP="0035465A">
      <w:pPr>
        <w:spacing w:after="0" w:line="240" w:lineRule="auto"/>
      </w:pPr>
      <w:r>
        <w:separator/>
      </w:r>
    </w:p>
  </w:endnote>
  <w:endnote w:type="continuationSeparator" w:id="0">
    <w:p w:rsidR="00054D88" w:rsidRDefault="00054D88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D88" w:rsidRDefault="00054D88" w:rsidP="0035465A">
      <w:pPr>
        <w:spacing w:after="0" w:line="240" w:lineRule="auto"/>
      </w:pPr>
      <w:r>
        <w:separator/>
      </w:r>
    </w:p>
  </w:footnote>
  <w:footnote w:type="continuationSeparator" w:id="0">
    <w:p w:rsidR="00054D88" w:rsidRDefault="00054D88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572"/>
    <w:multiLevelType w:val="hybridMultilevel"/>
    <w:tmpl w:val="3C48E256"/>
    <w:lvl w:ilvl="0" w:tplc="857C70B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3454C2">
      <w:start w:val="589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0449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9272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669F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422D2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E080B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B4B2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CC116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38B0CA2"/>
    <w:multiLevelType w:val="hybridMultilevel"/>
    <w:tmpl w:val="A1B64892"/>
    <w:lvl w:ilvl="0" w:tplc="7C64ABC8">
      <w:start w:val="1"/>
      <w:numFmt w:val="bullet"/>
      <w:lvlText w:val="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C878242E" w:tentative="1">
      <w:start w:val="1"/>
      <w:numFmt w:val="bullet"/>
      <w:lvlText w:val="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2" w:tplc="66B83DCE" w:tentative="1">
      <w:start w:val="1"/>
      <w:numFmt w:val="bullet"/>
      <w:lvlText w:val="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7D56D748" w:tentative="1">
      <w:start w:val="1"/>
      <w:numFmt w:val="bullet"/>
      <w:lvlText w:val="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4" w:tplc="A184B07C" w:tentative="1">
      <w:start w:val="1"/>
      <w:numFmt w:val="bullet"/>
      <w:lvlText w:val="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5" w:tplc="28FA7314" w:tentative="1">
      <w:start w:val="1"/>
      <w:numFmt w:val="bullet"/>
      <w:lvlText w:val="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265C25B4" w:tentative="1">
      <w:start w:val="1"/>
      <w:numFmt w:val="bullet"/>
      <w:lvlText w:val="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7" w:tplc="C91851A8" w:tentative="1">
      <w:start w:val="1"/>
      <w:numFmt w:val="bullet"/>
      <w:lvlText w:val="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  <w:lvl w:ilvl="8" w:tplc="02B8C58E" w:tentative="1">
      <w:start w:val="1"/>
      <w:numFmt w:val="bullet"/>
      <w:lvlText w:val="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870509"/>
    <w:multiLevelType w:val="hybridMultilevel"/>
    <w:tmpl w:val="C8B68CA8"/>
    <w:lvl w:ilvl="0" w:tplc="8A5C7C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A4C22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A2B3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86C5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B45C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E003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CC3B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4A25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164E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F6D0500"/>
    <w:multiLevelType w:val="hybridMultilevel"/>
    <w:tmpl w:val="20745032"/>
    <w:lvl w:ilvl="0" w:tplc="F4B2E66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94AC0FA8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E6FAA906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F58215C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68AACE5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9448FBF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9A4E1DF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0E80690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3D6CCB1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C02B43"/>
    <w:multiLevelType w:val="hybridMultilevel"/>
    <w:tmpl w:val="D7C06D84"/>
    <w:lvl w:ilvl="0" w:tplc="CB089960">
      <w:start w:val="1"/>
      <w:numFmt w:val="bullet"/>
      <w:lvlText w:val="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E68824" w:tentative="1">
      <w:start w:val="1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78DD46" w:tentative="1">
      <w:start w:val="1"/>
      <w:numFmt w:val="bullet"/>
      <w:lvlText w:val="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B6B538" w:tentative="1">
      <w:start w:val="1"/>
      <w:numFmt w:val="bullet"/>
      <w:lvlText w:val="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A6335A" w:tentative="1">
      <w:start w:val="1"/>
      <w:numFmt w:val="bullet"/>
      <w:lvlText w:val="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4A988C" w:tentative="1">
      <w:start w:val="1"/>
      <w:numFmt w:val="bullet"/>
      <w:lvlText w:val="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86AD48" w:tentative="1">
      <w:start w:val="1"/>
      <w:numFmt w:val="bullet"/>
      <w:lvlText w:val="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0E9654" w:tentative="1">
      <w:start w:val="1"/>
      <w:numFmt w:val="bullet"/>
      <w:lvlText w:val="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88B58A" w:tentative="1">
      <w:start w:val="1"/>
      <w:numFmt w:val="bullet"/>
      <w:lvlText w:val="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7">
    <w:nsid w:val="18791D3A"/>
    <w:multiLevelType w:val="hybridMultilevel"/>
    <w:tmpl w:val="F08E1BA4"/>
    <w:lvl w:ilvl="0" w:tplc="E9BA1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16B0F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3E5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32F2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840B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7833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70FB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C016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0C94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88F669A"/>
    <w:multiLevelType w:val="hybridMultilevel"/>
    <w:tmpl w:val="EF704A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5730C1"/>
    <w:multiLevelType w:val="hybridMultilevel"/>
    <w:tmpl w:val="4AFAADE8"/>
    <w:lvl w:ilvl="0" w:tplc="3064B38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5ABD2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30BE5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DEE9D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F2AE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C0A1C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7EF1E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EA05A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1226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E9E58C6"/>
    <w:multiLevelType w:val="hybridMultilevel"/>
    <w:tmpl w:val="B53E9B04"/>
    <w:lvl w:ilvl="0" w:tplc="4B08EA72">
      <w:numFmt w:val="bullet"/>
      <w:lvlText w:val=""/>
      <w:lvlJc w:val="left"/>
      <w:pPr>
        <w:ind w:left="1267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2">
    <w:nsid w:val="1F9C58D8"/>
    <w:multiLevelType w:val="hybridMultilevel"/>
    <w:tmpl w:val="62A277C0"/>
    <w:lvl w:ilvl="0" w:tplc="040C000B">
      <w:start w:val="1"/>
      <w:numFmt w:val="bullet"/>
      <w:lvlText w:val=""/>
      <w:lvlJc w:val="left"/>
      <w:pPr>
        <w:ind w:left="89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3">
    <w:nsid w:val="23930240"/>
    <w:multiLevelType w:val="hybridMultilevel"/>
    <w:tmpl w:val="04C40F00"/>
    <w:lvl w:ilvl="0" w:tplc="E71831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DA704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D2119C">
      <w:start w:val="2060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96C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70E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2E3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60B9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6C17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3429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4D66212"/>
    <w:multiLevelType w:val="hybridMultilevel"/>
    <w:tmpl w:val="4C8E72EE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7B5ABD2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30BE5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DEE9D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F2AE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C0A1C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7EF1E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EA05A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1226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53A5893"/>
    <w:multiLevelType w:val="hybridMultilevel"/>
    <w:tmpl w:val="17CC2B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204050"/>
    <w:multiLevelType w:val="hybridMultilevel"/>
    <w:tmpl w:val="15F0DE60"/>
    <w:lvl w:ilvl="0" w:tplc="A03EEB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B4E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72DA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707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B4E9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864A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9EE6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18A6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3E59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D6C332D"/>
    <w:multiLevelType w:val="hybridMultilevel"/>
    <w:tmpl w:val="0130E652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8">
    <w:nsid w:val="2E885E54"/>
    <w:multiLevelType w:val="hybridMultilevel"/>
    <w:tmpl w:val="149E3EA0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EECD6A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DC79E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D8B6C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688E8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9659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E46D4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D2BC5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92B7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D8447E"/>
    <w:multiLevelType w:val="hybridMultilevel"/>
    <w:tmpl w:val="C55A9998"/>
    <w:lvl w:ilvl="0" w:tplc="07BC24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A0F0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AE59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82E7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72EF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EEAE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5E2D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2EDE4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2C1E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753796"/>
    <w:multiLevelType w:val="hybridMultilevel"/>
    <w:tmpl w:val="5810D278"/>
    <w:lvl w:ilvl="0" w:tplc="E54A09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22D5A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44695C">
      <w:start w:val="60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06E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720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B76A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E0E4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803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9E6D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3BAC0160"/>
    <w:multiLevelType w:val="hybridMultilevel"/>
    <w:tmpl w:val="0F64E450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3">
    <w:nsid w:val="44221E06"/>
    <w:multiLevelType w:val="hybridMultilevel"/>
    <w:tmpl w:val="0426A3D4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4">
    <w:nsid w:val="44466902"/>
    <w:multiLevelType w:val="hybridMultilevel"/>
    <w:tmpl w:val="5C602DA6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DFC4115C" w:tentative="1">
      <w:start w:val="1"/>
      <w:numFmt w:val="bullet"/>
      <w:lvlText w:val="&gt;"/>
      <w:lvlJc w:val="left"/>
      <w:pPr>
        <w:tabs>
          <w:tab w:val="num" w:pos="1440"/>
        </w:tabs>
        <w:ind w:left="1440" w:hanging="360"/>
      </w:pPr>
      <w:rPr>
        <w:rFonts w:ascii="Britannic Bold" w:hAnsi="Britannic Bold" w:hint="default"/>
      </w:rPr>
    </w:lvl>
    <w:lvl w:ilvl="2" w:tplc="39C6D1EA" w:tentative="1">
      <w:start w:val="1"/>
      <w:numFmt w:val="bullet"/>
      <w:lvlText w:val="&gt;"/>
      <w:lvlJc w:val="left"/>
      <w:pPr>
        <w:tabs>
          <w:tab w:val="num" w:pos="2160"/>
        </w:tabs>
        <w:ind w:left="2160" w:hanging="360"/>
      </w:pPr>
      <w:rPr>
        <w:rFonts w:ascii="Britannic Bold" w:hAnsi="Britannic Bold" w:hint="default"/>
      </w:rPr>
    </w:lvl>
    <w:lvl w:ilvl="3" w:tplc="9402BA30" w:tentative="1">
      <w:start w:val="1"/>
      <w:numFmt w:val="bullet"/>
      <w:lvlText w:val="&gt;"/>
      <w:lvlJc w:val="left"/>
      <w:pPr>
        <w:tabs>
          <w:tab w:val="num" w:pos="2880"/>
        </w:tabs>
        <w:ind w:left="2880" w:hanging="360"/>
      </w:pPr>
      <w:rPr>
        <w:rFonts w:ascii="Britannic Bold" w:hAnsi="Britannic Bold" w:hint="default"/>
      </w:rPr>
    </w:lvl>
    <w:lvl w:ilvl="4" w:tplc="66E00D96" w:tentative="1">
      <w:start w:val="1"/>
      <w:numFmt w:val="bullet"/>
      <w:lvlText w:val="&gt;"/>
      <w:lvlJc w:val="left"/>
      <w:pPr>
        <w:tabs>
          <w:tab w:val="num" w:pos="3600"/>
        </w:tabs>
        <w:ind w:left="3600" w:hanging="360"/>
      </w:pPr>
      <w:rPr>
        <w:rFonts w:ascii="Britannic Bold" w:hAnsi="Britannic Bold" w:hint="default"/>
      </w:rPr>
    </w:lvl>
    <w:lvl w:ilvl="5" w:tplc="A6AA7220" w:tentative="1">
      <w:start w:val="1"/>
      <w:numFmt w:val="bullet"/>
      <w:lvlText w:val="&gt;"/>
      <w:lvlJc w:val="left"/>
      <w:pPr>
        <w:tabs>
          <w:tab w:val="num" w:pos="4320"/>
        </w:tabs>
        <w:ind w:left="4320" w:hanging="360"/>
      </w:pPr>
      <w:rPr>
        <w:rFonts w:ascii="Britannic Bold" w:hAnsi="Britannic Bold" w:hint="default"/>
      </w:rPr>
    </w:lvl>
    <w:lvl w:ilvl="6" w:tplc="D682C1AC" w:tentative="1">
      <w:start w:val="1"/>
      <w:numFmt w:val="bullet"/>
      <w:lvlText w:val="&gt;"/>
      <w:lvlJc w:val="left"/>
      <w:pPr>
        <w:tabs>
          <w:tab w:val="num" w:pos="5040"/>
        </w:tabs>
        <w:ind w:left="5040" w:hanging="360"/>
      </w:pPr>
      <w:rPr>
        <w:rFonts w:ascii="Britannic Bold" w:hAnsi="Britannic Bold" w:hint="default"/>
      </w:rPr>
    </w:lvl>
    <w:lvl w:ilvl="7" w:tplc="6E7854C8" w:tentative="1">
      <w:start w:val="1"/>
      <w:numFmt w:val="bullet"/>
      <w:lvlText w:val="&gt;"/>
      <w:lvlJc w:val="left"/>
      <w:pPr>
        <w:tabs>
          <w:tab w:val="num" w:pos="5760"/>
        </w:tabs>
        <w:ind w:left="5760" w:hanging="360"/>
      </w:pPr>
      <w:rPr>
        <w:rFonts w:ascii="Britannic Bold" w:hAnsi="Britannic Bold" w:hint="default"/>
      </w:rPr>
    </w:lvl>
    <w:lvl w:ilvl="8" w:tplc="E5580102" w:tentative="1">
      <w:start w:val="1"/>
      <w:numFmt w:val="bullet"/>
      <w:lvlText w:val="&gt;"/>
      <w:lvlJc w:val="left"/>
      <w:pPr>
        <w:tabs>
          <w:tab w:val="num" w:pos="6480"/>
        </w:tabs>
        <w:ind w:left="6480" w:hanging="360"/>
      </w:pPr>
      <w:rPr>
        <w:rFonts w:ascii="Britannic Bold" w:hAnsi="Britannic Bold" w:hint="default"/>
      </w:rPr>
    </w:lvl>
  </w:abstractNum>
  <w:abstractNum w:abstractNumId="25">
    <w:nsid w:val="4B4A1622"/>
    <w:multiLevelType w:val="hybridMultilevel"/>
    <w:tmpl w:val="B066B91A"/>
    <w:lvl w:ilvl="0" w:tplc="893A0F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5066A8">
      <w:start w:val="165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465A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5C17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BCD9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4442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4A0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B6D5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52A8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C940771"/>
    <w:multiLevelType w:val="hybridMultilevel"/>
    <w:tmpl w:val="D8C24376"/>
    <w:lvl w:ilvl="0" w:tplc="F75C1C94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1E763A0"/>
    <w:multiLevelType w:val="hybridMultilevel"/>
    <w:tmpl w:val="61DEDC1C"/>
    <w:lvl w:ilvl="0" w:tplc="9B8861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FA74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5CA63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24A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523D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109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E24A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701D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3E8B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56F24BF2"/>
    <w:multiLevelType w:val="hybridMultilevel"/>
    <w:tmpl w:val="A0B83D18"/>
    <w:lvl w:ilvl="0" w:tplc="E7428F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5C1C94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F01862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6246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03A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62D72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36D9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8A6AB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F29D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BE071EA"/>
    <w:multiLevelType w:val="hybridMultilevel"/>
    <w:tmpl w:val="F5E4E764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75C1C94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F01862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6246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03A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62D72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36D9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8A6AB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F29D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F63361D"/>
    <w:multiLevelType w:val="hybridMultilevel"/>
    <w:tmpl w:val="6E16BA20"/>
    <w:lvl w:ilvl="0" w:tplc="14DCB2E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ECD6A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DC79E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D8B6C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688E8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9659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E46D4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D2BC5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92B7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7B83EF6"/>
    <w:multiLevelType w:val="hybridMultilevel"/>
    <w:tmpl w:val="305A6646"/>
    <w:lvl w:ilvl="0" w:tplc="FB942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AE91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A20A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A857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C050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5282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DC8D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8C18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C6C9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6F8D3DDF"/>
    <w:multiLevelType w:val="hybridMultilevel"/>
    <w:tmpl w:val="BDC47CB6"/>
    <w:lvl w:ilvl="0" w:tplc="F75C1C94">
      <w:start w:val="1"/>
      <w:numFmt w:val="bullet"/>
      <w:lvlText w:val="−"/>
      <w:lvlJc w:val="left"/>
      <w:pPr>
        <w:ind w:left="547" w:hanging="360"/>
      </w:pPr>
      <w:rPr>
        <w:rFonts w:ascii="Times New Roman" w:hAnsi="Times New Roman" w:cs="Times New Roman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33">
    <w:nsid w:val="745816F9"/>
    <w:multiLevelType w:val="hybridMultilevel"/>
    <w:tmpl w:val="E28EE6F6"/>
    <w:lvl w:ilvl="0" w:tplc="1A489F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44C11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5A53E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A07F3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187A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5C0A4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3E81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3045C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8E43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BF37C24"/>
    <w:multiLevelType w:val="hybridMultilevel"/>
    <w:tmpl w:val="8D684A52"/>
    <w:lvl w:ilvl="0" w:tplc="C1E26F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7845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8669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B806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7C5D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8887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8EFE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06A7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2E6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7CCA123C"/>
    <w:multiLevelType w:val="hybridMultilevel"/>
    <w:tmpl w:val="8ACAF208"/>
    <w:lvl w:ilvl="0" w:tplc="A05C5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7AB306">
      <w:start w:val="131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464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A28C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C62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022B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78C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6E75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2A7E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0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"/>
  </w:num>
  <w:num w:numId="5">
    <w:abstractNumId w:val="22"/>
  </w:num>
  <w:num w:numId="6">
    <w:abstractNumId w:val="15"/>
  </w:num>
  <w:num w:numId="7">
    <w:abstractNumId w:val="33"/>
  </w:num>
  <w:num w:numId="8">
    <w:abstractNumId w:val="19"/>
  </w:num>
  <w:num w:numId="9">
    <w:abstractNumId w:val="4"/>
  </w:num>
  <w:num w:numId="10">
    <w:abstractNumId w:val="8"/>
  </w:num>
  <w:num w:numId="11">
    <w:abstractNumId w:val="1"/>
  </w:num>
  <w:num w:numId="12">
    <w:abstractNumId w:val="22"/>
  </w:num>
  <w:num w:numId="13">
    <w:abstractNumId w:val="25"/>
  </w:num>
  <w:num w:numId="14">
    <w:abstractNumId w:val="32"/>
  </w:num>
  <w:num w:numId="15">
    <w:abstractNumId w:val="23"/>
  </w:num>
  <w:num w:numId="16">
    <w:abstractNumId w:val="7"/>
  </w:num>
  <w:num w:numId="17">
    <w:abstractNumId w:val="27"/>
  </w:num>
  <w:num w:numId="18">
    <w:abstractNumId w:val="11"/>
  </w:num>
  <w:num w:numId="19">
    <w:abstractNumId w:val="13"/>
  </w:num>
  <w:num w:numId="20">
    <w:abstractNumId w:val="21"/>
  </w:num>
  <w:num w:numId="21">
    <w:abstractNumId w:val="16"/>
  </w:num>
  <w:num w:numId="22">
    <w:abstractNumId w:val="35"/>
  </w:num>
  <w:num w:numId="23">
    <w:abstractNumId w:val="0"/>
  </w:num>
  <w:num w:numId="24">
    <w:abstractNumId w:val="5"/>
  </w:num>
  <w:num w:numId="25">
    <w:abstractNumId w:val="3"/>
  </w:num>
  <w:num w:numId="26">
    <w:abstractNumId w:val="31"/>
  </w:num>
  <w:num w:numId="27">
    <w:abstractNumId w:val="34"/>
  </w:num>
  <w:num w:numId="28">
    <w:abstractNumId w:val="12"/>
  </w:num>
  <w:num w:numId="29">
    <w:abstractNumId w:val="17"/>
  </w:num>
  <w:num w:numId="30">
    <w:abstractNumId w:val="26"/>
  </w:num>
  <w:num w:numId="31">
    <w:abstractNumId w:val="30"/>
  </w:num>
  <w:num w:numId="32">
    <w:abstractNumId w:val="10"/>
  </w:num>
  <w:num w:numId="33">
    <w:abstractNumId w:val="24"/>
  </w:num>
  <w:num w:numId="34">
    <w:abstractNumId w:val="28"/>
  </w:num>
  <w:num w:numId="35">
    <w:abstractNumId w:val="14"/>
  </w:num>
  <w:num w:numId="36">
    <w:abstractNumId w:val="29"/>
  </w:num>
  <w:num w:numId="37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07E29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3D5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1B"/>
    <w:rsid w:val="000338B6"/>
    <w:rsid w:val="0003432F"/>
    <w:rsid w:val="000346E4"/>
    <w:rsid w:val="000348A8"/>
    <w:rsid w:val="00034A91"/>
    <w:rsid w:val="00035187"/>
    <w:rsid w:val="00035237"/>
    <w:rsid w:val="000354BE"/>
    <w:rsid w:val="00035733"/>
    <w:rsid w:val="00035BB4"/>
    <w:rsid w:val="00036420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363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4D88"/>
    <w:rsid w:val="0005503E"/>
    <w:rsid w:val="000555CA"/>
    <w:rsid w:val="00055AF9"/>
    <w:rsid w:val="000562E5"/>
    <w:rsid w:val="00056A0C"/>
    <w:rsid w:val="000572E6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52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021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B76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1AD6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5FEB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0FA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89E"/>
    <w:rsid w:val="00163C5C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687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C7B43"/>
    <w:rsid w:val="001D02B5"/>
    <w:rsid w:val="001D0328"/>
    <w:rsid w:val="001D03BD"/>
    <w:rsid w:val="001D0707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6ABC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AF5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03"/>
    <w:rsid w:val="00225A89"/>
    <w:rsid w:val="00225FED"/>
    <w:rsid w:val="00226343"/>
    <w:rsid w:val="002265ED"/>
    <w:rsid w:val="00227070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1E45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7BE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1C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4E27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5AE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970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752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41F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C9"/>
    <w:rsid w:val="003A1ADE"/>
    <w:rsid w:val="003A312D"/>
    <w:rsid w:val="003A37E4"/>
    <w:rsid w:val="003A4383"/>
    <w:rsid w:val="003A4A1A"/>
    <w:rsid w:val="003A4E7F"/>
    <w:rsid w:val="003A4FD5"/>
    <w:rsid w:val="003A5157"/>
    <w:rsid w:val="003A5B85"/>
    <w:rsid w:val="003A657B"/>
    <w:rsid w:val="003A6804"/>
    <w:rsid w:val="003A7106"/>
    <w:rsid w:val="003A728B"/>
    <w:rsid w:val="003A75FB"/>
    <w:rsid w:val="003B12D1"/>
    <w:rsid w:val="003B14EB"/>
    <w:rsid w:val="003B1FFE"/>
    <w:rsid w:val="003B21C9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003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802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AC9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6BE9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1C97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3D8B"/>
    <w:rsid w:val="00493FD5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5C66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666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4508"/>
    <w:rsid w:val="004C4C7C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370"/>
    <w:rsid w:val="004F28E0"/>
    <w:rsid w:val="004F35E7"/>
    <w:rsid w:val="004F3C8A"/>
    <w:rsid w:val="004F4377"/>
    <w:rsid w:val="004F487D"/>
    <w:rsid w:val="004F49EE"/>
    <w:rsid w:val="004F4D62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974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34E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2F3A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BC2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87E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49BA"/>
    <w:rsid w:val="005855C5"/>
    <w:rsid w:val="00585F87"/>
    <w:rsid w:val="00586053"/>
    <w:rsid w:val="00586A7E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4C78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324"/>
    <w:rsid w:val="005B2A0A"/>
    <w:rsid w:val="005B2FC9"/>
    <w:rsid w:val="005B3E84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2EB8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3E22"/>
    <w:rsid w:val="00613F47"/>
    <w:rsid w:val="006140E5"/>
    <w:rsid w:val="006145EC"/>
    <w:rsid w:val="0061538D"/>
    <w:rsid w:val="00616B4E"/>
    <w:rsid w:val="0062067D"/>
    <w:rsid w:val="00620C4E"/>
    <w:rsid w:val="00620F48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9D1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775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B779D"/>
    <w:rsid w:val="006C02A9"/>
    <w:rsid w:val="006C0344"/>
    <w:rsid w:val="006C21CE"/>
    <w:rsid w:val="006C2292"/>
    <w:rsid w:val="006C2515"/>
    <w:rsid w:val="006C253F"/>
    <w:rsid w:val="006C25EA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01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57C05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6D4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3A0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75E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DB6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222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CA7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3B2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3FC0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2EC1"/>
    <w:rsid w:val="0087368F"/>
    <w:rsid w:val="008737E8"/>
    <w:rsid w:val="00873F11"/>
    <w:rsid w:val="008741B4"/>
    <w:rsid w:val="00874FF5"/>
    <w:rsid w:val="00875102"/>
    <w:rsid w:val="00875323"/>
    <w:rsid w:val="00875800"/>
    <w:rsid w:val="00875814"/>
    <w:rsid w:val="008758E9"/>
    <w:rsid w:val="00876927"/>
    <w:rsid w:val="00876DF2"/>
    <w:rsid w:val="00876E78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917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E7E18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B2D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2FC9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366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378F"/>
    <w:rsid w:val="00A0491C"/>
    <w:rsid w:val="00A05AC5"/>
    <w:rsid w:val="00A05CFC"/>
    <w:rsid w:val="00A05DB9"/>
    <w:rsid w:val="00A060D3"/>
    <w:rsid w:val="00A0682A"/>
    <w:rsid w:val="00A06972"/>
    <w:rsid w:val="00A0729F"/>
    <w:rsid w:val="00A07A7A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513"/>
    <w:rsid w:val="00A2574B"/>
    <w:rsid w:val="00A267E9"/>
    <w:rsid w:val="00A27BAE"/>
    <w:rsid w:val="00A27F5C"/>
    <w:rsid w:val="00A30270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78A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2D21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1319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78F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0FDA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0DAD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56E4"/>
    <w:rsid w:val="00B2652F"/>
    <w:rsid w:val="00B265D0"/>
    <w:rsid w:val="00B266E1"/>
    <w:rsid w:val="00B26E18"/>
    <w:rsid w:val="00B26EA4"/>
    <w:rsid w:val="00B27C03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45"/>
    <w:rsid w:val="00B433F9"/>
    <w:rsid w:val="00B4400D"/>
    <w:rsid w:val="00B4475F"/>
    <w:rsid w:val="00B44953"/>
    <w:rsid w:val="00B4519E"/>
    <w:rsid w:val="00B458BF"/>
    <w:rsid w:val="00B458FA"/>
    <w:rsid w:val="00B45D99"/>
    <w:rsid w:val="00B46099"/>
    <w:rsid w:val="00B4615D"/>
    <w:rsid w:val="00B4635F"/>
    <w:rsid w:val="00B46710"/>
    <w:rsid w:val="00B46731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39F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5E79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31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C7DD3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5D69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0B7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523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453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1A4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6E4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52FE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667"/>
    <w:rsid w:val="00D53B4E"/>
    <w:rsid w:val="00D540CE"/>
    <w:rsid w:val="00D54229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2F8B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97A40"/>
    <w:rsid w:val="00DA032C"/>
    <w:rsid w:val="00DA039A"/>
    <w:rsid w:val="00DA09CE"/>
    <w:rsid w:val="00DA156E"/>
    <w:rsid w:val="00DA1D5C"/>
    <w:rsid w:val="00DA1EF5"/>
    <w:rsid w:val="00DA21AC"/>
    <w:rsid w:val="00DA2A09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AEA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5C99"/>
    <w:rsid w:val="00DD62C0"/>
    <w:rsid w:val="00DD6560"/>
    <w:rsid w:val="00DD680D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BD5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5ED3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696C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479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1DE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B7D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2E44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C5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ADC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3A6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051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58F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286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57F0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093"/>
    <w:rsid w:val="00F85237"/>
    <w:rsid w:val="00F855A6"/>
    <w:rsid w:val="00F864AD"/>
    <w:rsid w:val="00F8730B"/>
    <w:rsid w:val="00F87A07"/>
    <w:rsid w:val="00F87D8E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2C6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2BCA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1FE8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53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69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09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5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1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80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675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50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36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3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38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85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1557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2119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302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52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700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809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73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71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15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56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82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6659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14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727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785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03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53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9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65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628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501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887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001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699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1827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73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6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6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4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caisse-epargne.fr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caisse-epargne.fr/" TargetMode="External"/><Relationship Id="rId17" Type="http://schemas.openxmlformats.org/officeDocument/2006/relationships/hyperlink" Target="http://commerciaux.celca.caisse-epargne.fr/download/1152/le-plan-plv/8865/plan-plv-septembre-cegee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commerciaux.celca.caisse-epargne.fr/download/1185/assurance-auto/10850/celca_listing_contrats-provisoires_auto_prv.xlsx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mmerciaux.celca.caisse-epargne.fr/download/267/pel-en-non-respect/11112/pel-potentiellement-en-non-respect-du-2711-au-21122018.xlsx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ce-gee.fr/ce-qui-evolue-pour/mon-metier-au-quotidien/changement-de-libelle-d-od-sur-la-fiducie" TargetMode="External"/><Relationship Id="rId10" Type="http://schemas.openxmlformats.org/officeDocument/2006/relationships/hyperlink" Target="http://commerciaux.celca.caisse-epargne.fr/download/1529/helios-janvier-2029/10966/suivi-helios-par-agences.xls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commerciaux.celca.caisse-epargne.fr/download/198/bancarisation/11149/avenant-convention-de-compte-et-cg-cartes-particuliers-2019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579FA-6116-4A23-A1C6-6CDA31082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929</TotalTime>
  <Pages>1</Pages>
  <Words>1088</Words>
  <Characters>5984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7058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31</cp:revision>
  <cp:lastPrinted>2018-10-26T12:32:00Z</cp:lastPrinted>
  <dcterms:created xsi:type="dcterms:W3CDTF">2018-10-19T13:31:00Z</dcterms:created>
  <dcterms:modified xsi:type="dcterms:W3CDTF">2018-11-23T14:35:00Z</dcterms:modified>
</cp:coreProperties>
</file>