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3D2003" w:rsidP="003D2003">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sidR="00F90648">
              <w:rPr>
                <w:rFonts w:ascii="Times New Roman" w:hAnsi="Times New Roman" w:cs="Times New Roman"/>
                <w:b/>
                <w:sz w:val="32"/>
                <w:szCs w:val="40"/>
              </w:rPr>
              <w:t xml:space="preserve"> </w:t>
            </w:r>
            <w:r w:rsidR="00B6235F">
              <w:rPr>
                <w:rFonts w:ascii="Times New Roman" w:hAnsi="Times New Roman" w:cs="Times New Roman"/>
                <w:b/>
                <w:sz w:val="32"/>
                <w:szCs w:val="40"/>
              </w:rPr>
              <w:t>DES</w:t>
            </w:r>
            <w:r w:rsidR="00F90648">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ED2E44">
              <w:rPr>
                <w:rFonts w:ascii="Times New Roman" w:hAnsi="Times New Roman" w:cs="Times New Roman"/>
                <w:b/>
                <w:sz w:val="32"/>
                <w:szCs w:val="40"/>
              </w:rPr>
              <w:t>4</w:t>
            </w:r>
            <w:r w:rsidR="00203A9B">
              <w:rPr>
                <w:rFonts w:ascii="Times New Roman" w:hAnsi="Times New Roman" w:cs="Times New Roman"/>
                <w:b/>
                <w:sz w:val="32"/>
                <w:szCs w:val="40"/>
              </w:rPr>
              <w:t>9</w:t>
            </w:r>
            <w:r w:rsidR="00D82F8B">
              <w:rPr>
                <w:rFonts w:ascii="Times New Roman" w:hAnsi="Times New Roman" w:cs="Times New Roman"/>
                <w:b/>
                <w:sz w:val="32"/>
                <w:szCs w:val="40"/>
              </w:rPr>
              <w:t xml:space="preserve"> </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B332E2">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B332E2" w:rsidRPr="008A2C98" w:rsidTr="00B332E2">
        <w:trPr>
          <w:trHeight w:val="427"/>
        </w:trPr>
        <w:tc>
          <w:tcPr>
            <w:tcW w:w="15735" w:type="dxa"/>
            <w:gridSpan w:val="3"/>
            <w:tcBorders>
              <w:bottom w:val="single" w:sz="4" w:space="0" w:color="auto"/>
            </w:tcBorders>
            <w:shd w:val="clear" w:color="auto" w:fill="31849B" w:themeFill="accent5" w:themeFillShade="BF"/>
            <w:vAlign w:val="center"/>
          </w:tcPr>
          <w:p w:rsidR="00B332E2" w:rsidRPr="008A2C98" w:rsidRDefault="00B332E2" w:rsidP="00F5215E">
            <w:pPr>
              <w:jc w:val="center"/>
              <w:rPr>
                <w:rFonts w:ascii="Times New Roman" w:hAnsi="Times New Roman" w:cs="Times New Roman"/>
                <w:b/>
                <w:sz w:val="20"/>
                <w:szCs w:val="20"/>
              </w:rPr>
            </w:pPr>
            <w:r w:rsidRPr="00B332E2">
              <w:rPr>
                <w:rFonts w:ascii="Times New Roman" w:hAnsi="Times New Roman" w:cs="Times New Roman"/>
                <w:b/>
                <w:color w:val="FFFFFF" w:themeColor="background1"/>
                <w:sz w:val="20"/>
                <w:szCs w:val="20"/>
              </w:rPr>
              <w:t>POUR ACTION</w:t>
            </w:r>
          </w:p>
        </w:tc>
      </w:tr>
      <w:tr w:rsidR="00B332E2" w:rsidRPr="008A2C98" w:rsidTr="00B332E2">
        <w:trPr>
          <w:trHeight w:val="264"/>
        </w:trPr>
        <w:tc>
          <w:tcPr>
            <w:tcW w:w="15735" w:type="dxa"/>
            <w:gridSpan w:val="3"/>
            <w:tcBorders>
              <w:bottom w:val="single" w:sz="4" w:space="0" w:color="auto"/>
            </w:tcBorders>
            <w:shd w:val="clear" w:color="auto" w:fill="BFBFBF" w:themeFill="background1" w:themeFillShade="BF"/>
            <w:vAlign w:val="center"/>
          </w:tcPr>
          <w:p w:rsidR="00B332E2" w:rsidRPr="008A2C98" w:rsidRDefault="00B332E2" w:rsidP="00F5215E">
            <w:pPr>
              <w:jc w:val="center"/>
              <w:rPr>
                <w:rFonts w:ascii="Times New Roman" w:hAnsi="Times New Roman" w:cs="Times New Roman"/>
                <w:b/>
                <w:sz w:val="20"/>
                <w:szCs w:val="20"/>
              </w:rPr>
            </w:pPr>
            <w:r>
              <w:rPr>
                <w:rFonts w:ascii="Times New Roman" w:hAnsi="Times New Roman" w:cs="Times New Roman"/>
                <w:b/>
                <w:sz w:val="20"/>
                <w:szCs w:val="20"/>
              </w:rPr>
              <w:t xml:space="preserve">Epargne </w:t>
            </w:r>
          </w:p>
        </w:tc>
      </w:tr>
      <w:tr w:rsidR="00B332E2" w:rsidRPr="008A2C98" w:rsidTr="00586F09">
        <w:trPr>
          <w:trHeight w:val="559"/>
        </w:trPr>
        <w:tc>
          <w:tcPr>
            <w:tcW w:w="1560" w:type="dxa"/>
            <w:tcBorders>
              <w:bottom w:val="single" w:sz="4" w:space="0" w:color="auto"/>
            </w:tcBorders>
            <w:shd w:val="clear" w:color="auto" w:fill="auto"/>
          </w:tcPr>
          <w:p w:rsidR="00B332E2" w:rsidRPr="00E154FF" w:rsidRDefault="00B332E2" w:rsidP="00E505FE">
            <w:pPr>
              <w:rPr>
                <w:rFonts w:ascii="Times New Roman" w:hAnsi="Times New Roman" w:cs="Times New Roman"/>
                <w:b/>
                <w:bCs/>
                <w:color w:val="000000"/>
                <w:sz w:val="20"/>
                <w:szCs w:val="20"/>
              </w:rPr>
            </w:pPr>
            <w:r w:rsidRPr="00E154F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B332E2" w:rsidRPr="00BC65AA" w:rsidRDefault="00B332E2" w:rsidP="00E505FE">
            <w:pPr>
              <w:pStyle w:val="wordsection1"/>
              <w:rPr>
                <w:b/>
                <w:bCs/>
                <w:sz w:val="20"/>
                <w:szCs w:val="20"/>
              </w:rPr>
            </w:pPr>
            <w:r w:rsidRPr="00BC65AA">
              <w:rPr>
                <w:b/>
                <w:bCs/>
                <w:color w:val="000000"/>
                <w:sz w:val="20"/>
                <w:szCs w:val="20"/>
              </w:rPr>
              <w:t>PEL non-respect</w:t>
            </w:r>
          </w:p>
        </w:tc>
        <w:tc>
          <w:tcPr>
            <w:tcW w:w="12332" w:type="dxa"/>
            <w:tcBorders>
              <w:bottom w:val="single" w:sz="4" w:space="0" w:color="auto"/>
            </w:tcBorders>
            <w:shd w:val="clear" w:color="auto" w:fill="auto"/>
          </w:tcPr>
          <w:p w:rsidR="00B332E2" w:rsidRPr="00BC65AA" w:rsidRDefault="00D7721F" w:rsidP="00E505FE">
            <w:pPr>
              <w:numPr>
                <w:ilvl w:val="0"/>
                <w:numId w:val="5"/>
              </w:numPr>
              <w:tabs>
                <w:tab w:val="num" w:pos="720"/>
              </w:tabs>
              <w:ind w:left="176" w:hanging="176"/>
              <w:contextualSpacing/>
              <w:jc w:val="both"/>
              <w:rPr>
                <w:rFonts w:ascii="Times New Roman" w:hAnsi="Times New Roman" w:cs="Times New Roman"/>
                <w:sz w:val="20"/>
                <w:szCs w:val="20"/>
              </w:rPr>
            </w:pPr>
            <w:hyperlink r:id="rId9" w:history="1">
              <w:r w:rsidR="00B332E2" w:rsidRPr="00BC65AA">
                <w:rPr>
                  <w:rStyle w:val="Lienhypertexte"/>
                  <w:rFonts w:ascii="Times New Roman" w:hAnsi="Times New Roman" w:cs="Times New Roman"/>
                  <w:sz w:val="20"/>
                  <w:szCs w:val="20"/>
                  <w:lang w:eastAsia="fr-FR"/>
                </w:rPr>
                <w:t>CLIQUEZ ICI</w:t>
              </w:r>
            </w:hyperlink>
            <w:r w:rsidR="00B332E2" w:rsidRPr="00BC65AA">
              <w:rPr>
                <w:rFonts w:ascii="Times New Roman" w:hAnsi="Times New Roman" w:cs="Times New Roman"/>
                <w:color w:val="000000"/>
                <w:sz w:val="20"/>
                <w:szCs w:val="20"/>
                <w:lang w:eastAsia="fr-FR"/>
              </w:rPr>
              <w:t xml:space="preserve"> </w:t>
            </w:r>
            <w:r w:rsidR="00B332E2" w:rsidRPr="00BC65AA">
              <w:rPr>
                <w:rFonts w:ascii="Times New Roman" w:hAnsi="Times New Roman" w:cs="Times New Roman"/>
                <w:sz w:val="20"/>
                <w:szCs w:val="20"/>
                <w:lang w:eastAsia="fr-FR"/>
              </w:rPr>
              <w:t>pour accéder à la liste des PEL potentiellement en non-respect, échéances du 04/12 au 28/12/2018 qui seront clôturés à J+1 de la date anniversaire (volumétrie 257 clients).</w:t>
            </w:r>
          </w:p>
          <w:p w:rsidR="00B332E2" w:rsidRPr="00BC65AA" w:rsidRDefault="00B332E2" w:rsidP="00E505FE">
            <w:pPr>
              <w:numPr>
                <w:ilvl w:val="0"/>
                <w:numId w:val="5"/>
              </w:numPr>
              <w:tabs>
                <w:tab w:val="num" w:pos="720"/>
              </w:tabs>
              <w:ind w:left="176" w:hanging="176"/>
              <w:contextualSpacing/>
              <w:jc w:val="both"/>
              <w:rPr>
                <w:rFonts w:ascii="Times New Roman" w:hAnsi="Times New Roman" w:cs="Times New Roman"/>
                <w:b/>
                <w:sz w:val="20"/>
                <w:szCs w:val="20"/>
              </w:rPr>
            </w:pPr>
            <w:r w:rsidRPr="00BC65AA">
              <w:rPr>
                <w:rFonts w:ascii="Times New Roman" w:hAnsi="Times New Roman" w:cs="Times New Roman"/>
                <w:b/>
                <w:color w:val="FF0000"/>
                <w:sz w:val="20"/>
                <w:szCs w:val="20"/>
              </w:rPr>
              <w:t xml:space="preserve">NB : les PEL en non-respect seront très bientôt disponibles directement sur </w:t>
            </w:r>
            <w:proofErr w:type="spellStart"/>
            <w:r w:rsidRPr="00BC65AA">
              <w:rPr>
                <w:rFonts w:ascii="Times New Roman" w:hAnsi="Times New Roman" w:cs="Times New Roman"/>
                <w:b/>
                <w:color w:val="FF0000"/>
                <w:sz w:val="20"/>
                <w:szCs w:val="20"/>
              </w:rPr>
              <w:t>Orca</w:t>
            </w:r>
            <w:proofErr w:type="spellEnd"/>
            <w:r w:rsidRPr="00BC65AA">
              <w:rPr>
                <w:rFonts w:ascii="Times New Roman" w:hAnsi="Times New Roman" w:cs="Times New Roman"/>
                <w:b/>
                <w:color w:val="1F497D"/>
                <w:sz w:val="20"/>
                <w:szCs w:val="20"/>
              </w:rPr>
              <w:t xml:space="preserve"> </w:t>
            </w:r>
            <w:r w:rsidRPr="00BC65AA">
              <w:rPr>
                <w:rFonts w:ascii="Times New Roman" w:hAnsi="Times New Roman" w:cs="Times New Roman"/>
                <w:b/>
                <w:color w:val="FF0000"/>
                <w:sz w:val="20"/>
                <w:szCs w:val="20"/>
              </w:rPr>
              <w:t xml:space="preserve">et n’apparaîtront donc plus dans les </w:t>
            </w:r>
            <w:proofErr w:type="spellStart"/>
            <w:r w:rsidRPr="00BC65AA">
              <w:rPr>
                <w:rFonts w:ascii="Times New Roman" w:hAnsi="Times New Roman" w:cs="Times New Roman"/>
                <w:b/>
                <w:color w:val="FF0000"/>
                <w:sz w:val="20"/>
                <w:szCs w:val="20"/>
              </w:rPr>
              <w:t>briefs</w:t>
            </w:r>
            <w:proofErr w:type="spellEnd"/>
            <w:r w:rsidRPr="00BC65AA">
              <w:rPr>
                <w:rFonts w:ascii="Times New Roman" w:hAnsi="Times New Roman" w:cs="Times New Roman"/>
                <w:b/>
                <w:color w:val="FF0000"/>
                <w:sz w:val="20"/>
                <w:szCs w:val="20"/>
              </w:rPr>
              <w:t>.</w:t>
            </w:r>
          </w:p>
          <w:p w:rsidR="00B332E2" w:rsidRPr="00BC65AA" w:rsidRDefault="00B332E2" w:rsidP="00B332E2">
            <w:pPr>
              <w:ind w:left="176"/>
              <w:contextualSpacing/>
              <w:jc w:val="both"/>
              <w:rPr>
                <w:rFonts w:ascii="Times New Roman" w:hAnsi="Times New Roman" w:cs="Times New Roman"/>
                <w:b/>
                <w:sz w:val="20"/>
                <w:szCs w:val="20"/>
              </w:rPr>
            </w:pPr>
          </w:p>
        </w:tc>
      </w:tr>
      <w:tr w:rsidR="00B332E2" w:rsidRPr="008A2C98" w:rsidTr="00B332E2">
        <w:trPr>
          <w:trHeight w:val="559"/>
        </w:trPr>
        <w:tc>
          <w:tcPr>
            <w:tcW w:w="1560" w:type="dxa"/>
            <w:tcBorders>
              <w:bottom w:val="single" w:sz="4" w:space="0" w:color="auto"/>
            </w:tcBorders>
            <w:shd w:val="clear" w:color="auto" w:fill="auto"/>
          </w:tcPr>
          <w:p w:rsidR="00B332E2" w:rsidRDefault="00B332E2" w:rsidP="00E505FE">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B332E2" w:rsidRPr="00BC65AA" w:rsidRDefault="00B332E2" w:rsidP="00E505FE">
            <w:pPr>
              <w:pStyle w:val="wordsection1"/>
              <w:rPr>
                <w:b/>
                <w:bCs/>
                <w:color w:val="000000"/>
                <w:sz w:val="20"/>
                <w:szCs w:val="20"/>
              </w:rPr>
            </w:pPr>
            <w:r w:rsidRPr="00BC65AA">
              <w:rPr>
                <w:b/>
                <w:bCs/>
                <w:color w:val="000000"/>
                <w:sz w:val="20"/>
                <w:szCs w:val="20"/>
              </w:rPr>
              <w:t>Action Livret Jeune à échéance</w:t>
            </w:r>
          </w:p>
        </w:tc>
        <w:tc>
          <w:tcPr>
            <w:tcW w:w="12332" w:type="dxa"/>
            <w:tcBorders>
              <w:bottom w:val="single" w:sz="4" w:space="0" w:color="auto"/>
            </w:tcBorders>
            <w:shd w:val="clear" w:color="auto" w:fill="auto"/>
          </w:tcPr>
          <w:p w:rsidR="00B332E2" w:rsidRPr="00BC65AA" w:rsidRDefault="00B332E2" w:rsidP="00E505FE">
            <w:pPr>
              <w:numPr>
                <w:ilvl w:val="0"/>
                <w:numId w:val="5"/>
              </w:numPr>
              <w:tabs>
                <w:tab w:val="num" w:pos="720"/>
              </w:tabs>
              <w:ind w:left="176" w:hanging="176"/>
              <w:contextualSpacing/>
              <w:jc w:val="both"/>
              <w:rPr>
                <w:rFonts w:ascii="Times New Roman" w:hAnsi="Times New Roman" w:cs="Times New Roman"/>
                <w:sz w:val="20"/>
                <w:szCs w:val="20"/>
              </w:rPr>
            </w:pPr>
            <w:r w:rsidRPr="00BC65AA">
              <w:rPr>
                <w:rFonts w:ascii="Times New Roman" w:hAnsi="Times New Roman" w:cs="Times New Roman"/>
                <w:sz w:val="20"/>
                <w:szCs w:val="20"/>
              </w:rPr>
              <w:t>Comme chaque année à la même période, nos clients âgés de 25 ans et détenteurs d’un Livret Jeune sont avertis, par courrier, du fait que leur livret sera clôturé, comme la réglementation l’exige, au 31 décembre 2018.</w:t>
            </w:r>
          </w:p>
          <w:p w:rsidR="00B332E2" w:rsidRPr="00BC65AA" w:rsidRDefault="00B332E2" w:rsidP="00E505FE">
            <w:pPr>
              <w:ind w:left="360"/>
              <w:contextualSpacing/>
              <w:jc w:val="both"/>
              <w:rPr>
                <w:rFonts w:ascii="Times New Roman" w:hAnsi="Times New Roman" w:cs="Times New Roman"/>
                <w:i/>
                <w:iCs/>
                <w:sz w:val="20"/>
                <w:szCs w:val="20"/>
              </w:rPr>
            </w:pPr>
            <w:r w:rsidRPr="00BC65AA">
              <w:rPr>
                <w:rFonts w:ascii="Times New Roman" w:hAnsi="Times New Roman" w:cs="Times New Roman"/>
                <w:i/>
                <w:iCs/>
                <w:sz w:val="20"/>
                <w:szCs w:val="20"/>
              </w:rPr>
              <w:sym w:font="Wingdings" w:char="F0C4"/>
            </w:r>
            <w:r w:rsidRPr="00BC65AA">
              <w:rPr>
                <w:rFonts w:ascii="Times New Roman" w:hAnsi="Times New Roman" w:cs="Times New Roman"/>
                <w:i/>
                <w:iCs/>
                <w:sz w:val="20"/>
                <w:szCs w:val="20"/>
              </w:rPr>
              <w:t xml:space="preserve"> Pour consulter le mailing qui va leur être envoyé en S49, </w:t>
            </w:r>
            <w:hyperlink r:id="rId10" w:history="1">
              <w:r w:rsidRPr="00BC65AA">
                <w:rPr>
                  <w:rStyle w:val="Lienhypertexte"/>
                  <w:rFonts w:ascii="Times New Roman" w:hAnsi="Times New Roman" w:cs="Times New Roman"/>
                  <w:i/>
                  <w:iCs/>
                  <w:sz w:val="20"/>
                  <w:szCs w:val="20"/>
                </w:rPr>
                <w:t>cliquez ICI</w:t>
              </w:r>
            </w:hyperlink>
          </w:p>
          <w:p w:rsidR="00B332E2" w:rsidRPr="00BC65AA" w:rsidRDefault="00B332E2" w:rsidP="00E505FE">
            <w:pPr>
              <w:numPr>
                <w:ilvl w:val="0"/>
                <w:numId w:val="5"/>
              </w:numPr>
              <w:tabs>
                <w:tab w:val="num" w:pos="720"/>
              </w:tabs>
              <w:ind w:left="176" w:hanging="176"/>
              <w:contextualSpacing/>
              <w:jc w:val="both"/>
              <w:rPr>
                <w:rFonts w:ascii="Times New Roman" w:hAnsi="Times New Roman" w:cs="Times New Roman"/>
                <w:sz w:val="20"/>
                <w:szCs w:val="20"/>
              </w:rPr>
            </w:pPr>
            <w:r w:rsidRPr="00BC65AA">
              <w:rPr>
                <w:rFonts w:ascii="Times New Roman" w:hAnsi="Times New Roman" w:cs="Times New Roman"/>
                <w:sz w:val="20"/>
                <w:szCs w:val="20"/>
              </w:rPr>
              <w:t xml:space="preserve">Afin de vous permettre d’accompagner ces clients dans le replacement de leur épargne, un fichier clients est mis à votre disposition dans la Rubrique des Commerciaux : </w:t>
            </w:r>
            <w:r w:rsidRPr="00BC65AA">
              <w:rPr>
                <w:rFonts w:ascii="Times New Roman" w:hAnsi="Times New Roman" w:cs="Times New Roman"/>
                <w:i/>
                <w:iCs/>
                <w:sz w:val="20"/>
                <w:szCs w:val="20"/>
              </w:rPr>
              <w:t xml:space="preserve">Liste des </w:t>
            </w:r>
            <w:r w:rsidRPr="00BC65AA">
              <w:rPr>
                <w:rFonts w:ascii="Times New Roman" w:hAnsi="Times New Roman" w:cs="Times New Roman"/>
                <w:b/>
                <w:bCs/>
                <w:i/>
                <w:iCs/>
                <w:sz w:val="20"/>
                <w:szCs w:val="20"/>
              </w:rPr>
              <w:t xml:space="preserve">12.536 clients </w:t>
            </w:r>
            <w:r w:rsidRPr="00BC65AA">
              <w:rPr>
                <w:rFonts w:ascii="Times New Roman" w:hAnsi="Times New Roman" w:cs="Times New Roman"/>
                <w:i/>
                <w:iCs/>
                <w:sz w:val="20"/>
                <w:szCs w:val="20"/>
              </w:rPr>
              <w:t>nés en 1993 détenteurs d’un Livret Jeune</w:t>
            </w:r>
            <w:r w:rsidRPr="00BC65AA">
              <w:rPr>
                <w:rFonts w:ascii="Times New Roman" w:hAnsi="Times New Roman" w:cs="Times New Roman"/>
                <w:sz w:val="20"/>
                <w:szCs w:val="20"/>
              </w:rPr>
              <w:t xml:space="preserve"> </w:t>
            </w:r>
            <w:r w:rsidRPr="00BC65AA">
              <w:rPr>
                <w:rFonts w:ascii="Times New Roman" w:hAnsi="Times New Roman" w:cs="Times New Roman"/>
                <w:sz w:val="20"/>
                <w:szCs w:val="20"/>
              </w:rPr>
              <w:sym w:font="Wingdings" w:char="F0E0"/>
            </w:r>
            <w:r w:rsidRPr="00BC65AA">
              <w:rPr>
                <w:rFonts w:ascii="Times New Roman" w:hAnsi="Times New Roman" w:cs="Times New Roman"/>
                <w:sz w:val="20"/>
                <w:szCs w:val="20"/>
              </w:rPr>
              <w:t xml:space="preserve"> </w:t>
            </w:r>
            <w:hyperlink r:id="rId11" w:history="1">
              <w:r w:rsidRPr="00BC65AA">
                <w:rPr>
                  <w:rStyle w:val="Lienhypertexte"/>
                  <w:rFonts w:ascii="Times New Roman" w:hAnsi="Times New Roman" w:cs="Times New Roman"/>
                  <w:sz w:val="20"/>
                  <w:szCs w:val="20"/>
                </w:rPr>
                <w:t>accès direct CLIC</w:t>
              </w:r>
            </w:hyperlink>
          </w:p>
          <w:p w:rsidR="00B332E2" w:rsidRPr="00BC65AA" w:rsidRDefault="00B332E2" w:rsidP="00E505FE">
            <w:pPr>
              <w:numPr>
                <w:ilvl w:val="0"/>
                <w:numId w:val="5"/>
              </w:numPr>
              <w:tabs>
                <w:tab w:val="num" w:pos="720"/>
              </w:tabs>
              <w:ind w:left="176" w:hanging="176"/>
              <w:contextualSpacing/>
              <w:jc w:val="both"/>
              <w:rPr>
                <w:rFonts w:ascii="Times New Roman" w:hAnsi="Times New Roman" w:cs="Times New Roman"/>
                <w:sz w:val="20"/>
                <w:szCs w:val="20"/>
              </w:rPr>
            </w:pPr>
            <w:r w:rsidRPr="00BC65AA">
              <w:rPr>
                <w:rFonts w:ascii="Times New Roman" w:hAnsi="Times New Roman" w:cs="Times New Roman"/>
                <w:i/>
                <w:iCs/>
                <w:sz w:val="20"/>
                <w:szCs w:val="20"/>
              </w:rPr>
              <w:t>En parallèle, une partie de ces clients est reprise dans la cible GERC décrite ci-dessous :</w:t>
            </w:r>
          </w:p>
          <w:p w:rsidR="00B332E2" w:rsidRPr="00BC65AA" w:rsidRDefault="00B332E2" w:rsidP="00E505FE">
            <w:pPr>
              <w:ind w:left="176"/>
              <w:contextualSpacing/>
              <w:jc w:val="both"/>
              <w:rPr>
                <w:rFonts w:ascii="Times New Roman" w:hAnsi="Times New Roman" w:cs="Times New Roman"/>
                <w:sz w:val="20"/>
                <w:szCs w:val="20"/>
              </w:rPr>
            </w:pPr>
            <w:r w:rsidRPr="00BC65AA">
              <w:rPr>
                <w:rFonts w:ascii="Times New Roman" w:hAnsi="Times New Roman" w:cs="Times New Roman"/>
                <w:sz w:val="20"/>
                <w:szCs w:val="20"/>
              </w:rPr>
              <w:t xml:space="preserve">Libellé : « </w:t>
            </w:r>
            <w:r w:rsidRPr="00BC65AA">
              <w:rPr>
                <w:rFonts w:ascii="Times New Roman" w:hAnsi="Times New Roman" w:cs="Times New Roman"/>
                <w:b/>
                <w:bCs/>
                <w:sz w:val="20"/>
                <w:szCs w:val="20"/>
              </w:rPr>
              <w:t>3TF</w:t>
            </w:r>
            <w:r w:rsidRPr="00BC65AA">
              <w:rPr>
                <w:rFonts w:ascii="Times New Roman" w:hAnsi="Times New Roman" w:cs="Times New Roman"/>
                <w:sz w:val="20"/>
                <w:szCs w:val="20"/>
              </w:rPr>
              <w:t xml:space="preserve"> </w:t>
            </w:r>
            <w:r w:rsidRPr="00BC65AA">
              <w:rPr>
                <w:rFonts w:ascii="Times New Roman" w:hAnsi="Times New Roman" w:cs="Times New Roman"/>
                <w:b/>
                <w:bCs/>
                <w:sz w:val="20"/>
                <w:szCs w:val="20"/>
              </w:rPr>
              <w:t xml:space="preserve">ECHEANCE LVJ </w:t>
            </w:r>
            <w:r w:rsidRPr="00BC65AA">
              <w:rPr>
                <w:rFonts w:ascii="Times New Roman" w:hAnsi="Times New Roman" w:cs="Times New Roman"/>
                <w:sz w:val="20"/>
                <w:szCs w:val="20"/>
              </w:rPr>
              <w:t>»</w:t>
            </w:r>
          </w:p>
          <w:p w:rsidR="00B332E2" w:rsidRPr="00BC65AA" w:rsidRDefault="00B332E2" w:rsidP="00B332E2">
            <w:pPr>
              <w:numPr>
                <w:ilvl w:val="0"/>
                <w:numId w:val="15"/>
              </w:numPr>
              <w:contextualSpacing/>
              <w:jc w:val="both"/>
              <w:rPr>
                <w:rFonts w:ascii="Times New Roman" w:hAnsi="Times New Roman" w:cs="Times New Roman"/>
                <w:sz w:val="20"/>
                <w:szCs w:val="20"/>
              </w:rPr>
            </w:pPr>
            <w:r w:rsidRPr="00BC65AA">
              <w:rPr>
                <w:rFonts w:ascii="Times New Roman" w:hAnsi="Times New Roman" w:cs="Times New Roman"/>
                <w:sz w:val="20"/>
                <w:szCs w:val="20"/>
              </w:rPr>
              <w:t xml:space="preserve">Clients nés en 1993, </w:t>
            </w:r>
          </w:p>
          <w:p w:rsidR="00B332E2" w:rsidRPr="00BC65AA" w:rsidRDefault="00B332E2" w:rsidP="00B332E2">
            <w:pPr>
              <w:numPr>
                <w:ilvl w:val="0"/>
                <w:numId w:val="15"/>
              </w:numPr>
              <w:contextualSpacing/>
              <w:jc w:val="both"/>
              <w:rPr>
                <w:rFonts w:ascii="Times New Roman" w:hAnsi="Times New Roman" w:cs="Times New Roman"/>
                <w:sz w:val="20"/>
                <w:szCs w:val="20"/>
              </w:rPr>
            </w:pPr>
            <w:r w:rsidRPr="00BC65AA">
              <w:rPr>
                <w:rFonts w:ascii="Times New Roman" w:hAnsi="Times New Roman" w:cs="Times New Roman"/>
                <w:sz w:val="20"/>
                <w:szCs w:val="20"/>
              </w:rPr>
              <w:t xml:space="preserve">Détenteurs d’un Livret Jeune avec solde </w:t>
            </w:r>
            <w:r w:rsidRPr="00BC65AA">
              <w:rPr>
                <w:rFonts w:ascii="Times New Roman" w:hAnsi="Times New Roman" w:cs="Times New Roman"/>
                <w:b/>
                <w:bCs/>
                <w:color w:val="FF0000"/>
                <w:sz w:val="20"/>
                <w:szCs w:val="20"/>
              </w:rPr>
              <w:t>&gt; 150 €</w:t>
            </w:r>
          </w:p>
          <w:p w:rsidR="00B332E2" w:rsidRPr="00BC65AA" w:rsidRDefault="00B332E2" w:rsidP="00E505FE">
            <w:pPr>
              <w:ind w:left="176"/>
              <w:contextualSpacing/>
              <w:jc w:val="both"/>
              <w:rPr>
                <w:rFonts w:ascii="Times New Roman" w:hAnsi="Times New Roman" w:cs="Times New Roman"/>
                <w:sz w:val="20"/>
                <w:szCs w:val="20"/>
              </w:rPr>
            </w:pPr>
            <w:r w:rsidRPr="00BC65AA">
              <w:rPr>
                <w:rFonts w:ascii="Times New Roman" w:hAnsi="Times New Roman" w:cs="Times New Roman"/>
                <w:sz w:val="20"/>
                <w:szCs w:val="20"/>
              </w:rPr>
              <w:t xml:space="preserve">Volumétrie : </w:t>
            </w:r>
            <w:r w:rsidRPr="00BC65AA">
              <w:rPr>
                <w:rFonts w:ascii="Times New Roman" w:hAnsi="Times New Roman" w:cs="Times New Roman"/>
                <w:b/>
                <w:bCs/>
                <w:sz w:val="20"/>
                <w:szCs w:val="20"/>
              </w:rPr>
              <w:t xml:space="preserve">5.900 </w:t>
            </w:r>
            <w:r w:rsidRPr="00BC65AA">
              <w:rPr>
                <w:rFonts w:ascii="Times New Roman" w:hAnsi="Times New Roman" w:cs="Times New Roman"/>
                <w:sz w:val="20"/>
                <w:szCs w:val="20"/>
              </w:rPr>
              <w:t>clients</w:t>
            </w:r>
          </w:p>
          <w:p w:rsidR="00B332E2" w:rsidRPr="00BC65AA" w:rsidRDefault="00B332E2" w:rsidP="00E505FE">
            <w:pPr>
              <w:ind w:left="176"/>
              <w:contextualSpacing/>
              <w:jc w:val="both"/>
              <w:rPr>
                <w:rFonts w:ascii="Times New Roman" w:hAnsi="Times New Roman" w:cs="Times New Roman"/>
                <w:i/>
                <w:iCs/>
                <w:color w:val="595959" w:themeColor="text1" w:themeTint="A6"/>
                <w:sz w:val="20"/>
                <w:szCs w:val="20"/>
              </w:rPr>
            </w:pPr>
            <w:r w:rsidRPr="00BC65AA">
              <w:rPr>
                <w:rFonts w:ascii="Times New Roman" w:hAnsi="Times New Roman" w:cs="Times New Roman"/>
                <w:i/>
                <w:iCs/>
                <w:color w:val="595959" w:themeColor="text1" w:themeTint="A6"/>
                <w:sz w:val="20"/>
                <w:szCs w:val="20"/>
              </w:rPr>
              <w:sym w:font="Wingdings" w:char="F0C4"/>
            </w:r>
            <w:r w:rsidRPr="00BC65AA">
              <w:rPr>
                <w:rFonts w:ascii="Times New Roman" w:hAnsi="Times New Roman" w:cs="Times New Roman"/>
                <w:i/>
                <w:iCs/>
                <w:color w:val="595959" w:themeColor="text1" w:themeTint="A6"/>
                <w:sz w:val="20"/>
                <w:szCs w:val="20"/>
              </w:rPr>
              <w:t xml:space="preserve"> Evènement visible dans vos PDO du 03/12/18 au 31/01/2019</w:t>
            </w:r>
          </w:p>
          <w:p w:rsidR="00B332E2" w:rsidRPr="00BC65AA" w:rsidRDefault="00B332E2" w:rsidP="00E505FE">
            <w:pPr>
              <w:ind w:left="176"/>
              <w:contextualSpacing/>
              <w:jc w:val="both"/>
              <w:rPr>
                <w:rFonts w:ascii="Times New Roman" w:hAnsi="Times New Roman" w:cs="Times New Roman"/>
                <w:sz w:val="20"/>
                <w:szCs w:val="20"/>
              </w:rPr>
            </w:pPr>
          </w:p>
        </w:tc>
      </w:tr>
      <w:tr w:rsidR="00B332E2" w:rsidRPr="008A2C98" w:rsidTr="00B332E2">
        <w:trPr>
          <w:trHeight w:val="229"/>
        </w:trPr>
        <w:tc>
          <w:tcPr>
            <w:tcW w:w="15735" w:type="dxa"/>
            <w:gridSpan w:val="3"/>
            <w:tcBorders>
              <w:bottom w:val="single" w:sz="4" w:space="0" w:color="auto"/>
            </w:tcBorders>
            <w:shd w:val="clear" w:color="auto" w:fill="BFBFBF" w:themeFill="background1" w:themeFillShade="BF"/>
          </w:tcPr>
          <w:p w:rsidR="00B332E2" w:rsidRPr="00B332E2" w:rsidRDefault="00B332E2" w:rsidP="00B332E2">
            <w:pPr>
              <w:contextualSpacing/>
              <w:jc w:val="center"/>
              <w:rPr>
                <w:rFonts w:ascii="Times New Roman" w:hAnsi="Times New Roman" w:cs="Times New Roman"/>
                <w:b/>
                <w:sz w:val="20"/>
                <w:szCs w:val="20"/>
              </w:rPr>
            </w:pPr>
            <w:r w:rsidRPr="00B332E2">
              <w:rPr>
                <w:rFonts w:ascii="Times New Roman" w:hAnsi="Times New Roman" w:cs="Times New Roman"/>
                <w:b/>
                <w:sz w:val="20"/>
                <w:szCs w:val="20"/>
              </w:rPr>
              <w:t>IARD &amp; PREVOYANCE</w:t>
            </w:r>
          </w:p>
        </w:tc>
      </w:tr>
      <w:tr w:rsidR="00B332E2" w:rsidRPr="008A2C98" w:rsidTr="00120EFF">
        <w:trPr>
          <w:trHeight w:val="559"/>
        </w:trPr>
        <w:tc>
          <w:tcPr>
            <w:tcW w:w="1560" w:type="dxa"/>
            <w:tcBorders>
              <w:bottom w:val="single" w:sz="4" w:space="0" w:color="auto"/>
            </w:tcBorders>
            <w:shd w:val="clear" w:color="auto" w:fill="auto"/>
          </w:tcPr>
          <w:p w:rsidR="00B332E2" w:rsidRPr="005867D6" w:rsidRDefault="00B332E2" w:rsidP="00E505FE">
            <w:pPr>
              <w:rPr>
                <w:rFonts w:ascii="Times New Roman" w:hAnsi="Times New Roman" w:cs="Times New Roman"/>
                <w:b/>
                <w:bCs/>
                <w:color w:val="000000"/>
                <w:sz w:val="20"/>
                <w:szCs w:val="20"/>
              </w:rPr>
            </w:pPr>
            <w:r w:rsidRPr="005867D6">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B332E2" w:rsidRPr="00BC65AA" w:rsidRDefault="00B332E2" w:rsidP="00E505FE">
            <w:pPr>
              <w:pStyle w:val="wordsection1"/>
              <w:rPr>
                <w:b/>
                <w:bCs/>
                <w:sz w:val="20"/>
                <w:szCs w:val="20"/>
              </w:rPr>
            </w:pPr>
            <w:r w:rsidRPr="00BC65AA">
              <w:rPr>
                <w:b/>
                <w:bCs/>
                <w:sz w:val="20"/>
                <w:szCs w:val="20"/>
              </w:rPr>
              <w:t>Contrats Auto « provisoires » : suivi</w:t>
            </w:r>
          </w:p>
        </w:tc>
        <w:tc>
          <w:tcPr>
            <w:tcW w:w="12332" w:type="dxa"/>
            <w:tcBorders>
              <w:bottom w:val="single" w:sz="4" w:space="0" w:color="auto"/>
            </w:tcBorders>
            <w:shd w:val="clear" w:color="auto" w:fill="auto"/>
          </w:tcPr>
          <w:p w:rsidR="00B332E2" w:rsidRPr="00BC65AA" w:rsidRDefault="00B332E2" w:rsidP="00E505FE">
            <w:pPr>
              <w:numPr>
                <w:ilvl w:val="0"/>
                <w:numId w:val="5"/>
              </w:numPr>
              <w:ind w:left="176" w:hanging="176"/>
              <w:contextualSpacing/>
              <w:jc w:val="both"/>
              <w:rPr>
                <w:rFonts w:ascii="Times New Roman" w:hAnsi="Times New Roman" w:cs="Times New Roman"/>
                <w:iCs/>
                <w:sz w:val="20"/>
                <w:szCs w:val="20"/>
              </w:rPr>
            </w:pPr>
            <w:r w:rsidRPr="00BC65AA">
              <w:rPr>
                <w:rFonts w:ascii="Times New Roman" w:hAnsi="Times New Roman" w:cs="Times New Roman"/>
                <w:iCs/>
                <w:sz w:val="20"/>
                <w:szCs w:val="20"/>
              </w:rPr>
              <w:t>Si un contrat auto n’est pas au format « contrat définitif » dès sa souscription, notre client doit nous fournir les justificatifs sous 30 jours à compter de la date d’effet du contrat. Passé ce délai</w:t>
            </w:r>
            <w:r w:rsidRPr="00BC65AA">
              <w:rPr>
                <w:rFonts w:ascii="Times New Roman" w:hAnsi="Times New Roman" w:cs="Times New Roman"/>
                <w:bCs/>
                <w:iCs/>
                <w:sz w:val="20"/>
                <w:szCs w:val="20"/>
              </w:rPr>
              <w:t>, le véhicule ne sera plus assuré</w:t>
            </w:r>
            <w:r w:rsidRPr="00BC65AA">
              <w:rPr>
                <w:rFonts w:ascii="Times New Roman" w:hAnsi="Times New Roman" w:cs="Times New Roman"/>
                <w:iCs/>
                <w:sz w:val="20"/>
                <w:szCs w:val="20"/>
              </w:rPr>
              <w:t xml:space="preserve">. </w:t>
            </w:r>
          </w:p>
          <w:p w:rsidR="00B332E2" w:rsidRPr="00BC65AA" w:rsidRDefault="00B332E2" w:rsidP="00E505FE">
            <w:pPr>
              <w:numPr>
                <w:ilvl w:val="0"/>
                <w:numId w:val="5"/>
              </w:numPr>
              <w:ind w:left="176" w:hanging="176"/>
              <w:contextualSpacing/>
              <w:jc w:val="both"/>
              <w:rPr>
                <w:rFonts w:ascii="Times New Roman" w:hAnsi="Times New Roman" w:cs="Times New Roman"/>
                <w:sz w:val="20"/>
                <w:szCs w:val="20"/>
              </w:rPr>
            </w:pPr>
            <w:r w:rsidRPr="00BC65AA">
              <w:rPr>
                <w:rFonts w:ascii="Times New Roman" w:hAnsi="Times New Roman" w:cs="Times New Roman"/>
                <w:iCs/>
                <w:sz w:val="20"/>
                <w:szCs w:val="20"/>
              </w:rPr>
              <w:t xml:space="preserve">pour info, l’an passé </w:t>
            </w:r>
            <w:r w:rsidRPr="00BC65AA">
              <w:rPr>
                <w:rFonts w:ascii="Times New Roman" w:hAnsi="Times New Roman" w:cs="Times New Roman"/>
                <w:bCs/>
                <w:iCs/>
                <w:sz w:val="20"/>
                <w:szCs w:val="20"/>
              </w:rPr>
              <w:t>nous avons perdu 14% de notre production brute de contrats auto pour motif de justificatifs absents</w:t>
            </w:r>
            <w:r w:rsidRPr="00BC65AA">
              <w:rPr>
                <w:rFonts w:ascii="Times New Roman" w:hAnsi="Times New Roman" w:cs="Times New Roman"/>
                <w:iCs/>
                <w:sz w:val="20"/>
                <w:szCs w:val="20"/>
              </w:rPr>
              <w:t>.</w:t>
            </w:r>
          </w:p>
          <w:p w:rsidR="00B332E2" w:rsidRPr="00BC65AA" w:rsidRDefault="00B332E2" w:rsidP="00E505FE">
            <w:pPr>
              <w:numPr>
                <w:ilvl w:val="0"/>
                <w:numId w:val="5"/>
              </w:numPr>
              <w:ind w:left="176" w:hanging="176"/>
              <w:contextualSpacing/>
              <w:jc w:val="both"/>
              <w:rPr>
                <w:rFonts w:ascii="Times New Roman" w:hAnsi="Times New Roman" w:cs="Times New Roman"/>
                <w:sz w:val="20"/>
                <w:szCs w:val="20"/>
              </w:rPr>
            </w:pPr>
            <w:r w:rsidRPr="00BC65AA">
              <w:rPr>
                <w:rFonts w:ascii="Times New Roman" w:hAnsi="Times New Roman" w:cs="Times New Roman"/>
                <w:sz w:val="20"/>
                <w:szCs w:val="20"/>
              </w:rPr>
              <w:t xml:space="preserve">D’où l’utilité à disposer d’un suivi de ces contrats « provisoires » qui vous permet de relancer les clients </w:t>
            </w:r>
            <w:r w:rsidRPr="00BC65AA">
              <w:rPr>
                <w:rFonts w:ascii="Times New Roman" w:hAnsi="Times New Roman" w:cs="Times New Roman"/>
                <w:sz w:val="20"/>
                <w:szCs w:val="20"/>
              </w:rPr>
              <w:sym w:font="Wingdings" w:char="F0E0"/>
            </w:r>
            <w:r w:rsidRPr="00BC65AA">
              <w:rPr>
                <w:rFonts w:ascii="Times New Roman" w:hAnsi="Times New Roman" w:cs="Times New Roman"/>
                <w:sz w:val="20"/>
                <w:szCs w:val="20"/>
              </w:rPr>
              <w:t xml:space="preserve"> Lien vers ce suivi « </w:t>
            </w:r>
            <w:r w:rsidRPr="00BC65AA">
              <w:rPr>
                <w:rFonts w:ascii="Times New Roman" w:hAnsi="Times New Roman" w:cs="Times New Roman"/>
                <w:bCs/>
                <w:iCs/>
                <w:sz w:val="20"/>
                <w:szCs w:val="20"/>
              </w:rPr>
              <w:t>Auto contrats provisoires</w:t>
            </w:r>
            <w:r w:rsidRPr="00BC65AA">
              <w:rPr>
                <w:rFonts w:ascii="Times New Roman" w:hAnsi="Times New Roman" w:cs="Times New Roman"/>
                <w:sz w:val="20"/>
                <w:szCs w:val="20"/>
              </w:rPr>
              <w:t xml:space="preserve"> » </w:t>
            </w:r>
            <w:r w:rsidRPr="00BC65AA">
              <w:rPr>
                <w:rFonts w:ascii="Times New Roman" w:hAnsi="Times New Roman" w:cs="Times New Roman"/>
                <w:bCs/>
                <w:sz w:val="20"/>
                <w:szCs w:val="20"/>
              </w:rPr>
              <w:sym w:font="Wingdings" w:char="F0E0"/>
            </w:r>
            <w:r w:rsidRPr="00BC65AA">
              <w:rPr>
                <w:rFonts w:ascii="Times New Roman" w:hAnsi="Times New Roman" w:cs="Times New Roman"/>
                <w:bCs/>
                <w:sz w:val="20"/>
                <w:szCs w:val="20"/>
              </w:rPr>
              <w:t xml:space="preserve"> </w:t>
            </w:r>
            <w:hyperlink r:id="rId12" w:history="1">
              <w:r w:rsidRPr="00BC65AA">
                <w:rPr>
                  <w:rStyle w:val="Lienhypertexte"/>
                  <w:rFonts w:ascii="Times New Roman" w:hAnsi="Times New Roman" w:cs="Times New Roman"/>
                  <w:bCs/>
                  <w:sz w:val="20"/>
                  <w:szCs w:val="20"/>
                </w:rPr>
                <w:t>CLIC</w:t>
              </w:r>
            </w:hyperlink>
            <w:r w:rsidRPr="00BC65AA">
              <w:rPr>
                <w:rFonts w:ascii="Times New Roman" w:hAnsi="Times New Roman" w:cs="Times New Roman"/>
                <w:bCs/>
                <w:sz w:val="20"/>
                <w:szCs w:val="20"/>
              </w:rPr>
              <w:t xml:space="preserve"> (disponible depuis la Rubrique des Commerciaux)</w:t>
            </w:r>
          </w:p>
          <w:p w:rsidR="00B332E2" w:rsidRPr="00BC65AA" w:rsidRDefault="00B332E2" w:rsidP="00E505FE">
            <w:pPr>
              <w:contextualSpacing/>
              <w:jc w:val="both"/>
              <w:rPr>
                <w:rFonts w:ascii="Times New Roman" w:hAnsi="Times New Roman" w:cs="Times New Roman"/>
                <w:iCs/>
                <w:sz w:val="20"/>
                <w:szCs w:val="20"/>
              </w:rPr>
            </w:pPr>
            <w:r w:rsidRPr="00BC65AA">
              <w:rPr>
                <w:rFonts w:ascii="Times New Roman" w:hAnsi="Times New Roman" w:cs="Times New Roman"/>
                <w:iCs/>
                <w:sz w:val="20"/>
                <w:szCs w:val="20"/>
              </w:rPr>
              <w:t xml:space="preserve">NB : il convient de prioriser les contrats à moins de 10 jours de la sortie ; </w:t>
            </w:r>
          </w:p>
          <w:p w:rsidR="00B332E2" w:rsidRPr="00BC65AA" w:rsidRDefault="00B332E2" w:rsidP="00E505FE">
            <w:pPr>
              <w:contextualSpacing/>
              <w:jc w:val="both"/>
              <w:rPr>
                <w:rFonts w:ascii="Times New Roman" w:hAnsi="Times New Roman" w:cs="Times New Roman"/>
                <w:sz w:val="20"/>
                <w:szCs w:val="20"/>
              </w:rPr>
            </w:pP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2C2C1D" w:rsidRPr="00084343" w:rsidTr="002C2C1D">
        <w:trPr>
          <w:trHeight w:val="273"/>
        </w:trPr>
        <w:tc>
          <w:tcPr>
            <w:tcW w:w="15735" w:type="dxa"/>
            <w:gridSpan w:val="3"/>
            <w:tcBorders>
              <w:bottom w:val="single" w:sz="4" w:space="0" w:color="auto"/>
            </w:tcBorders>
            <w:shd w:val="clear" w:color="auto" w:fill="BFBFBF" w:themeFill="background1" w:themeFillShade="BF"/>
            <w:vAlign w:val="center"/>
          </w:tcPr>
          <w:p w:rsidR="002C2C1D" w:rsidRPr="008A5AFC" w:rsidRDefault="002C2C1D" w:rsidP="00450AC9">
            <w:pPr>
              <w:pStyle w:val="wordsection1"/>
              <w:spacing w:before="0" w:beforeAutospacing="0" w:after="0" w:afterAutospacing="0"/>
              <w:ind w:left="34" w:hanging="34"/>
              <w:jc w:val="center"/>
              <w:rPr>
                <w:sz w:val="20"/>
                <w:szCs w:val="20"/>
              </w:rPr>
            </w:pPr>
            <w:r>
              <w:rPr>
                <w:b/>
                <w:bCs/>
                <w:sz w:val="20"/>
                <w:szCs w:val="20"/>
              </w:rPr>
              <w:t>Epargne</w:t>
            </w:r>
          </w:p>
        </w:tc>
      </w:tr>
      <w:tr w:rsidR="00B332E2" w:rsidRPr="00B332E2" w:rsidTr="00E5696C">
        <w:trPr>
          <w:trHeight w:val="309"/>
        </w:trPr>
        <w:tc>
          <w:tcPr>
            <w:tcW w:w="1560" w:type="dxa"/>
            <w:tcBorders>
              <w:bottom w:val="single" w:sz="4" w:space="0" w:color="auto"/>
            </w:tcBorders>
          </w:tcPr>
          <w:p w:rsidR="00B332E2" w:rsidRPr="00B332E2" w:rsidRDefault="00B332E2" w:rsidP="00E505FE">
            <w:pPr>
              <w:rPr>
                <w:rFonts w:ascii="Times New Roman" w:hAnsi="Times New Roman" w:cs="Times New Roman"/>
                <w:b/>
                <w:bCs/>
                <w:color w:val="000000"/>
                <w:sz w:val="20"/>
                <w:szCs w:val="20"/>
              </w:rPr>
            </w:pPr>
            <w:r w:rsidRPr="00B332E2">
              <w:rPr>
                <w:rFonts w:ascii="Times New Roman" w:hAnsi="Times New Roman" w:cs="Times New Roman"/>
                <w:b/>
                <w:bCs/>
                <w:color w:val="000000"/>
                <w:sz w:val="20"/>
                <w:szCs w:val="20"/>
              </w:rPr>
              <w:t>Com. Assistance Réseau</w:t>
            </w:r>
          </w:p>
        </w:tc>
        <w:tc>
          <w:tcPr>
            <w:tcW w:w="1843" w:type="dxa"/>
            <w:tcBorders>
              <w:bottom w:val="single" w:sz="4" w:space="0" w:color="auto"/>
            </w:tcBorders>
          </w:tcPr>
          <w:p w:rsidR="00B332E2" w:rsidRPr="00B332E2" w:rsidRDefault="00B332E2" w:rsidP="00E505FE">
            <w:pPr>
              <w:pStyle w:val="wordsection1"/>
              <w:rPr>
                <w:b/>
                <w:bCs/>
                <w:color w:val="000000"/>
                <w:sz w:val="20"/>
                <w:szCs w:val="20"/>
              </w:rPr>
            </w:pPr>
            <w:r w:rsidRPr="00B332E2">
              <w:rPr>
                <w:b/>
                <w:bCs/>
                <w:color w:val="000000"/>
                <w:sz w:val="20"/>
                <w:szCs w:val="20"/>
              </w:rPr>
              <w:t xml:space="preserve">Traitements de fin d’année : calendrier prévisionnel transactions </w:t>
            </w:r>
            <w:r w:rsidRPr="00B332E2">
              <w:rPr>
                <w:b/>
                <w:bCs/>
                <w:sz w:val="20"/>
                <w:szCs w:val="20"/>
              </w:rPr>
              <w:t>ASSURANCE-VIE gamme CNP</w:t>
            </w:r>
          </w:p>
        </w:tc>
        <w:tc>
          <w:tcPr>
            <w:tcW w:w="12332" w:type="dxa"/>
            <w:tcBorders>
              <w:bottom w:val="single" w:sz="4" w:space="0" w:color="auto"/>
            </w:tcBorders>
            <w:shd w:val="clear" w:color="auto" w:fill="auto"/>
          </w:tcPr>
          <w:p w:rsidR="00B332E2" w:rsidRPr="00BC65AA" w:rsidRDefault="00B332E2" w:rsidP="00B332E2">
            <w:pPr>
              <w:numPr>
                <w:ilvl w:val="0"/>
                <w:numId w:val="5"/>
              </w:numPr>
              <w:ind w:left="176" w:hanging="176"/>
              <w:contextualSpacing/>
              <w:jc w:val="both"/>
              <w:rPr>
                <w:rFonts w:ascii="Times New Roman" w:hAnsi="Times New Roman" w:cs="Times New Roman"/>
                <w:bCs/>
                <w:sz w:val="20"/>
                <w:szCs w:val="20"/>
              </w:rPr>
            </w:pPr>
            <w:r w:rsidRPr="00BC65AA">
              <w:rPr>
                <w:rFonts w:ascii="Times New Roman" w:hAnsi="Times New Roman" w:cs="Times New Roman"/>
                <w:bCs/>
                <w:sz w:val="20"/>
                <w:szCs w:val="20"/>
              </w:rPr>
              <w:t xml:space="preserve">Fiscalement parlant, l’année de prise en compte d’un versement ou d’un retrait sur un contrat d’assurance-vie peut avoir son importance. </w:t>
            </w:r>
            <w:r w:rsidRPr="00BC65AA">
              <w:rPr>
                <w:rFonts w:ascii="Times New Roman" w:hAnsi="Times New Roman" w:cs="Times New Roman"/>
                <w:b/>
                <w:bCs/>
                <w:sz w:val="20"/>
                <w:szCs w:val="20"/>
              </w:rPr>
              <w:t>Voici donc le calendrier des dates impératives pour les produits d’assurance-vie CNP pour un enregistrement des actes au titre de l’année 2018</w:t>
            </w:r>
            <w:r w:rsidRPr="00BC65AA">
              <w:rPr>
                <w:rFonts w:ascii="Times New Roman" w:hAnsi="Times New Roman" w:cs="Times New Roman"/>
                <w:bCs/>
                <w:sz w:val="20"/>
                <w:szCs w:val="20"/>
              </w:rPr>
              <w:t xml:space="preserve"> :</w:t>
            </w:r>
          </w:p>
          <w:p w:rsidR="00B332E2" w:rsidRPr="00BC65AA" w:rsidRDefault="00B332E2" w:rsidP="00E505FE">
            <w:pPr>
              <w:jc w:val="both"/>
              <w:rPr>
                <w:rFonts w:ascii="Times New Roman" w:hAnsi="Times New Roman" w:cs="Times New Roman"/>
                <w:bCs/>
                <w:sz w:val="20"/>
                <w:szCs w:val="20"/>
              </w:rPr>
            </w:pPr>
          </w:p>
          <w:p w:rsidR="00B332E2" w:rsidRPr="00BC65AA" w:rsidRDefault="00B332E2" w:rsidP="00B332E2">
            <w:pPr>
              <w:numPr>
                <w:ilvl w:val="0"/>
                <w:numId w:val="5"/>
              </w:numPr>
              <w:ind w:left="176" w:hanging="176"/>
              <w:contextualSpacing/>
              <w:jc w:val="both"/>
              <w:rPr>
                <w:rFonts w:ascii="Times New Roman" w:hAnsi="Times New Roman" w:cs="Times New Roman"/>
                <w:bCs/>
                <w:sz w:val="20"/>
                <w:szCs w:val="20"/>
              </w:rPr>
            </w:pPr>
            <w:r w:rsidRPr="00BC65AA">
              <w:rPr>
                <w:rFonts w:ascii="Times New Roman" w:hAnsi="Times New Roman" w:cs="Times New Roman"/>
                <w:bCs/>
                <w:sz w:val="20"/>
                <w:szCs w:val="20"/>
              </w:rPr>
              <w:t xml:space="preserve">Pour l’ensemble des produits de la Gamme Assurance-vie CNP </w:t>
            </w:r>
            <w:r w:rsidRPr="00BC65AA">
              <w:rPr>
                <w:rFonts w:ascii="Times New Roman" w:hAnsi="Times New Roman" w:cs="Times New Roman"/>
                <w:bCs/>
                <w:i/>
                <w:iCs/>
                <w:sz w:val="20"/>
                <w:szCs w:val="20"/>
              </w:rPr>
              <w:t>(et notamment le PERP)</w:t>
            </w:r>
            <w:r w:rsidRPr="00BC65AA">
              <w:rPr>
                <w:rFonts w:ascii="Times New Roman" w:hAnsi="Times New Roman" w:cs="Times New Roman"/>
                <w:bCs/>
                <w:sz w:val="20"/>
                <w:szCs w:val="20"/>
              </w:rPr>
              <w:t xml:space="preserve">, </w:t>
            </w:r>
            <w:r w:rsidRPr="00BC65AA">
              <w:rPr>
                <w:rFonts w:ascii="Times New Roman" w:hAnsi="Times New Roman" w:cs="Times New Roman"/>
                <w:b/>
                <w:bCs/>
                <w:color w:val="C00000"/>
                <w:sz w:val="20"/>
                <w:szCs w:val="20"/>
              </w:rPr>
              <w:t>seront imputés au titre de l’année 2018</w:t>
            </w:r>
            <w:r w:rsidRPr="00BC65AA">
              <w:rPr>
                <w:rFonts w:ascii="Times New Roman" w:hAnsi="Times New Roman" w:cs="Times New Roman"/>
                <w:bCs/>
                <w:color w:val="C00000"/>
                <w:sz w:val="20"/>
                <w:szCs w:val="20"/>
              </w:rPr>
              <w:t xml:space="preserve"> </w:t>
            </w:r>
            <w:r w:rsidRPr="00BC65AA">
              <w:rPr>
                <w:rFonts w:ascii="Times New Roman" w:hAnsi="Times New Roman" w:cs="Times New Roman"/>
                <w:bCs/>
                <w:sz w:val="20"/>
                <w:szCs w:val="20"/>
              </w:rPr>
              <w:t>:</w:t>
            </w:r>
          </w:p>
          <w:p w:rsidR="00B332E2" w:rsidRPr="00BC65AA" w:rsidRDefault="00B332E2" w:rsidP="00B332E2">
            <w:pPr>
              <w:numPr>
                <w:ilvl w:val="0"/>
                <w:numId w:val="16"/>
              </w:numPr>
              <w:jc w:val="both"/>
              <w:rPr>
                <w:rFonts w:ascii="Times New Roman" w:hAnsi="Times New Roman" w:cs="Times New Roman"/>
                <w:b/>
                <w:bCs/>
                <w:sz w:val="20"/>
                <w:szCs w:val="20"/>
              </w:rPr>
            </w:pPr>
            <w:r w:rsidRPr="00BC65AA">
              <w:rPr>
                <w:rFonts w:ascii="Times New Roman" w:hAnsi="Times New Roman" w:cs="Times New Roman"/>
                <w:b/>
                <w:bCs/>
                <w:sz w:val="20"/>
                <w:szCs w:val="20"/>
              </w:rPr>
              <w:t xml:space="preserve">tous les </w:t>
            </w:r>
            <w:r w:rsidRPr="00BC65AA">
              <w:rPr>
                <w:rFonts w:ascii="Times New Roman" w:hAnsi="Times New Roman" w:cs="Times New Roman"/>
                <w:b/>
                <w:bCs/>
                <w:color w:val="C00000"/>
                <w:sz w:val="20"/>
                <w:szCs w:val="20"/>
              </w:rPr>
              <w:t xml:space="preserve">versements de cotisations </w:t>
            </w:r>
            <w:r w:rsidRPr="00BC65AA">
              <w:rPr>
                <w:rFonts w:ascii="Times New Roman" w:hAnsi="Times New Roman" w:cs="Times New Roman"/>
                <w:b/>
                <w:bCs/>
                <w:sz w:val="20"/>
                <w:szCs w:val="20"/>
              </w:rPr>
              <w:t xml:space="preserve">saisis dans </w:t>
            </w:r>
            <w:r w:rsidRPr="00BC65AA">
              <w:rPr>
                <w:rFonts w:ascii="Times New Roman" w:hAnsi="Times New Roman" w:cs="Times New Roman"/>
                <w:b/>
                <w:bCs/>
                <w:color w:val="C00000"/>
                <w:sz w:val="20"/>
                <w:szCs w:val="20"/>
              </w:rPr>
              <w:t>PUMA</w:t>
            </w:r>
            <w:r w:rsidRPr="00BC65AA">
              <w:rPr>
                <w:rFonts w:ascii="Times New Roman" w:hAnsi="Times New Roman" w:cs="Times New Roman"/>
                <w:b/>
                <w:bCs/>
                <w:sz w:val="20"/>
                <w:szCs w:val="20"/>
              </w:rPr>
              <w:t xml:space="preserve"> jusqu’au </w:t>
            </w:r>
            <w:r w:rsidRPr="00BC65AA">
              <w:rPr>
                <w:rFonts w:ascii="Times New Roman" w:hAnsi="Times New Roman" w:cs="Times New Roman"/>
                <w:b/>
                <w:bCs/>
                <w:color w:val="C00000"/>
                <w:sz w:val="20"/>
                <w:szCs w:val="20"/>
              </w:rPr>
              <w:t>JEUDI 27 DECEMBRE 2018 inclus</w:t>
            </w:r>
          </w:p>
          <w:p w:rsidR="00B332E2" w:rsidRPr="00BC65AA" w:rsidRDefault="00B332E2" w:rsidP="00B332E2">
            <w:pPr>
              <w:numPr>
                <w:ilvl w:val="0"/>
                <w:numId w:val="16"/>
              </w:numPr>
              <w:jc w:val="both"/>
              <w:rPr>
                <w:rFonts w:ascii="Times New Roman" w:hAnsi="Times New Roman" w:cs="Times New Roman"/>
                <w:b/>
                <w:bCs/>
                <w:color w:val="C00000"/>
                <w:sz w:val="20"/>
                <w:szCs w:val="20"/>
              </w:rPr>
            </w:pPr>
            <w:r w:rsidRPr="00BC65AA">
              <w:rPr>
                <w:rFonts w:ascii="Times New Roman" w:hAnsi="Times New Roman" w:cs="Times New Roman"/>
                <w:b/>
                <w:bCs/>
                <w:sz w:val="20"/>
                <w:szCs w:val="20"/>
              </w:rPr>
              <w:t xml:space="preserve">tous les versements de cotisations effectués </w:t>
            </w:r>
            <w:r w:rsidRPr="00BC65AA">
              <w:rPr>
                <w:rFonts w:ascii="Times New Roman" w:hAnsi="Times New Roman" w:cs="Times New Roman"/>
                <w:b/>
                <w:bCs/>
                <w:sz w:val="20"/>
                <w:szCs w:val="20"/>
                <w:u w:val="single"/>
              </w:rPr>
              <w:t>par le client</w:t>
            </w:r>
            <w:r w:rsidRPr="00BC65AA">
              <w:rPr>
                <w:rFonts w:ascii="Times New Roman" w:hAnsi="Times New Roman" w:cs="Times New Roman"/>
                <w:b/>
                <w:bCs/>
                <w:sz w:val="20"/>
                <w:szCs w:val="20"/>
              </w:rPr>
              <w:t xml:space="preserve"> depuis Direct Ecureuil par Internet (</w:t>
            </w:r>
            <w:r w:rsidRPr="00BC65AA">
              <w:rPr>
                <w:rFonts w:ascii="Times New Roman" w:hAnsi="Times New Roman" w:cs="Times New Roman"/>
                <w:b/>
                <w:bCs/>
                <w:color w:val="C00000"/>
                <w:sz w:val="20"/>
                <w:szCs w:val="20"/>
              </w:rPr>
              <w:t>DEI</w:t>
            </w:r>
            <w:r w:rsidRPr="00BC65AA">
              <w:rPr>
                <w:rFonts w:ascii="Times New Roman" w:hAnsi="Times New Roman" w:cs="Times New Roman"/>
                <w:b/>
                <w:bCs/>
                <w:sz w:val="20"/>
                <w:szCs w:val="20"/>
              </w:rPr>
              <w:t xml:space="preserve">) jusqu’au </w:t>
            </w:r>
            <w:r w:rsidRPr="00BC65AA">
              <w:rPr>
                <w:rFonts w:ascii="Times New Roman" w:hAnsi="Times New Roman" w:cs="Times New Roman"/>
                <w:b/>
                <w:bCs/>
                <w:color w:val="C00000"/>
                <w:sz w:val="20"/>
                <w:szCs w:val="20"/>
              </w:rPr>
              <w:t>JEUDI 27 DECEMBRE 2018 (au plus tard à 19h)</w:t>
            </w:r>
          </w:p>
          <w:p w:rsidR="00B332E2" w:rsidRPr="00BC65AA" w:rsidRDefault="00B332E2" w:rsidP="00E505FE">
            <w:pPr>
              <w:ind w:left="720"/>
              <w:jc w:val="both"/>
              <w:rPr>
                <w:rFonts w:ascii="Times New Roman" w:hAnsi="Times New Roman" w:cs="Times New Roman"/>
                <w:bCs/>
                <w:sz w:val="20"/>
                <w:szCs w:val="20"/>
              </w:rPr>
            </w:pPr>
          </w:p>
          <w:p w:rsidR="00B332E2" w:rsidRPr="00BC65AA" w:rsidRDefault="00B332E2" w:rsidP="00E505FE">
            <w:pPr>
              <w:ind w:left="720"/>
              <w:jc w:val="both"/>
              <w:rPr>
                <w:rFonts w:ascii="Times New Roman" w:hAnsi="Times New Roman" w:cs="Times New Roman"/>
                <w:bCs/>
                <w:sz w:val="20"/>
                <w:szCs w:val="20"/>
              </w:rPr>
            </w:pPr>
          </w:p>
          <w:p w:rsidR="00B332E2" w:rsidRPr="00BC65AA" w:rsidRDefault="00B332E2" w:rsidP="00B332E2">
            <w:pPr>
              <w:numPr>
                <w:ilvl w:val="0"/>
                <w:numId w:val="5"/>
              </w:numPr>
              <w:ind w:left="176" w:hanging="176"/>
              <w:contextualSpacing/>
              <w:jc w:val="both"/>
              <w:rPr>
                <w:rFonts w:ascii="Times New Roman" w:hAnsi="Times New Roman" w:cs="Times New Roman"/>
                <w:b/>
                <w:bCs/>
                <w:sz w:val="20"/>
                <w:szCs w:val="20"/>
              </w:rPr>
            </w:pPr>
            <w:r w:rsidRPr="00BC65AA">
              <w:rPr>
                <w:rFonts w:ascii="Times New Roman" w:hAnsi="Times New Roman" w:cs="Times New Roman"/>
                <w:b/>
                <w:bCs/>
                <w:sz w:val="20"/>
                <w:szCs w:val="20"/>
              </w:rPr>
              <w:lastRenderedPageBreak/>
              <w:t>Autre information importante relative aux traitements de fin d’année :</w:t>
            </w:r>
          </w:p>
          <w:p w:rsidR="00B332E2" w:rsidRPr="00BC65AA" w:rsidRDefault="00B332E2" w:rsidP="00B332E2">
            <w:pPr>
              <w:jc w:val="center"/>
              <w:rPr>
                <w:rFonts w:ascii="Times New Roman" w:hAnsi="Times New Roman" w:cs="Times New Roman"/>
                <w:b/>
                <w:bCs/>
                <w:sz w:val="20"/>
                <w:szCs w:val="20"/>
              </w:rPr>
            </w:pPr>
            <w:r w:rsidRPr="00BC65AA">
              <w:rPr>
                <w:rFonts w:ascii="Times New Roman" w:hAnsi="Times New Roman" w:cs="Times New Roman"/>
                <w:b/>
                <w:bCs/>
                <w:noProof/>
                <w:sz w:val="20"/>
                <w:szCs w:val="20"/>
                <w:lang w:eastAsia="fr-FR"/>
              </w:rPr>
              <w:drawing>
                <wp:inline distT="0" distB="0" distL="0" distR="0" wp14:anchorId="1F4F239B" wp14:editId="3A15C42E">
                  <wp:extent cx="5883215" cy="695471"/>
                  <wp:effectExtent l="0" t="0" r="381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83023" cy="695448"/>
                          </a:xfrm>
                          <a:prstGeom prst="rect">
                            <a:avLst/>
                          </a:prstGeom>
                          <a:noFill/>
                          <a:ln>
                            <a:noFill/>
                          </a:ln>
                        </pic:spPr>
                      </pic:pic>
                    </a:graphicData>
                  </a:graphic>
                </wp:inline>
              </w:drawing>
            </w:r>
          </w:p>
          <w:p w:rsidR="00B332E2" w:rsidRPr="00BC65AA" w:rsidRDefault="00B332E2" w:rsidP="00E505FE">
            <w:pPr>
              <w:jc w:val="both"/>
              <w:rPr>
                <w:rFonts w:ascii="Times New Roman" w:hAnsi="Times New Roman" w:cs="Times New Roman"/>
                <w:b/>
                <w:bCs/>
                <w:color w:val="C00000"/>
                <w:sz w:val="20"/>
                <w:szCs w:val="20"/>
              </w:rPr>
            </w:pPr>
            <w:r w:rsidRPr="00BC65AA">
              <w:rPr>
                <w:rFonts w:ascii="Times New Roman" w:hAnsi="Times New Roman" w:cs="Times New Roman"/>
                <w:b/>
                <w:bCs/>
                <w:color w:val="C00000"/>
                <w:sz w:val="20"/>
                <w:szCs w:val="20"/>
              </w:rPr>
              <w:t>NB IMPORTANT : une note complète sur les impacts des traitements de fin d’année sur les transactions en assurance-vie (CNP &amp; BPCE-Vie) mais aussi transactions Titres &amp; Bourse, sera mise à votre disposition courant de semaine S49. Nous reviendrons vers vous dès sa publication.</w:t>
            </w:r>
          </w:p>
          <w:p w:rsidR="00B332E2" w:rsidRPr="00BC65AA" w:rsidRDefault="00B332E2" w:rsidP="00E505FE">
            <w:pPr>
              <w:jc w:val="both"/>
              <w:rPr>
                <w:rFonts w:ascii="Times New Roman" w:hAnsi="Times New Roman" w:cs="Times New Roman"/>
                <w:b/>
                <w:bCs/>
                <w:color w:val="C00000"/>
                <w:sz w:val="20"/>
                <w:szCs w:val="20"/>
              </w:rPr>
            </w:pPr>
          </w:p>
          <w:p w:rsidR="00B332E2" w:rsidRPr="00BC65AA" w:rsidRDefault="00B332E2" w:rsidP="00B332E2">
            <w:pPr>
              <w:numPr>
                <w:ilvl w:val="0"/>
                <w:numId w:val="5"/>
              </w:numPr>
              <w:ind w:left="176" w:hanging="176"/>
              <w:contextualSpacing/>
              <w:jc w:val="both"/>
              <w:rPr>
                <w:rFonts w:ascii="Times New Roman" w:hAnsi="Times New Roman" w:cs="Times New Roman"/>
                <w:bCs/>
                <w:i/>
                <w:sz w:val="20"/>
                <w:szCs w:val="20"/>
              </w:rPr>
            </w:pPr>
            <w:r w:rsidRPr="00BC65AA">
              <w:rPr>
                <w:rFonts w:ascii="Times New Roman" w:hAnsi="Times New Roman" w:cs="Times New Roman"/>
                <w:bCs/>
                <w:i/>
                <w:sz w:val="20"/>
                <w:szCs w:val="20"/>
              </w:rPr>
              <w:t xml:space="preserve">Dans l’intervalle et pour toute question, </w:t>
            </w:r>
            <w:proofErr w:type="spellStart"/>
            <w:r w:rsidRPr="00BC65AA">
              <w:rPr>
                <w:rFonts w:ascii="Times New Roman" w:hAnsi="Times New Roman" w:cs="Times New Roman"/>
                <w:bCs/>
                <w:i/>
                <w:sz w:val="20"/>
                <w:szCs w:val="20"/>
              </w:rPr>
              <w:t>My</w:t>
            </w:r>
            <w:proofErr w:type="spellEnd"/>
            <w:r w:rsidRPr="00BC65AA">
              <w:rPr>
                <w:rFonts w:ascii="Times New Roman" w:hAnsi="Times New Roman" w:cs="Times New Roman"/>
                <w:bCs/>
                <w:i/>
                <w:sz w:val="20"/>
                <w:szCs w:val="20"/>
              </w:rPr>
              <w:t xml:space="preserve"> Assistance est à votre disposition au 03.26.86.85.85.</w:t>
            </w:r>
          </w:p>
        </w:tc>
      </w:tr>
      <w:tr w:rsidR="00E154FF" w:rsidRPr="008A2C98" w:rsidTr="00E5696C">
        <w:trPr>
          <w:trHeight w:val="309"/>
        </w:trPr>
        <w:tc>
          <w:tcPr>
            <w:tcW w:w="1560" w:type="dxa"/>
            <w:tcBorders>
              <w:bottom w:val="single" w:sz="4" w:space="0" w:color="auto"/>
            </w:tcBorders>
          </w:tcPr>
          <w:p w:rsidR="00E154FF" w:rsidRDefault="00E154FF"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E154FF" w:rsidRPr="00E154FF" w:rsidRDefault="00E154FF" w:rsidP="005123F9">
            <w:pPr>
              <w:pStyle w:val="wordsection1"/>
              <w:rPr>
                <w:b/>
                <w:bCs/>
                <w:sz w:val="20"/>
                <w:szCs w:val="20"/>
              </w:rPr>
            </w:pPr>
            <w:r w:rsidRPr="00E154FF">
              <w:rPr>
                <w:b/>
                <w:bCs/>
                <w:sz w:val="20"/>
                <w:szCs w:val="20"/>
              </w:rPr>
              <w:t>Suivi Helios Janvier 2029</w:t>
            </w:r>
          </w:p>
        </w:tc>
        <w:tc>
          <w:tcPr>
            <w:tcW w:w="12332" w:type="dxa"/>
            <w:tcBorders>
              <w:bottom w:val="single" w:sz="4" w:space="0" w:color="auto"/>
            </w:tcBorders>
            <w:shd w:val="clear" w:color="auto" w:fill="auto"/>
          </w:tcPr>
          <w:p w:rsidR="00E154FF" w:rsidRPr="00BC65AA" w:rsidRDefault="00E154FF" w:rsidP="00E154FF">
            <w:pPr>
              <w:numPr>
                <w:ilvl w:val="0"/>
                <w:numId w:val="5"/>
              </w:numPr>
              <w:ind w:left="176" w:hanging="176"/>
              <w:contextualSpacing/>
              <w:jc w:val="both"/>
              <w:rPr>
                <w:rFonts w:ascii="Times New Roman" w:hAnsi="Times New Roman" w:cs="Times New Roman"/>
                <w:color w:val="000000"/>
                <w:sz w:val="20"/>
                <w:szCs w:val="20"/>
                <w:lang w:eastAsia="fr-FR"/>
              </w:rPr>
            </w:pPr>
            <w:r w:rsidRPr="00BC65AA">
              <w:rPr>
                <w:rFonts w:ascii="Times New Roman" w:hAnsi="Times New Roman" w:cs="Times New Roman"/>
                <w:color w:val="000000"/>
                <w:sz w:val="20"/>
                <w:szCs w:val="20"/>
                <w:lang w:eastAsia="fr-FR"/>
              </w:rPr>
              <w:t xml:space="preserve">Vos réalisations au </w:t>
            </w:r>
            <w:r w:rsidRPr="00BC65AA">
              <w:rPr>
                <w:rFonts w:ascii="Times New Roman" w:hAnsi="Times New Roman" w:cs="Times New Roman"/>
                <w:b/>
                <w:bCs/>
                <w:color w:val="000000"/>
                <w:sz w:val="20"/>
                <w:szCs w:val="20"/>
                <w:lang w:eastAsia="fr-FR"/>
              </w:rPr>
              <w:t xml:space="preserve">29 novembre </w:t>
            </w:r>
            <w:r w:rsidRPr="00BC65AA">
              <w:rPr>
                <w:rFonts w:ascii="Times New Roman" w:hAnsi="Times New Roman" w:cs="Times New Roman"/>
                <w:color w:val="000000"/>
                <w:sz w:val="20"/>
                <w:szCs w:val="20"/>
                <w:lang w:eastAsia="fr-FR"/>
              </w:rPr>
              <w:t>:</w:t>
            </w:r>
          </w:p>
          <w:p w:rsidR="00E154FF" w:rsidRPr="00BC65AA" w:rsidRDefault="00E154FF" w:rsidP="00E154FF">
            <w:pPr>
              <w:ind w:left="708"/>
              <w:contextualSpacing/>
              <w:jc w:val="both"/>
              <w:rPr>
                <w:rFonts w:ascii="Times New Roman" w:hAnsi="Times New Roman" w:cs="Times New Roman"/>
                <w:color w:val="000000"/>
                <w:sz w:val="20"/>
                <w:szCs w:val="20"/>
                <w:lang w:eastAsia="fr-FR"/>
              </w:rPr>
            </w:pPr>
            <w:r w:rsidRPr="00BC65AA">
              <w:rPr>
                <w:rFonts w:ascii="Times New Roman" w:hAnsi="Times New Roman" w:cs="Times New Roman"/>
                <w:color w:val="000000"/>
                <w:sz w:val="20"/>
                <w:szCs w:val="20"/>
                <w:lang w:eastAsia="fr-FR"/>
              </w:rPr>
              <w:t xml:space="preserve">La CEGEE affiche un taux d’atteinte de l’objectif de </w:t>
            </w:r>
            <w:r w:rsidRPr="00BC65AA">
              <w:rPr>
                <w:rFonts w:ascii="Times New Roman" w:hAnsi="Times New Roman" w:cs="Times New Roman"/>
                <w:b/>
                <w:color w:val="000000"/>
                <w:sz w:val="20"/>
                <w:szCs w:val="20"/>
                <w:lang w:eastAsia="fr-FR"/>
              </w:rPr>
              <w:t>94</w:t>
            </w:r>
            <w:r w:rsidRPr="00BC65AA">
              <w:rPr>
                <w:rFonts w:ascii="Times New Roman" w:hAnsi="Times New Roman" w:cs="Times New Roman"/>
                <w:b/>
                <w:bCs/>
                <w:color w:val="000000"/>
                <w:sz w:val="20"/>
                <w:szCs w:val="20"/>
                <w:lang w:eastAsia="fr-FR"/>
              </w:rPr>
              <w:t>%</w:t>
            </w:r>
            <w:r w:rsidRPr="00BC65AA">
              <w:rPr>
                <w:rFonts w:ascii="Times New Roman" w:hAnsi="Times New Roman" w:cs="Times New Roman"/>
                <w:color w:val="000000"/>
                <w:sz w:val="20"/>
                <w:szCs w:val="20"/>
                <w:lang w:eastAsia="fr-FR"/>
              </w:rPr>
              <w:t xml:space="preserve">, </w:t>
            </w:r>
            <w:r w:rsidRPr="00BC65AA">
              <w:rPr>
                <w:rFonts w:ascii="Times New Roman" w:hAnsi="Times New Roman" w:cs="Times New Roman"/>
                <w:i/>
                <w:iCs/>
                <w:color w:val="000000"/>
                <w:sz w:val="20"/>
                <w:szCs w:val="20"/>
                <w:lang w:eastAsia="fr-FR"/>
              </w:rPr>
              <w:t>pour un % temps écoulé de 88%.</w:t>
            </w:r>
          </w:p>
          <w:p w:rsidR="00E154FF" w:rsidRPr="00BC65AA" w:rsidRDefault="00E154FF" w:rsidP="00E154FF">
            <w:pPr>
              <w:ind w:left="708"/>
              <w:contextualSpacing/>
              <w:jc w:val="both"/>
              <w:rPr>
                <w:rFonts w:ascii="Times New Roman" w:hAnsi="Times New Roman" w:cs="Times New Roman"/>
                <w:color w:val="000000"/>
                <w:sz w:val="20"/>
                <w:szCs w:val="20"/>
                <w:lang w:eastAsia="fr-FR"/>
              </w:rPr>
            </w:pPr>
            <w:r w:rsidRPr="00BC65AA">
              <w:rPr>
                <w:rFonts w:ascii="Times New Roman" w:hAnsi="Times New Roman" w:cs="Times New Roman"/>
                <w:color w:val="000000"/>
                <w:sz w:val="20"/>
                <w:szCs w:val="20"/>
                <w:lang w:eastAsia="fr-FR"/>
              </w:rPr>
              <w:sym w:font="Wingdings" w:char="F0C4"/>
            </w:r>
            <w:r w:rsidRPr="00BC65AA">
              <w:rPr>
                <w:rFonts w:ascii="Times New Roman" w:hAnsi="Times New Roman" w:cs="Times New Roman"/>
                <w:color w:val="000000"/>
                <w:sz w:val="20"/>
                <w:szCs w:val="20"/>
                <w:lang w:eastAsia="fr-FR"/>
              </w:rPr>
              <w:t xml:space="preserve"> Voici les résultats par Direction Commerciale : </w:t>
            </w:r>
          </w:p>
          <w:p w:rsidR="00E154FF" w:rsidRPr="00BC65AA" w:rsidRDefault="00E154FF" w:rsidP="00E154FF">
            <w:pPr>
              <w:ind w:left="708"/>
              <w:contextualSpacing/>
              <w:jc w:val="both"/>
              <w:rPr>
                <w:rFonts w:ascii="Times New Roman" w:hAnsi="Times New Roman" w:cs="Times New Roman"/>
                <w:color w:val="000000"/>
                <w:sz w:val="20"/>
                <w:szCs w:val="20"/>
                <w:lang w:eastAsia="fr-FR"/>
              </w:rPr>
            </w:pPr>
          </w:p>
          <w:p w:rsidR="00E154FF" w:rsidRPr="00BC65AA" w:rsidRDefault="00E154FF" w:rsidP="00B332E2">
            <w:pPr>
              <w:ind w:left="708"/>
              <w:contextualSpacing/>
              <w:jc w:val="center"/>
              <w:rPr>
                <w:rFonts w:ascii="Times New Roman" w:hAnsi="Times New Roman" w:cs="Times New Roman"/>
                <w:color w:val="000000"/>
                <w:sz w:val="20"/>
                <w:szCs w:val="20"/>
                <w:lang w:eastAsia="fr-FR"/>
              </w:rPr>
            </w:pPr>
            <w:r w:rsidRPr="00BC65AA">
              <w:rPr>
                <w:rFonts w:ascii="Times New Roman" w:hAnsi="Times New Roman" w:cs="Times New Roman"/>
                <w:noProof/>
                <w:color w:val="000000"/>
                <w:sz w:val="20"/>
                <w:szCs w:val="20"/>
                <w:lang w:eastAsia="fr-FR"/>
              </w:rPr>
              <w:drawing>
                <wp:inline distT="0" distB="0" distL="0" distR="0" wp14:anchorId="7013EE80" wp14:editId="47B1A3E1">
                  <wp:extent cx="5244238" cy="2099145"/>
                  <wp:effectExtent l="0" t="0" r="0" b="0"/>
                  <wp:docPr id="2050" name="Image 7"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Image 7" descr="image001"/>
                          <pic:cNvPicPr>
                            <a:picLocks noChangeAspect="1" noChangeArrowheads="1"/>
                          </pic:cNvPicPr>
                        </pic:nvPicPr>
                        <pic:blipFill rotWithShape="1">
                          <a:blip r:embed="rId14">
                            <a:extLst>
                              <a:ext uri="{28A0092B-C50C-407E-A947-70E740481C1C}">
                                <a14:useLocalDpi xmlns:a14="http://schemas.microsoft.com/office/drawing/2010/main" val="0"/>
                              </a:ext>
                            </a:extLst>
                          </a:blip>
                          <a:srcRect l="1584" t="17678" b="11465"/>
                          <a:stretch/>
                        </pic:blipFill>
                        <pic:spPr bwMode="auto">
                          <a:xfrm>
                            <a:off x="0" y="0"/>
                            <a:ext cx="5245450" cy="2099630"/>
                          </a:xfrm>
                          <a:prstGeom prst="rect">
                            <a:avLst/>
                          </a:prstGeom>
                          <a:noFill/>
                          <a:ln>
                            <a:noFill/>
                          </a:ln>
                          <a:extLst/>
                        </pic:spPr>
                      </pic:pic>
                    </a:graphicData>
                  </a:graphic>
                </wp:inline>
              </w:drawing>
            </w:r>
          </w:p>
          <w:p w:rsidR="00E154FF" w:rsidRPr="00BC65AA" w:rsidRDefault="00E154FF" w:rsidP="00E154FF">
            <w:pPr>
              <w:ind w:left="176"/>
              <w:contextualSpacing/>
              <w:jc w:val="both"/>
              <w:rPr>
                <w:rFonts w:ascii="Times New Roman" w:hAnsi="Times New Roman" w:cs="Times New Roman"/>
                <w:color w:val="000000"/>
                <w:sz w:val="20"/>
                <w:szCs w:val="20"/>
                <w:lang w:eastAsia="fr-FR"/>
              </w:rPr>
            </w:pPr>
          </w:p>
          <w:p w:rsidR="00E154FF" w:rsidRPr="00BC65AA" w:rsidRDefault="00E154FF" w:rsidP="00E154FF">
            <w:pPr>
              <w:ind w:left="176"/>
              <w:contextualSpacing/>
              <w:jc w:val="both"/>
              <w:rPr>
                <w:rFonts w:ascii="Times New Roman" w:hAnsi="Times New Roman" w:cs="Times New Roman"/>
                <w:color w:val="000000"/>
                <w:sz w:val="20"/>
                <w:szCs w:val="20"/>
                <w:lang w:eastAsia="fr-FR"/>
              </w:rPr>
            </w:pPr>
            <w:r w:rsidRPr="00BC65AA">
              <w:rPr>
                <w:rFonts w:ascii="Times New Roman" w:hAnsi="Times New Roman" w:cs="Times New Roman"/>
                <w:color w:val="000000"/>
                <w:sz w:val="20"/>
                <w:szCs w:val="20"/>
                <w:lang w:eastAsia="fr-FR"/>
              </w:rPr>
              <w:sym w:font="Wingdings" w:char="F0E8"/>
            </w:r>
            <w:r w:rsidRPr="00BC65AA">
              <w:rPr>
                <w:rFonts w:ascii="Times New Roman" w:hAnsi="Times New Roman" w:cs="Times New Roman"/>
                <w:color w:val="000000"/>
                <w:sz w:val="20"/>
                <w:szCs w:val="20"/>
                <w:lang w:eastAsia="fr-FR"/>
              </w:rPr>
              <w:t xml:space="preserve"> Chaque agence et secteur peut consulter sa propre avancée via ce lien </w:t>
            </w:r>
            <w:hyperlink r:id="rId15" w:history="1">
              <w:r w:rsidRPr="00BC65AA">
                <w:rPr>
                  <w:rStyle w:val="Lienhypertexte"/>
                  <w:rFonts w:ascii="Times New Roman" w:hAnsi="Times New Roman" w:cs="Times New Roman"/>
                  <w:sz w:val="20"/>
                  <w:szCs w:val="20"/>
                  <w:lang w:eastAsia="fr-FR"/>
                </w:rPr>
                <w:t>CLIC</w:t>
              </w:r>
            </w:hyperlink>
            <w:r w:rsidRPr="00BC65AA">
              <w:rPr>
                <w:rFonts w:ascii="Times New Roman" w:hAnsi="Times New Roman" w:cs="Times New Roman"/>
                <w:color w:val="000000"/>
                <w:sz w:val="20"/>
                <w:szCs w:val="20"/>
                <w:lang w:eastAsia="fr-FR"/>
              </w:rPr>
              <w:t xml:space="preserve"> (</w:t>
            </w:r>
            <w:r w:rsidRPr="00BC65AA">
              <w:rPr>
                <w:rFonts w:ascii="Times New Roman" w:hAnsi="Times New Roman" w:cs="Times New Roman"/>
                <w:i/>
                <w:iCs/>
                <w:color w:val="000000"/>
                <w:sz w:val="20"/>
                <w:szCs w:val="20"/>
                <w:lang w:eastAsia="fr-FR"/>
              </w:rPr>
              <w:t>2</w:t>
            </w:r>
            <w:r w:rsidRPr="00BC65AA">
              <w:rPr>
                <w:rFonts w:ascii="Times New Roman" w:hAnsi="Times New Roman" w:cs="Times New Roman"/>
                <w:i/>
                <w:iCs/>
                <w:color w:val="000000"/>
                <w:sz w:val="20"/>
                <w:szCs w:val="20"/>
                <w:vertAlign w:val="superscript"/>
                <w:lang w:eastAsia="fr-FR"/>
              </w:rPr>
              <w:t>nd</w:t>
            </w:r>
            <w:r w:rsidRPr="00BC65AA">
              <w:rPr>
                <w:rFonts w:ascii="Times New Roman" w:hAnsi="Times New Roman" w:cs="Times New Roman"/>
                <w:i/>
                <w:iCs/>
                <w:color w:val="000000"/>
                <w:sz w:val="20"/>
                <w:szCs w:val="20"/>
                <w:lang w:eastAsia="fr-FR"/>
              </w:rPr>
              <w:t xml:space="preserve"> onglet</w:t>
            </w:r>
            <w:r w:rsidRPr="00BC65AA">
              <w:rPr>
                <w:rFonts w:ascii="Times New Roman" w:hAnsi="Times New Roman" w:cs="Times New Roman"/>
                <w:color w:val="000000"/>
                <w:sz w:val="20"/>
                <w:szCs w:val="20"/>
                <w:lang w:eastAsia="fr-FR"/>
              </w:rPr>
              <w:t>)</w:t>
            </w:r>
          </w:p>
          <w:p w:rsidR="00E154FF" w:rsidRPr="00BC65AA" w:rsidRDefault="00E154FF" w:rsidP="00E154FF">
            <w:pPr>
              <w:ind w:left="176"/>
              <w:contextualSpacing/>
              <w:jc w:val="both"/>
              <w:rPr>
                <w:rFonts w:ascii="Times New Roman" w:hAnsi="Times New Roman" w:cs="Times New Roman"/>
                <w:color w:val="000000"/>
                <w:sz w:val="20"/>
                <w:szCs w:val="20"/>
                <w:lang w:eastAsia="fr-FR"/>
              </w:rPr>
            </w:pPr>
            <w:r w:rsidRPr="00BC65AA">
              <w:rPr>
                <w:rFonts w:ascii="Times New Roman" w:hAnsi="Times New Roman" w:cs="Times New Roman"/>
                <w:i/>
                <w:iCs/>
                <w:color w:val="C00000"/>
                <w:sz w:val="20"/>
                <w:szCs w:val="20"/>
                <w:lang w:eastAsia="fr-FR"/>
              </w:rPr>
              <w:t xml:space="preserve">Pour rappel : la date de fin de commercialisation est fixée au </w:t>
            </w:r>
            <w:r w:rsidRPr="00BC65AA">
              <w:rPr>
                <w:rFonts w:ascii="Times New Roman" w:hAnsi="Times New Roman" w:cs="Times New Roman"/>
                <w:b/>
                <w:bCs/>
                <w:i/>
                <w:iCs/>
                <w:color w:val="C00000"/>
                <w:sz w:val="20"/>
                <w:szCs w:val="20"/>
                <w:lang w:eastAsia="fr-FR"/>
              </w:rPr>
              <w:t>mercredi 12 décembre</w:t>
            </w:r>
          </w:p>
        </w:tc>
      </w:tr>
      <w:tr w:rsidR="00E154FF" w:rsidRPr="008A2C98" w:rsidTr="00E5696C">
        <w:trPr>
          <w:trHeight w:val="272"/>
        </w:trPr>
        <w:tc>
          <w:tcPr>
            <w:tcW w:w="1560" w:type="dxa"/>
            <w:tcBorders>
              <w:bottom w:val="single" w:sz="4" w:space="0" w:color="auto"/>
            </w:tcBorders>
          </w:tcPr>
          <w:p w:rsidR="00E154FF" w:rsidRPr="006E6BE3" w:rsidRDefault="00E154FF"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E154FF" w:rsidRPr="00E154FF" w:rsidRDefault="00E154FF" w:rsidP="005123F9">
            <w:pPr>
              <w:pStyle w:val="wordsection1"/>
              <w:rPr>
                <w:b/>
                <w:bCs/>
                <w:color w:val="000000"/>
                <w:sz w:val="20"/>
                <w:szCs w:val="20"/>
              </w:rPr>
            </w:pPr>
            <w:r w:rsidRPr="00E154FF">
              <w:rPr>
                <w:b/>
                <w:bCs/>
                <w:color w:val="000000"/>
                <w:sz w:val="20"/>
                <w:szCs w:val="20"/>
              </w:rPr>
              <w:t>Modification de la convention de comptes d’instruments financiers au 1</w:t>
            </w:r>
            <w:r w:rsidRPr="00E154FF">
              <w:rPr>
                <w:b/>
                <w:bCs/>
                <w:color w:val="000000"/>
                <w:sz w:val="20"/>
                <w:szCs w:val="20"/>
                <w:vertAlign w:val="superscript"/>
              </w:rPr>
              <w:t>er</w:t>
            </w:r>
            <w:r w:rsidRPr="00E154FF">
              <w:rPr>
                <w:b/>
                <w:bCs/>
                <w:color w:val="000000"/>
                <w:sz w:val="20"/>
                <w:szCs w:val="20"/>
              </w:rPr>
              <w:t xml:space="preserve"> mars 2019</w:t>
            </w:r>
          </w:p>
        </w:tc>
        <w:tc>
          <w:tcPr>
            <w:tcW w:w="12332" w:type="dxa"/>
            <w:tcBorders>
              <w:bottom w:val="single" w:sz="4" w:space="0" w:color="auto"/>
            </w:tcBorders>
            <w:shd w:val="clear" w:color="auto" w:fill="auto"/>
          </w:tcPr>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 xml:space="preserve">Les nouvelles conditions générales d’instruments financiers et dispositions relatives au PEA/PEA-PME entreront en vigueur à compter du </w:t>
            </w:r>
            <w:r w:rsidRPr="00B332E2">
              <w:rPr>
                <w:rFonts w:ascii="Times New Roman" w:hAnsi="Times New Roman" w:cs="Times New Roman"/>
                <w:sz w:val="20"/>
                <w:szCs w:val="20"/>
                <w:u w:val="single"/>
              </w:rPr>
              <w:t>1</w:t>
            </w:r>
            <w:r w:rsidRPr="00B332E2">
              <w:rPr>
                <w:rFonts w:ascii="Times New Roman" w:hAnsi="Times New Roman" w:cs="Times New Roman"/>
                <w:sz w:val="20"/>
                <w:szCs w:val="20"/>
                <w:u w:val="single"/>
                <w:vertAlign w:val="superscript"/>
              </w:rPr>
              <w:t>er</w:t>
            </w:r>
            <w:r w:rsidRPr="00B332E2">
              <w:rPr>
                <w:rFonts w:ascii="Times New Roman" w:hAnsi="Times New Roman" w:cs="Times New Roman"/>
                <w:sz w:val="20"/>
                <w:szCs w:val="20"/>
                <w:u w:val="single"/>
              </w:rPr>
              <w:t xml:space="preserve"> mars 2019</w:t>
            </w:r>
            <w:r w:rsidRPr="00B332E2">
              <w:rPr>
                <w:rFonts w:ascii="Times New Roman" w:hAnsi="Times New Roman" w:cs="Times New Roman"/>
                <w:sz w:val="20"/>
                <w:szCs w:val="20"/>
              </w:rPr>
              <w:t xml:space="preserve">. </w:t>
            </w:r>
            <w:r w:rsidRPr="00B332E2">
              <w:rPr>
                <w:rFonts w:ascii="Times New Roman" w:hAnsi="Times New Roman" w:cs="Times New Roman"/>
                <w:sz w:val="20"/>
                <w:szCs w:val="20"/>
                <w:u w:val="single"/>
              </w:rPr>
              <w:t>Seuls les clients détenteurs d’un CTO, d’un PEA ou d’un PEA/PME sont concernés.</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 xml:space="preserve">La règlementation nous impose de porter ces informations à la connaissance de nos clients au moins 2 mois avant l’entrée en vigueur de ces conditions. </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Voici comment nos clients seront informés pour respecter cette contrainte calendaire :</w:t>
            </w:r>
          </w:p>
          <w:p w:rsidR="00E154FF" w:rsidRPr="00B332E2" w:rsidRDefault="00E154FF" w:rsidP="002509C7">
            <w:pPr>
              <w:numPr>
                <w:ilvl w:val="0"/>
                <w:numId w:val="6"/>
              </w:numPr>
              <w:tabs>
                <w:tab w:val="left" w:pos="720"/>
              </w:tabs>
              <w:contextualSpacing/>
              <w:jc w:val="both"/>
              <w:rPr>
                <w:rFonts w:ascii="Times New Roman" w:hAnsi="Times New Roman" w:cs="Times New Roman"/>
                <w:sz w:val="20"/>
                <w:szCs w:val="20"/>
              </w:rPr>
            </w:pPr>
            <w:r w:rsidRPr="00B332E2">
              <w:rPr>
                <w:rFonts w:ascii="Times New Roman" w:hAnsi="Times New Roman" w:cs="Times New Roman"/>
                <w:b/>
                <w:bCs/>
                <w:sz w:val="20"/>
                <w:szCs w:val="20"/>
                <w:u w:val="single"/>
              </w:rPr>
              <w:t>Par le relevé de compte</w:t>
            </w:r>
            <w:r w:rsidRPr="00B332E2">
              <w:rPr>
                <w:rFonts w:ascii="Times New Roman" w:hAnsi="Times New Roman" w:cs="Times New Roman"/>
                <w:b/>
                <w:bCs/>
                <w:sz w:val="20"/>
                <w:szCs w:val="20"/>
              </w:rPr>
              <w:t xml:space="preserve"> </w:t>
            </w:r>
            <w:r w:rsidRPr="00B332E2">
              <w:rPr>
                <w:rFonts w:ascii="Times New Roman" w:hAnsi="Times New Roman" w:cs="Times New Roman"/>
                <w:b/>
                <w:bCs/>
                <w:sz w:val="20"/>
                <w:szCs w:val="20"/>
                <w:u w:val="single"/>
              </w:rPr>
              <w:t>papier et électronique de décembre</w:t>
            </w:r>
            <w:r w:rsidRPr="00B332E2">
              <w:rPr>
                <w:rFonts w:ascii="Times New Roman" w:hAnsi="Times New Roman" w:cs="Times New Roman"/>
                <w:b/>
                <w:bCs/>
                <w:sz w:val="20"/>
                <w:szCs w:val="20"/>
              </w:rPr>
              <w:t xml:space="preserve"> </w:t>
            </w:r>
            <w:r w:rsidRPr="00B332E2">
              <w:rPr>
                <w:rFonts w:ascii="Times New Roman" w:hAnsi="Times New Roman" w:cs="Times New Roman"/>
                <w:sz w:val="20"/>
                <w:szCs w:val="20"/>
              </w:rPr>
              <w:t xml:space="preserve">: un message dans le relevé de compte de décembre invite nos clients à consulter </w:t>
            </w:r>
            <w:r w:rsidRPr="00B332E2">
              <w:rPr>
                <w:rFonts w:ascii="Times New Roman" w:hAnsi="Times New Roman" w:cs="Times New Roman"/>
                <w:b/>
                <w:bCs/>
                <w:sz w:val="20"/>
                <w:szCs w:val="20"/>
              </w:rPr>
              <w:t>le site Internet de la Caisse d’Epargne</w:t>
            </w:r>
            <w:r w:rsidRPr="00B332E2">
              <w:rPr>
                <w:rFonts w:ascii="Times New Roman" w:hAnsi="Times New Roman" w:cs="Times New Roman"/>
                <w:sz w:val="20"/>
                <w:szCs w:val="20"/>
              </w:rPr>
              <w:t xml:space="preserve"> </w:t>
            </w:r>
            <w:hyperlink r:id="rId16" w:history="1">
              <w:r w:rsidRPr="00B332E2">
                <w:rPr>
                  <w:rStyle w:val="Lienhypertexte"/>
                  <w:rFonts w:ascii="Times New Roman" w:hAnsi="Times New Roman" w:cs="Times New Roman"/>
                  <w:sz w:val="20"/>
                  <w:szCs w:val="20"/>
                </w:rPr>
                <w:t>http://</w:t>
              </w:r>
            </w:hyperlink>
            <w:hyperlink r:id="rId17" w:history="1">
              <w:r w:rsidRPr="00B332E2">
                <w:rPr>
                  <w:rStyle w:val="Lienhypertexte"/>
                  <w:rFonts w:ascii="Times New Roman" w:hAnsi="Times New Roman" w:cs="Times New Roman"/>
                  <w:sz w:val="20"/>
                  <w:szCs w:val="20"/>
                </w:rPr>
                <w:t>www.caisse-epargne.fr</w:t>
              </w:r>
            </w:hyperlink>
            <w:r w:rsidRPr="00B332E2">
              <w:rPr>
                <w:rFonts w:ascii="Times New Roman" w:hAnsi="Times New Roman" w:cs="Times New Roman"/>
                <w:sz w:val="20"/>
                <w:szCs w:val="20"/>
                <w:u w:val="single"/>
              </w:rPr>
              <w:t xml:space="preserve"> </w:t>
            </w:r>
          </w:p>
          <w:p w:rsidR="00E154FF" w:rsidRPr="00B332E2" w:rsidRDefault="00E154FF" w:rsidP="00E154FF">
            <w:pPr>
              <w:ind w:left="708"/>
              <w:contextualSpacing/>
              <w:jc w:val="both"/>
              <w:rPr>
                <w:rFonts w:ascii="Times New Roman" w:hAnsi="Times New Roman" w:cs="Times New Roman"/>
                <w:sz w:val="20"/>
                <w:szCs w:val="20"/>
              </w:rPr>
            </w:pPr>
            <w:r w:rsidRPr="00B332E2">
              <w:rPr>
                <w:rFonts w:ascii="Times New Roman" w:hAnsi="Times New Roman" w:cs="Times New Roman"/>
                <w:sz w:val="20"/>
                <w:szCs w:val="20"/>
              </w:rPr>
              <w:sym w:font="Wingdings" w:char="F0C4"/>
            </w:r>
            <w:r w:rsidRPr="00B332E2">
              <w:rPr>
                <w:rFonts w:ascii="Times New Roman" w:hAnsi="Times New Roman" w:cs="Times New Roman"/>
                <w:sz w:val="20"/>
                <w:szCs w:val="20"/>
              </w:rPr>
              <w:t xml:space="preserve"> Voici ce que dit ce message : « </w:t>
            </w:r>
            <w:r w:rsidRPr="00B332E2">
              <w:rPr>
                <w:rFonts w:ascii="Times New Roman" w:hAnsi="Times New Roman" w:cs="Times New Roman"/>
                <w:iCs/>
                <w:sz w:val="20"/>
                <w:szCs w:val="20"/>
              </w:rPr>
              <w:t>Important : les conditions générales de la convention de compte d’instruments financiers ainsi que les dispositions relatives au PEA/PEA-PME,</w:t>
            </w:r>
            <w:r w:rsidR="005867D6" w:rsidRPr="00B332E2">
              <w:rPr>
                <w:rFonts w:ascii="Times New Roman" w:hAnsi="Times New Roman" w:cs="Times New Roman"/>
                <w:iCs/>
                <w:sz w:val="20"/>
                <w:szCs w:val="20"/>
              </w:rPr>
              <w:t xml:space="preserve"> </w:t>
            </w:r>
            <w:r w:rsidRPr="00B332E2">
              <w:rPr>
                <w:rFonts w:ascii="Times New Roman" w:hAnsi="Times New Roman" w:cs="Times New Roman"/>
                <w:iCs/>
                <w:sz w:val="20"/>
                <w:szCs w:val="20"/>
              </w:rPr>
              <w:t>évoluent au 1</w:t>
            </w:r>
            <w:r w:rsidRPr="00B332E2">
              <w:rPr>
                <w:rFonts w:ascii="Times New Roman" w:hAnsi="Times New Roman" w:cs="Times New Roman"/>
                <w:iCs/>
                <w:sz w:val="20"/>
                <w:szCs w:val="20"/>
                <w:vertAlign w:val="superscript"/>
              </w:rPr>
              <w:t>er</w:t>
            </w:r>
            <w:r w:rsidRPr="00B332E2">
              <w:rPr>
                <w:rFonts w:ascii="Times New Roman" w:hAnsi="Times New Roman" w:cs="Times New Roman"/>
                <w:iCs/>
                <w:sz w:val="20"/>
                <w:szCs w:val="20"/>
              </w:rPr>
              <w:t xml:space="preserve"> mars 2019. Vous pouvez les consulter à compter du 1</w:t>
            </w:r>
            <w:r w:rsidRPr="00B332E2">
              <w:rPr>
                <w:rFonts w:ascii="Times New Roman" w:hAnsi="Times New Roman" w:cs="Times New Roman"/>
                <w:iCs/>
                <w:sz w:val="20"/>
                <w:szCs w:val="20"/>
                <w:vertAlign w:val="superscript"/>
              </w:rPr>
              <w:t>er</w:t>
            </w:r>
            <w:r w:rsidRPr="00B332E2">
              <w:rPr>
                <w:rFonts w:ascii="Times New Roman" w:hAnsi="Times New Roman" w:cs="Times New Roman"/>
                <w:iCs/>
                <w:sz w:val="20"/>
                <w:szCs w:val="20"/>
              </w:rPr>
              <w:t xml:space="preserve"> décembre sur notre site </w:t>
            </w:r>
            <w:hyperlink r:id="rId18" w:history="1">
              <w:r w:rsidRPr="00B332E2">
                <w:rPr>
                  <w:rStyle w:val="Lienhypertexte"/>
                  <w:rFonts w:ascii="Times New Roman" w:hAnsi="Times New Roman" w:cs="Times New Roman"/>
                  <w:iCs/>
                  <w:sz w:val="20"/>
                  <w:szCs w:val="20"/>
                </w:rPr>
                <w:t>www.caisse-epargne.fr</w:t>
              </w:r>
            </w:hyperlink>
            <w:r w:rsidRPr="00B332E2">
              <w:rPr>
                <w:rFonts w:ascii="Times New Roman" w:hAnsi="Times New Roman" w:cs="Times New Roman"/>
                <w:iCs/>
                <w:sz w:val="20"/>
                <w:szCs w:val="20"/>
              </w:rPr>
              <w:t xml:space="preserve"> , Rubrique Tarifs et Informations réglementaires ou les obtenir sur simple demande auprès de votre agence.</w:t>
            </w:r>
            <w:r w:rsidRPr="00B332E2">
              <w:rPr>
                <w:rFonts w:ascii="Times New Roman" w:hAnsi="Times New Roman" w:cs="Times New Roman"/>
                <w:sz w:val="20"/>
                <w:szCs w:val="20"/>
              </w:rPr>
              <w:t xml:space="preserve"> » </w:t>
            </w:r>
            <w:r w:rsidRPr="00B332E2">
              <w:rPr>
                <w:rFonts w:ascii="Times New Roman" w:hAnsi="Times New Roman" w:cs="Times New Roman"/>
                <w:sz w:val="20"/>
                <w:szCs w:val="20"/>
              </w:rPr>
              <w:sym w:font="Wingdings" w:char="F0E0"/>
            </w:r>
            <w:r w:rsidRPr="00B332E2">
              <w:rPr>
                <w:rFonts w:ascii="Times New Roman" w:hAnsi="Times New Roman" w:cs="Times New Roman"/>
                <w:sz w:val="20"/>
                <w:szCs w:val="20"/>
              </w:rPr>
              <w:t xml:space="preserve"> accès direct </w:t>
            </w:r>
            <w:hyperlink r:id="rId19" w:history="1">
              <w:r w:rsidRPr="00B332E2">
                <w:rPr>
                  <w:rStyle w:val="Lienhypertexte"/>
                  <w:rFonts w:ascii="Times New Roman" w:hAnsi="Times New Roman" w:cs="Times New Roman"/>
                  <w:sz w:val="20"/>
                  <w:szCs w:val="20"/>
                </w:rPr>
                <w:t>CLIC</w:t>
              </w:r>
            </w:hyperlink>
          </w:p>
          <w:p w:rsidR="00E154FF" w:rsidRPr="00B332E2" w:rsidRDefault="00E154FF" w:rsidP="00B332E2">
            <w:pPr>
              <w:ind w:left="176"/>
              <w:contextualSpacing/>
              <w:jc w:val="both"/>
              <w:rPr>
                <w:rFonts w:ascii="Times New Roman" w:hAnsi="Times New Roman" w:cs="Times New Roman"/>
                <w:sz w:val="20"/>
                <w:szCs w:val="20"/>
              </w:rPr>
            </w:pPr>
            <w:r w:rsidRPr="00B332E2">
              <w:rPr>
                <w:rFonts w:ascii="Times New Roman" w:hAnsi="Times New Roman" w:cs="Times New Roman"/>
                <w:sz w:val="20"/>
                <w:szCs w:val="20"/>
              </w:rPr>
              <w:t> </w:t>
            </w:r>
            <w:r w:rsidRPr="00B332E2">
              <w:rPr>
                <w:rFonts w:ascii="Times New Roman" w:hAnsi="Times New Roman" w:cs="Times New Roman"/>
                <w:b/>
                <w:bCs/>
                <w:sz w:val="20"/>
                <w:szCs w:val="20"/>
                <w:u w:val="single"/>
              </w:rPr>
              <w:t>Par un message MSI</w:t>
            </w:r>
            <w:r w:rsidRPr="00B332E2">
              <w:rPr>
                <w:rFonts w:ascii="Times New Roman" w:hAnsi="Times New Roman" w:cs="Times New Roman"/>
                <w:b/>
                <w:bCs/>
                <w:sz w:val="20"/>
                <w:szCs w:val="20"/>
              </w:rPr>
              <w:t xml:space="preserve"> : </w:t>
            </w:r>
            <w:r w:rsidRPr="00B332E2">
              <w:rPr>
                <w:rFonts w:ascii="Times New Roman" w:hAnsi="Times New Roman" w:cs="Times New Roman"/>
                <w:sz w:val="20"/>
                <w:szCs w:val="20"/>
              </w:rPr>
              <w:t xml:space="preserve">le message invite le client à se rendre sur </w:t>
            </w:r>
            <w:r w:rsidRPr="00B332E2">
              <w:rPr>
                <w:rFonts w:ascii="Times New Roman" w:hAnsi="Times New Roman" w:cs="Times New Roman"/>
                <w:b/>
                <w:bCs/>
                <w:sz w:val="20"/>
                <w:szCs w:val="20"/>
              </w:rPr>
              <w:t>le site Internet de la Caisse d’Epargne</w:t>
            </w:r>
            <w:r w:rsidRPr="00B332E2">
              <w:rPr>
                <w:rFonts w:ascii="Times New Roman" w:hAnsi="Times New Roman" w:cs="Times New Roman"/>
                <w:sz w:val="20"/>
                <w:szCs w:val="20"/>
              </w:rPr>
              <w:t xml:space="preserve"> </w:t>
            </w:r>
            <w:hyperlink r:id="rId20" w:history="1">
              <w:r w:rsidRPr="00B332E2">
                <w:rPr>
                  <w:rStyle w:val="Lienhypertexte"/>
                  <w:rFonts w:ascii="Times New Roman" w:hAnsi="Times New Roman" w:cs="Times New Roman"/>
                  <w:sz w:val="20"/>
                  <w:szCs w:val="20"/>
                </w:rPr>
                <w:t>http://www.caisse-epargne.fr</w:t>
              </w:r>
            </w:hyperlink>
            <w:r w:rsidRPr="00B332E2">
              <w:rPr>
                <w:rFonts w:ascii="Times New Roman" w:hAnsi="Times New Roman" w:cs="Times New Roman"/>
                <w:sz w:val="20"/>
                <w:szCs w:val="20"/>
              </w:rPr>
              <w:t xml:space="preserve"> dans l’espace Banque au quotidien « Tarifs et Informations Réglementaires » et contient en pièce jointe</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iCs/>
                <w:sz w:val="20"/>
                <w:szCs w:val="20"/>
              </w:rPr>
              <w:t>NB : cette info Brief vise à vous donner les éléments nécessaires pour répondre à d’éventuelles questions de clients lisant ce message sur leur relevé de comptes.</w:t>
            </w:r>
          </w:p>
        </w:tc>
      </w:tr>
      <w:tr w:rsidR="00E154FF" w:rsidRPr="00E154FF" w:rsidTr="00E5696C">
        <w:trPr>
          <w:trHeight w:val="272"/>
        </w:trPr>
        <w:tc>
          <w:tcPr>
            <w:tcW w:w="1560" w:type="dxa"/>
            <w:tcBorders>
              <w:bottom w:val="single" w:sz="4" w:space="0" w:color="auto"/>
            </w:tcBorders>
          </w:tcPr>
          <w:p w:rsidR="00E154FF" w:rsidRPr="00E154FF" w:rsidRDefault="00E154FF" w:rsidP="005123F9">
            <w:pPr>
              <w:rPr>
                <w:rFonts w:ascii="Times New Roman" w:hAnsi="Times New Roman" w:cs="Times New Roman"/>
                <w:b/>
                <w:bCs/>
                <w:color w:val="000000"/>
                <w:sz w:val="20"/>
                <w:szCs w:val="20"/>
              </w:rPr>
            </w:pPr>
            <w:r w:rsidRPr="00E154FF">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E154FF" w:rsidRPr="00E154FF" w:rsidRDefault="00E154FF" w:rsidP="005123F9">
            <w:pPr>
              <w:pStyle w:val="wordsection1"/>
              <w:rPr>
                <w:b/>
                <w:bCs/>
                <w:color w:val="000000"/>
                <w:sz w:val="20"/>
                <w:szCs w:val="20"/>
              </w:rPr>
            </w:pPr>
            <w:r w:rsidRPr="00E154FF">
              <w:rPr>
                <w:b/>
                <w:bCs/>
                <w:color w:val="000000"/>
                <w:sz w:val="20"/>
                <w:szCs w:val="20"/>
              </w:rPr>
              <w:t>Fonds « sélectiz » &amp; « sélectiz plus » : arrivée d’un nouveau fonds</w:t>
            </w:r>
          </w:p>
        </w:tc>
        <w:tc>
          <w:tcPr>
            <w:tcW w:w="12332" w:type="dxa"/>
            <w:tcBorders>
              <w:bottom w:val="single" w:sz="4" w:space="0" w:color="auto"/>
            </w:tcBorders>
            <w:shd w:val="clear" w:color="auto" w:fill="auto"/>
          </w:tcPr>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b/>
                <w:bCs/>
                <w:sz w:val="20"/>
                <w:szCs w:val="20"/>
              </w:rPr>
              <w:t>La Gamme Sélectiz évolue !</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 Dans un contexte plus volatil pour les marchés financiers, l’équipe de gestion des fonds Sélectiz a souhaité enrichir la composition des fonds « Sélectiz » et « Sélectiz Plus », à travers une nouvelle expertise visant à renforcer robustesse et diversification des fonds dans la durée.</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Cette nouvelle expertise provient de la société de gestion </w:t>
            </w:r>
            <w:r w:rsidRPr="00B332E2">
              <w:rPr>
                <w:rFonts w:ascii="Times New Roman" w:hAnsi="Times New Roman" w:cs="Times New Roman"/>
                <w:b/>
                <w:bCs/>
                <w:sz w:val="20"/>
                <w:szCs w:val="20"/>
              </w:rPr>
              <w:t>DNCA Finance</w:t>
            </w:r>
            <w:r w:rsidRPr="00B332E2">
              <w:rPr>
                <w:rFonts w:ascii="Times New Roman" w:hAnsi="Times New Roman" w:cs="Times New Roman"/>
                <w:sz w:val="20"/>
                <w:szCs w:val="20"/>
              </w:rPr>
              <w:t>. Le fonds </w:t>
            </w:r>
            <w:r w:rsidRPr="00B332E2">
              <w:rPr>
                <w:rFonts w:ascii="Times New Roman" w:hAnsi="Times New Roman" w:cs="Times New Roman"/>
                <w:b/>
                <w:bCs/>
                <w:sz w:val="20"/>
                <w:szCs w:val="20"/>
              </w:rPr>
              <w:t>DNCA Invest Alpha Bonds*</w:t>
            </w:r>
            <w:r w:rsidRPr="00B332E2">
              <w:rPr>
                <w:rFonts w:ascii="Times New Roman" w:hAnsi="Times New Roman" w:cs="Times New Roman"/>
                <w:sz w:val="20"/>
                <w:szCs w:val="20"/>
              </w:rPr>
              <w:t> va ainsi monter à bord de Sélectiz et Sélectiz Plus afin de proposer une approche de type multi-stratégies obligataire internationale visant à délivrer un couple rendement/risque attractif et indépendant des conditions de marché.</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Cet ajout vise ainsi à offrir à « Sélectiz » et « Sélectiz Plus » moins de sensibilité à des baisses des marchés actions, tout en diversifiant davantage ses sources de performance.</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t> Vous trouverez très bientôt, sur votre Espace OPCVM BDD, l’ensemble des informations complémentaires dont vous avez besoin :</w:t>
            </w:r>
          </w:p>
          <w:p w:rsidR="00E154FF" w:rsidRPr="00B332E2" w:rsidRDefault="00E154FF" w:rsidP="00B332E2">
            <w:pPr>
              <w:numPr>
                <w:ilvl w:val="0"/>
                <w:numId w:val="17"/>
              </w:numPr>
              <w:contextualSpacing/>
              <w:jc w:val="both"/>
              <w:rPr>
                <w:rFonts w:ascii="Times New Roman" w:hAnsi="Times New Roman" w:cs="Times New Roman"/>
                <w:sz w:val="20"/>
                <w:szCs w:val="20"/>
              </w:rPr>
            </w:pPr>
            <w:r w:rsidRPr="00B332E2">
              <w:rPr>
                <w:rFonts w:ascii="Times New Roman" w:hAnsi="Times New Roman" w:cs="Times New Roman"/>
                <w:sz w:val="20"/>
                <w:szCs w:val="20"/>
              </w:rPr>
              <w:t xml:space="preserve">répartition des fonds dans l’allocation, </w:t>
            </w:r>
          </w:p>
          <w:p w:rsidR="00E154FF" w:rsidRPr="00B332E2" w:rsidRDefault="00E154FF" w:rsidP="00B332E2">
            <w:pPr>
              <w:numPr>
                <w:ilvl w:val="0"/>
                <w:numId w:val="17"/>
              </w:numPr>
              <w:contextualSpacing/>
              <w:jc w:val="both"/>
              <w:rPr>
                <w:rFonts w:ascii="Times New Roman" w:hAnsi="Times New Roman" w:cs="Times New Roman"/>
                <w:sz w:val="20"/>
                <w:szCs w:val="20"/>
              </w:rPr>
            </w:pPr>
            <w:r w:rsidRPr="00B332E2">
              <w:rPr>
                <w:rFonts w:ascii="Times New Roman" w:hAnsi="Times New Roman" w:cs="Times New Roman"/>
                <w:sz w:val="20"/>
                <w:szCs w:val="20"/>
              </w:rPr>
              <w:t xml:space="preserve">reporting Sélectiz et Sélectiz Plus, </w:t>
            </w:r>
          </w:p>
          <w:p w:rsidR="00E154FF" w:rsidRPr="00B332E2" w:rsidRDefault="00E154FF" w:rsidP="00B332E2">
            <w:pPr>
              <w:numPr>
                <w:ilvl w:val="0"/>
                <w:numId w:val="17"/>
              </w:numPr>
              <w:contextualSpacing/>
              <w:jc w:val="both"/>
              <w:rPr>
                <w:rFonts w:ascii="Times New Roman" w:hAnsi="Times New Roman" w:cs="Times New Roman"/>
                <w:sz w:val="20"/>
                <w:szCs w:val="20"/>
              </w:rPr>
            </w:pPr>
            <w:r w:rsidRPr="00B332E2">
              <w:rPr>
                <w:rFonts w:ascii="Times New Roman" w:hAnsi="Times New Roman" w:cs="Times New Roman"/>
                <w:sz w:val="20"/>
                <w:szCs w:val="20"/>
              </w:rPr>
              <w:t xml:space="preserve">fiche produit, </w:t>
            </w:r>
          </w:p>
          <w:p w:rsidR="00E154FF" w:rsidRPr="00B332E2" w:rsidRDefault="00E154FF" w:rsidP="00B332E2">
            <w:pPr>
              <w:numPr>
                <w:ilvl w:val="0"/>
                <w:numId w:val="17"/>
              </w:numPr>
              <w:contextualSpacing/>
              <w:jc w:val="both"/>
              <w:rPr>
                <w:rFonts w:ascii="Times New Roman" w:hAnsi="Times New Roman" w:cs="Times New Roman"/>
                <w:sz w:val="20"/>
                <w:szCs w:val="20"/>
              </w:rPr>
            </w:pPr>
            <w:r w:rsidRPr="00B332E2">
              <w:rPr>
                <w:rFonts w:ascii="Times New Roman" w:hAnsi="Times New Roman" w:cs="Times New Roman"/>
                <w:sz w:val="20"/>
                <w:szCs w:val="20"/>
              </w:rPr>
              <w:t>Vidéo</w:t>
            </w:r>
          </w:p>
          <w:p w:rsidR="00E154FF" w:rsidRPr="00B332E2" w:rsidRDefault="00E154FF" w:rsidP="00E154FF">
            <w:pPr>
              <w:numPr>
                <w:ilvl w:val="0"/>
                <w:numId w:val="5"/>
              </w:numPr>
              <w:tabs>
                <w:tab w:val="num" w:pos="720"/>
              </w:tabs>
              <w:ind w:left="176" w:hanging="176"/>
              <w:contextualSpacing/>
              <w:jc w:val="both"/>
              <w:rPr>
                <w:rFonts w:ascii="Times New Roman" w:hAnsi="Times New Roman" w:cs="Times New Roman"/>
                <w:sz w:val="20"/>
                <w:szCs w:val="20"/>
              </w:rPr>
            </w:pPr>
            <w:r w:rsidRPr="00B332E2">
              <w:rPr>
                <w:rFonts w:ascii="Times New Roman" w:hAnsi="Times New Roman" w:cs="Times New Roman"/>
                <w:sz w:val="20"/>
                <w:szCs w:val="20"/>
              </w:rPr>
              <w:sym w:font="Wingdings" w:char="F0C4"/>
            </w:r>
            <w:r w:rsidRPr="00B332E2">
              <w:rPr>
                <w:rFonts w:ascii="Times New Roman" w:hAnsi="Times New Roman" w:cs="Times New Roman"/>
                <w:sz w:val="20"/>
                <w:szCs w:val="20"/>
              </w:rPr>
              <w:t xml:space="preserve"> En attendant, découvrez d’ores et déjà le DICI associé à ce fonds </w:t>
            </w:r>
            <w:r w:rsidRPr="00B332E2">
              <w:rPr>
                <w:rFonts w:ascii="Times New Roman" w:hAnsi="Times New Roman" w:cs="Times New Roman"/>
                <w:sz w:val="20"/>
                <w:szCs w:val="20"/>
              </w:rPr>
              <w:sym w:font="Wingdings" w:char="F0E0"/>
            </w:r>
            <w:r w:rsidRPr="00B332E2">
              <w:rPr>
                <w:rFonts w:ascii="Times New Roman" w:hAnsi="Times New Roman" w:cs="Times New Roman"/>
                <w:sz w:val="20"/>
                <w:szCs w:val="20"/>
              </w:rPr>
              <w:t xml:space="preserve"> </w:t>
            </w:r>
            <w:hyperlink r:id="rId21" w:history="1">
              <w:r w:rsidRPr="00B332E2">
                <w:rPr>
                  <w:rStyle w:val="Lienhypertexte"/>
                  <w:rFonts w:ascii="Times New Roman" w:hAnsi="Times New Roman" w:cs="Times New Roman"/>
                  <w:sz w:val="20"/>
                  <w:szCs w:val="20"/>
                </w:rPr>
                <w:t>clic</w:t>
              </w:r>
            </w:hyperlink>
          </w:p>
          <w:p w:rsidR="005867D6" w:rsidRPr="00B332E2" w:rsidRDefault="00E154FF" w:rsidP="00E154FF">
            <w:pPr>
              <w:jc w:val="both"/>
              <w:rPr>
                <w:rFonts w:ascii="Times New Roman" w:hAnsi="Times New Roman" w:cs="Times New Roman"/>
                <w:i/>
                <w:iCs/>
                <w:sz w:val="20"/>
                <w:szCs w:val="20"/>
              </w:rPr>
            </w:pPr>
            <w:r w:rsidRPr="00B332E2">
              <w:rPr>
                <w:rFonts w:ascii="Times New Roman" w:hAnsi="Times New Roman" w:cs="Times New Roman"/>
                <w:i/>
                <w:iCs/>
                <w:sz w:val="20"/>
                <w:szCs w:val="20"/>
              </w:rPr>
              <w:t>* le fonds DNCA Invest Alpha Bonds présente un risque de perte en capital</w:t>
            </w:r>
          </w:p>
          <w:p w:rsidR="005867D6" w:rsidRPr="00B332E2" w:rsidRDefault="005867D6" w:rsidP="00E154FF">
            <w:pPr>
              <w:jc w:val="both"/>
              <w:rPr>
                <w:rFonts w:ascii="Times New Roman" w:hAnsi="Times New Roman" w:cs="Times New Roman"/>
                <w:i/>
                <w:iCs/>
                <w:sz w:val="20"/>
                <w:szCs w:val="20"/>
              </w:rPr>
            </w:pPr>
          </w:p>
        </w:tc>
      </w:tr>
      <w:tr w:rsidR="003A1AC9" w:rsidRPr="008A2C98" w:rsidTr="001912DF">
        <w:trPr>
          <w:trHeight w:val="349"/>
        </w:trPr>
        <w:tc>
          <w:tcPr>
            <w:tcW w:w="15735" w:type="dxa"/>
            <w:gridSpan w:val="3"/>
            <w:tcBorders>
              <w:bottom w:val="single" w:sz="4" w:space="0" w:color="auto"/>
            </w:tcBorders>
            <w:shd w:val="clear" w:color="auto" w:fill="BFBFBF" w:themeFill="background1" w:themeFillShade="BF"/>
            <w:vAlign w:val="center"/>
          </w:tcPr>
          <w:p w:rsidR="003A1AC9" w:rsidRPr="00425802" w:rsidRDefault="00D82F8B" w:rsidP="00450AC9">
            <w:pPr>
              <w:contextualSpacing/>
              <w:jc w:val="center"/>
              <w:rPr>
                <w:rFonts w:ascii="Times New Roman" w:hAnsi="Times New Roman" w:cs="Times New Roman"/>
                <w:b/>
                <w:bCs/>
                <w:iCs/>
                <w:sz w:val="20"/>
                <w:szCs w:val="20"/>
              </w:rPr>
            </w:pPr>
            <w:r w:rsidRPr="006E6BE3">
              <w:rPr>
                <w:rFonts w:ascii="Times New Roman" w:hAnsi="Times New Roman" w:cs="Times New Roman"/>
                <w:b/>
                <w:color w:val="000000"/>
                <w:sz w:val="20"/>
                <w:szCs w:val="20"/>
                <w:lang w:eastAsia="fr-FR"/>
              </w:rPr>
              <w:t>Bancarisation</w:t>
            </w:r>
          </w:p>
        </w:tc>
      </w:tr>
      <w:tr w:rsidR="00E154FF" w:rsidRPr="008A2C98" w:rsidTr="00E5696C">
        <w:trPr>
          <w:trHeight w:val="333"/>
        </w:trPr>
        <w:tc>
          <w:tcPr>
            <w:tcW w:w="1560" w:type="dxa"/>
            <w:tcBorders>
              <w:bottom w:val="single" w:sz="4" w:space="0" w:color="auto"/>
            </w:tcBorders>
          </w:tcPr>
          <w:p w:rsidR="00E154FF" w:rsidRDefault="00E154FF" w:rsidP="00ED4D8F">
            <w:pPr>
              <w:rPr>
                <w:rFonts w:ascii="Times New Roman" w:hAnsi="Times New Roman" w:cs="Times New Roman"/>
                <w:b/>
                <w:bCs/>
                <w:color w:val="000000"/>
                <w:sz w:val="20"/>
                <w:szCs w:val="20"/>
              </w:rPr>
            </w:pPr>
            <w:r w:rsidRPr="00E154FF">
              <w:rPr>
                <w:rFonts w:ascii="Times New Roman" w:hAnsi="Times New Roman" w:cs="Times New Roman"/>
                <w:b/>
                <w:bCs/>
                <w:color w:val="000000"/>
                <w:sz w:val="20"/>
                <w:szCs w:val="20"/>
              </w:rPr>
              <w:t>Com. DMA</w:t>
            </w:r>
          </w:p>
        </w:tc>
        <w:tc>
          <w:tcPr>
            <w:tcW w:w="1843" w:type="dxa"/>
            <w:tcBorders>
              <w:bottom w:val="single" w:sz="4" w:space="0" w:color="auto"/>
            </w:tcBorders>
          </w:tcPr>
          <w:p w:rsidR="00E154FF" w:rsidRPr="00B332E2" w:rsidRDefault="00E154FF" w:rsidP="005123F9">
            <w:pPr>
              <w:pStyle w:val="wordsection1"/>
              <w:rPr>
                <w:b/>
                <w:bCs/>
                <w:sz w:val="20"/>
                <w:szCs w:val="20"/>
              </w:rPr>
            </w:pPr>
            <w:r w:rsidRPr="00B332E2">
              <w:rPr>
                <w:b/>
                <w:bCs/>
                <w:sz w:val="20"/>
                <w:szCs w:val="20"/>
              </w:rPr>
              <w:t>Mobilité bancaire – banque de départ</w:t>
            </w:r>
            <w:r w:rsidRPr="00B332E2">
              <w:rPr>
                <w:b/>
                <w:bCs/>
                <w:sz w:val="20"/>
                <w:szCs w:val="20"/>
              </w:rPr>
              <w:br/>
              <w:t>2 nouveaux événements gerc prioritaires</w:t>
            </w:r>
          </w:p>
        </w:tc>
        <w:tc>
          <w:tcPr>
            <w:tcW w:w="12332" w:type="dxa"/>
            <w:tcBorders>
              <w:bottom w:val="single" w:sz="4" w:space="0" w:color="auto"/>
            </w:tcBorders>
            <w:shd w:val="clear" w:color="auto" w:fill="auto"/>
          </w:tcPr>
          <w:p w:rsidR="00B332E2" w:rsidRPr="00B332E2" w:rsidRDefault="00B332E2" w:rsidP="00B332E2">
            <w:pPr>
              <w:numPr>
                <w:ilvl w:val="0"/>
                <w:numId w:val="5"/>
              </w:numPr>
              <w:tabs>
                <w:tab w:val="num" w:pos="720"/>
              </w:tabs>
              <w:ind w:left="176" w:hanging="176"/>
              <w:contextualSpacing/>
              <w:jc w:val="both"/>
              <w:rPr>
                <w:rFonts w:ascii="Times New Roman" w:hAnsi="Times New Roman" w:cs="Times New Roman"/>
                <w:iCs/>
                <w:sz w:val="20"/>
                <w:szCs w:val="20"/>
              </w:rPr>
            </w:pPr>
            <w:r w:rsidRPr="00B332E2">
              <w:rPr>
                <w:rFonts w:ascii="Times New Roman" w:hAnsi="Times New Roman" w:cs="Times New Roman"/>
                <w:b/>
                <w:bCs/>
                <w:iCs/>
                <w:sz w:val="20"/>
                <w:szCs w:val="20"/>
                <w:u w:val="single"/>
              </w:rPr>
              <w:t>Contexte</w:t>
            </w:r>
            <w:r w:rsidRPr="00B332E2">
              <w:rPr>
                <w:rFonts w:ascii="Times New Roman" w:hAnsi="Times New Roman" w:cs="Times New Roman"/>
                <w:iCs/>
                <w:sz w:val="20"/>
                <w:szCs w:val="20"/>
              </w:rPr>
              <w:t xml:space="preserve"> : lorsque qu’un de nos clients souhaite nous quitter pour une autre banque, </w:t>
            </w:r>
            <w:r w:rsidRPr="00B332E2">
              <w:rPr>
                <w:rFonts w:ascii="Times New Roman" w:hAnsi="Times New Roman" w:cs="Times New Roman"/>
                <w:b/>
                <w:bCs/>
                <w:iCs/>
                <w:sz w:val="20"/>
                <w:szCs w:val="20"/>
              </w:rPr>
              <w:t xml:space="preserve">dans le cadre de la Mobilité bancaire </w:t>
            </w:r>
            <w:r w:rsidRPr="00B332E2">
              <w:rPr>
                <w:rFonts w:ascii="Times New Roman" w:hAnsi="Times New Roman" w:cs="Times New Roman"/>
                <w:iCs/>
                <w:sz w:val="20"/>
                <w:szCs w:val="20"/>
              </w:rPr>
              <w:t>(</w:t>
            </w:r>
            <w:r w:rsidRPr="00B332E2">
              <w:rPr>
                <w:rFonts w:ascii="Times New Roman" w:hAnsi="Times New Roman" w:cs="Times New Roman"/>
                <w:i/>
                <w:iCs/>
                <w:sz w:val="20"/>
                <w:szCs w:val="20"/>
              </w:rPr>
              <w:t>volet banque de départ</w:t>
            </w:r>
            <w:r w:rsidRPr="00B332E2">
              <w:rPr>
                <w:rFonts w:ascii="Times New Roman" w:hAnsi="Times New Roman" w:cs="Times New Roman"/>
                <w:iCs/>
                <w:sz w:val="20"/>
                <w:szCs w:val="20"/>
              </w:rPr>
              <w:t xml:space="preserve">), il peut demander la clôture de son compte CEGEE avec le virement automatique du solde vers son nouveau compte d’arrivée (banque concurrente) à une date donnée. </w:t>
            </w:r>
            <w:r w:rsidRPr="00B332E2">
              <w:rPr>
                <w:rFonts w:ascii="Times New Roman" w:hAnsi="Times New Roman" w:cs="Times New Roman"/>
                <w:b/>
                <w:bCs/>
                <w:iCs/>
                <w:sz w:val="20"/>
                <w:szCs w:val="20"/>
                <w:u w:val="single"/>
              </w:rPr>
              <w:t>Le traitement de cette demande de clôture est une obligation réglementaire</w:t>
            </w:r>
            <w:r w:rsidRPr="00B332E2">
              <w:rPr>
                <w:rFonts w:ascii="Times New Roman" w:hAnsi="Times New Roman" w:cs="Times New Roman"/>
                <w:b/>
                <w:bCs/>
                <w:iCs/>
                <w:sz w:val="20"/>
                <w:szCs w:val="20"/>
              </w:rPr>
              <w:t>. De plus, cette clôture doit intervenir dans les 7 jours qui suivent son apparition.</w:t>
            </w:r>
          </w:p>
          <w:p w:rsidR="00B332E2" w:rsidRPr="00B332E2" w:rsidRDefault="00B332E2" w:rsidP="00B332E2">
            <w:pPr>
              <w:ind w:left="720"/>
              <w:contextualSpacing/>
              <w:rPr>
                <w:rFonts w:ascii="Times New Roman" w:hAnsi="Times New Roman" w:cs="Times New Roman"/>
                <w:iCs/>
                <w:sz w:val="20"/>
                <w:szCs w:val="20"/>
              </w:rPr>
            </w:pPr>
          </w:p>
          <w:p w:rsidR="00B332E2" w:rsidRPr="00B332E2" w:rsidRDefault="00B332E2" w:rsidP="00B332E2">
            <w:pPr>
              <w:numPr>
                <w:ilvl w:val="0"/>
                <w:numId w:val="5"/>
              </w:numPr>
              <w:tabs>
                <w:tab w:val="num" w:pos="720"/>
              </w:tabs>
              <w:ind w:left="176" w:hanging="176"/>
              <w:contextualSpacing/>
              <w:jc w:val="both"/>
              <w:rPr>
                <w:rFonts w:ascii="Times New Roman" w:hAnsi="Times New Roman" w:cs="Times New Roman"/>
                <w:iCs/>
                <w:sz w:val="20"/>
                <w:szCs w:val="20"/>
              </w:rPr>
            </w:pPr>
            <w:r w:rsidRPr="00B332E2">
              <w:rPr>
                <w:rFonts w:ascii="Times New Roman" w:hAnsi="Times New Roman" w:cs="Times New Roman"/>
                <w:b/>
                <w:bCs/>
                <w:iCs/>
                <w:sz w:val="20"/>
                <w:szCs w:val="20"/>
                <w:u w:val="single"/>
              </w:rPr>
              <w:t>Qui fait quoi</w:t>
            </w:r>
            <w:r w:rsidRPr="00B332E2">
              <w:rPr>
                <w:rFonts w:ascii="Times New Roman" w:hAnsi="Times New Roman" w:cs="Times New Roman"/>
                <w:iCs/>
                <w:sz w:val="20"/>
                <w:szCs w:val="20"/>
              </w:rPr>
              <w:t xml:space="preserve"> : dans le cadre du suivi relationnel auquel nous sommes attachés, il appartient à chaque Gestionnaire concerné par une telle demande de clôture de prendre contact téléphoniquement avec son client. L’objectif de cet appel peut être triple :</w:t>
            </w:r>
          </w:p>
          <w:p w:rsidR="00B332E2" w:rsidRPr="00B332E2" w:rsidRDefault="00B332E2" w:rsidP="00B332E2">
            <w:pPr>
              <w:numPr>
                <w:ilvl w:val="1"/>
                <w:numId w:val="18"/>
              </w:numPr>
              <w:contextualSpacing/>
              <w:rPr>
                <w:rFonts w:ascii="Times New Roman" w:hAnsi="Times New Roman" w:cs="Times New Roman"/>
                <w:iCs/>
                <w:sz w:val="20"/>
                <w:szCs w:val="20"/>
              </w:rPr>
            </w:pPr>
            <w:r w:rsidRPr="00B332E2">
              <w:rPr>
                <w:rFonts w:ascii="Times New Roman" w:hAnsi="Times New Roman" w:cs="Times New Roman"/>
                <w:iCs/>
                <w:sz w:val="20"/>
                <w:szCs w:val="20"/>
              </w:rPr>
              <w:t>Le sonder sur les raisons qui le poussent à quitter la CEGEE</w:t>
            </w:r>
          </w:p>
          <w:p w:rsidR="00B332E2" w:rsidRPr="00B332E2" w:rsidRDefault="00B332E2" w:rsidP="00B332E2">
            <w:pPr>
              <w:numPr>
                <w:ilvl w:val="1"/>
                <w:numId w:val="18"/>
              </w:numPr>
              <w:contextualSpacing/>
              <w:rPr>
                <w:rFonts w:ascii="Times New Roman" w:hAnsi="Times New Roman" w:cs="Times New Roman"/>
                <w:iCs/>
                <w:sz w:val="20"/>
                <w:szCs w:val="20"/>
              </w:rPr>
            </w:pPr>
            <w:r w:rsidRPr="00B332E2">
              <w:rPr>
                <w:rFonts w:ascii="Times New Roman" w:hAnsi="Times New Roman" w:cs="Times New Roman"/>
                <w:iCs/>
                <w:sz w:val="20"/>
                <w:szCs w:val="20"/>
              </w:rPr>
              <w:t>Faire un point sur les autres produits et services détenus, avec une volonté de conserver ces avoirs</w:t>
            </w:r>
          </w:p>
          <w:p w:rsidR="00B332E2" w:rsidRPr="00B332E2" w:rsidRDefault="00B332E2" w:rsidP="00B332E2">
            <w:pPr>
              <w:numPr>
                <w:ilvl w:val="1"/>
                <w:numId w:val="18"/>
              </w:numPr>
              <w:contextualSpacing/>
              <w:rPr>
                <w:rFonts w:ascii="Times New Roman" w:hAnsi="Times New Roman" w:cs="Times New Roman"/>
                <w:iCs/>
                <w:sz w:val="20"/>
                <w:szCs w:val="20"/>
              </w:rPr>
            </w:pPr>
            <w:r w:rsidRPr="00B332E2">
              <w:rPr>
                <w:rFonts w:ascii="Times New Roman" w:hAnsi="Times New Roman" w:cs="Times New Roman"/>
                <w:iCs/>
                <w:sz w:val="20"/>
                <w:szCs w:val="20"/>
              </w:rPr>
              <w:t xml:space="preserve">Vérifier avec lui que rien ne s’oppose à la clôture </w:t>
            </w:r>
            <w:r w:rsidRPr="00B332E2">
              <w:rPr>
                <w:rFonts w:ascii="Times New Roman" w:hAnsi="Times New Roman" w:cs="Times New Roman"/>
                <w:i/>
                <w:iCs/>
                <w:sz w:val="20"/>
                <w:szCs w:val="20"/>
              </w:rPr>
              <w:t>(alimentation PEL, virements permanent, remboursement crédit, blocages, oppositions, …)</w:t>
            </w:r>
          </w:p>
          <w:p w:rsidR="00B332E2" w:rsidRPr="00B332E2" w:rsidRDefault="00B332E2" w:rsidP="00B332E2">
            <w:pPr>
              <w:contextualSpacing/>
              <w:rPr>
                <w:rFonts w:ascii="Times New Roman" w:hAnsi="Times New Roman" w:cs="Times New Roman"/>
                <w:iCs/>
                <w:sz w:val="20"/>
                <w:szCs w:val="20"/>
              </w:rPr>
            </w:pPr>
            <w:r w:rsidRPr="00B332E2">
              <w:rPr>
                <w:rFonts w:ascii="Times New Roman" w:hAnsi="Times New Roman" w:cs="Times New Roman"/>
                <w:iCs/>
                <w:sz w:val="20"/>
                <w:szCs w:val="20"/>
              </w:rPr>
              <w:tab/>
            </w:r>
            <w:r w:rsidRPr="00B332E2">
              <w:rPr>
                <w:rFonts w:ascii="Times New Roman" w:hAnsi="Times New Roman" w:cs="Times New Roman"/>
                <w:iCs/>
                <w:sz w:val="20"/>
                <w:szCs w:val="20"/>
              </w:rPr>
              <w:sym w:font="Wingdings" w:char="F0C4"/>
            </w:r>
            <w:r w:rsidRPr="00B332E2">
              <w:rPr>
                <w:rFonts w:ascii="Times New Roman" w:hAnsi="Times New Roman" w:cs="Times New Roman"/>
                <w:iCs/>
                <w:sz w:val="20"/>
                <w:szCs w:val="20"/>
              </w:rPr>
              <w:t xml:space="preserve"> Dans la foulée, vous pourrez procéder à la clôture de ce compte.</w:t>
            </w:r>
          </w:p>
          <w:p w:rsidR="00B332E2" w:rsidRPr="00B332E2" w:rsidRDefault="00B332E2" w:rsidP="00B332E2">
            <w:pPr>
              <w:contextualSpacing/>
              <w:rPr>
                <w:rFonts w:ascii="Times New Roman" w:hAnsi="Times New Roman" w:cs="Times New Roman"/>
                <w:iCs/>
                <w:sz w:val="20"/>
                <w:szCs w:val="20"/>
              </w:rPr>
            </w:pPr>
          </w:p>
          <w:p w:rsidR="00B332E2" w:rsidRPr="00B332E2" w:rsidRDefault="00B332E2" w:rsidP="00B332E2">
            <w:pPr>
              <w:numPr>
                <w:ilvl w:val="0"/>
                <w:numId w:val="5"/>
              </w:numPr>
              <w:tabs>
                <w:tab w:val="num" w:pos="720"/>
              </w:tabs>
              <w:ind w:left="176" w:hanging="176"/>
              <w:contextualSpacing/>
              <w:jc w:val="both"/>
              <w:rPr>
                <w:rFonts w:ascii="Times New Roman" w:hAnsi="Times New Roman" w:cs="Times New Roman"/>
                <w:iCs/>
                <w:sz w:val="20"/>
                <w:szCs w:val="20"/>
              </w:rPr>
            </w:pPr>
            <w:r w:rsidRPr="00B332E2">
              <w:rPr>
                <w:rFonts w:ascii="Times New Roman" w:hAnsi="Times New Roman" w:cs="Times New Roman"/>
                <w:b/>
                <w:bCs/>
                <w:iCs/>
                <w:sz w:val="20"/>
                <w:szCs w:val="20"/>
                <w:u w:val="single"/>
              </w:rPr>
              <w:t>Comment savoir qu’un de mes clients souhaite une clôture dans le cadre de la Mobilité Bancaire ?</w:t>
            </w:r>
          </w:p>
          <w:p w:rsidR="00B332E2" w:rsidRPr="00B332E2" w:rsidRDefault="00B332E2" w:rsidP="00B332E2">
            <w:pPr>
              <w:ind w:left="176"/>
              <w:contextualSpacing/>
              <w:rPr>
                <w:rFonts w:ascii="Times New Roman" w:hAnsi="Times New Roman" w:cs="Times New Roman"/>
                <w:iCs/>
                <w:sz w:val="20"/>
                <w:szCs w:val="20"/>
              </w:rPr>
            </w:pPr>
            <w:r w:rsidRPr="00B332E2">
              <w:rPr>
                <w:rFonts w:ascii="Times New Roman" w:hAnsi="Times New Roman" w:cs="Times New Roman"/>
                <w:b/>
                <w:bCs/>
                <w:iCs/>
                <w:sz w:val="20"/>
                <w:szCs w:val="20"/>
              </w:rPr>
              <w:t xml:space="preserve">2 nouveaux évènements GERC PRIORITAIRES </w:t>
            </w:r>
            <w:r w:rsidRPr="00B332E2">
              <w:rPr>
                <w:rFonts w:ascii="Times New Roman" w:hAnsi="Times New Roman" w:cs="Times New Roman"/>
                <w:iCs/>
                <w:sz w:val="20"/>
                <w:szCs w:val="20"/>
              </w:rPr>
              <w:t xml:space="preserve">sont désormais disponibles et vous demanderont un traitement </w:t>
            </w:r>
            <w:proofErr w:type="spellStart"/>
            <w:r w:rsidRPr="00B332E2">
              <w:rPr>
                <w:rFonts w:ascii="Times New Roman" w:hAnsi="Times New Roman" w:cs="Times New Roman"/>
                <w:iCs/>
                <w:sz w:val="20"/>
                <w:szCs w:val="20"/>
              </w:rPr>
              <w:t>assidi</w:t>
            </w:r>
            <w:proofErr w:type="spellEnd"/>
            <w:r w:rsidRPr="00B332E2">
              <w:rPr>
                <w:rFonts w:ascii="Times New Roman" w:hAnsi="Times New Roman" w:cs="Times New Roman"/>
                <w:iCs/>
                <w:sz w:val="20"/>
                <w:szCs w:val="20"/>
              </w:rPr>
              <w:t xml:space="preserve"> afin d’être conforme à la réglementation :</w:t>
            </w:r>
          </w:p>
          <w:p w:rsidR="00B332E2" w:rsidRPr="00B332E2" w:rsidRDefault="00B332E2" w:rsidP="00BC65AA">
            <w:pPr>
              <w:pStyle w:val="Paragraphedeliste"/>
              <w:numPr>
                <w:ilvl w:val="1"/>
                <w:numId w:val="11"/>
              </w:numPr>
              <w:ind w:left="1451" w:hanging="345"/>
              <w:rPr>
                <w:rFonts w:ascii="Times New Roman" w:hAnsi="Times New Roman" w:cs="Times New Roman"/>
                <w:iCs/>
                <w:sz w:val="20"/>
                <w:szCs w:val="20"/>
              </w:rPr>
            </w:pPr>
            <w:r w:rsidRPr="00B332E2">
              <w:rPr>
                <w:rFonts w:ascii="Times New Roman" w:hAnsi="Times New Roman" w:cs="Times New Roman"/>
                <w:iCs/>
                <w:sz w:val="20"/>
                <w:szCs w:val="20"/>
              </w:rPr>
              <w:t>« </w:t>
            </w:r>
            <w:r w:rsidRPr="00B332E2">
              <w:rPr>
                <w:rFonts w:ascii="Times New Roman" w:hAnsi="Times New Roman" w:cs="Times New Roman"/>
                <w:b/>
                <w:bCs/>
                <w:iCs/>
                <w:sz w:val="20"/>
                <w:szCs w:val="20"/>
              </w:rPr>
              <w:t xml:space="preserve">Mob </w:t>
            </w:r>
            <w:proofErr w:type="spellStart"/>
            <w:r w:rsidRPr="00B332E2">
              <w:rPr>
                <w:rFonts w:ascii="Times New Roman" w:hAnsi="Times New Roman" w:cs="Times New Roman"/>
                <w:b/>
                <w:bCs/>
                <w:iCs/>
                <w:sz w:val="20"/>
                <w:szCs w:val="20"/>
              </w:rPr>
              <w:t>bq</w:t>
            </w:r>
            <w:proofErr w:type="spellEnd"/>
            <w:r w:rsidRPr="00B332E2">
              <w:rPr>
                <w:rFonts w:ascii="Times New Roman" w:hAnsi="Times New Roman" w:cs="Times New Roman"/>
                <w:b/>
                <w:bCs/>
                <w:iCs/>
                <w:sz w:val="20"/>
                <w:szCs w:val="20"/>
              </w:rPr>
              <w:t>-Départ – Compte à clore</w:t>
            </w:r>
            <w:r w:rsidRPr="00B332E2">
              <w:rPr>
                <w:rFonts w:ascii="Times New Roman" w:hAnsi="Times New Roman" w:cs="Times New Roman"/>
                <w:iCs/>
                <w:sz w:val="20"/>
                <w:szCs w:val="20"/>
              </w:rPr>
              <w:t> » :</w:t>
            </w:r>
          </w:p>
          <w:p w:rsidR="00B332E2" w:rsidRPr="00B332E2" w:rsidRDefault="00B332E2" w:rsidP="00BC65AA">
            <w:pPr>
              <w:ind w:left="1451" w:hanging="35"/>
              <w:contextualSpacing/>
              <w:rPr>
                <w:rFonts w:ascii="Times New Roman" w:hAnsi="Times New Roman" w:cs="Times New Roman"/>
                <w:iCs/>
                <w:sz w:val="20"/>
                <w:szCs w:val="20"/>
              </w:rPr>
            </w:pPr>
            <w:r w:rsidRPr="00B332E2">
              <w:rPr>
                <w:rFonts w:ascii="Times New Roman" w:hAnsi="Times New Roman" w:cs="Times New Roman"/>
                <w:iCs/>
                <w:sz w:val="20"/>
                <w:szCs w:val="20"/>
              </w:rPr>
              <w:t>Cet évènement est généré 7 jours avant la survenue de la date butoir de demande de clôture du compte. Il est donc impératif de traiter cet évènement dès son apparition dans votre PDO</w:t>
            </w:r>
          </w:p>
          <w:p w:rsidR="00B332E2" w:rsidRPr="00B332E2" w:rsidRDefault="00B332E2" w:rsidP="00BC65AA">
            <w:pPr>
              <w:ind w:left="1451" w:hanging="345"/>
              <w:contextualSpacing/>
              <w:rPr>
                <w:rFonts w:ascii="Times New Roman" w:hAnsi="Times New Roman" w:cs="Times New Roman"/>
                <w:iCs/>
                <w:sz w:val="20"/>
                <w:szCs w:val="20"/>
              </w:rPr>
            </w:pPr>
            <w:r w:rsidRPr="00B332E2">
              <w:rPr>
                <w:rFonts w:ascii="Times New Roman" w:hAnsi="Times New Roman" w:cs="Times New Roman"/>
                <w:b/>
                <w:bCs/>
                <w:iCs/>
                <w:sz w:val="20"/>
                <w:szCs w:val="20"/>
              </w:rPr>
              <w:t xml:space="preserve">NB : après traitement de la demande de clôture, </w:t>
            </w:r>
            <w:r w:rsidRPr="00B332E2">
              <w:rPr>
                <w:rFonts w:ascii="Times New Roman" w:hAnsi="Times New Roman" w:cs="Times New Roman"/>
                <w:b/>
                <w:bCs/>
                <w:iCs/>
                <w:sz w:val="20"/>
                <w:szCs w:val="20"/>
                <w:u w:val="single"/>
              </w:rPr>
              <w:t>dans tous les cas</w:t>
            </w:r>
            <w:r w:rsidRPr="00B332E2">
              <w:rPr>
                <w:rFonts w:ascii="Times New Roman" w:hAnsi="Times New Roman" w:cs="Times New Roman"/>
                <w:b/>
                <w:bCs/>
                <w:iCs/>
                <w:sz w:val="20"/>
                <w:szCs w:val="20"/>
              </w:rPr>
              <w:t xml:space="preserve"> </w:t>
            </w:r>
            <w:r w:rsidRPr="00B332E2">
              <w:rPr>
                <w:rFonts w:ascii="Times New Roman" w:hAnsi="Times New Roman" w:cs="Times New Roman"/>
                <w:i/>
                <w:iCs/>
                <w:sz w:val="20"/>
                <w:szCs w:val="20"/>
              </w:rPr>
              <w:t xml:space="preserve">(clôture ou non clôture du compte), </w:t>
            </w:r>
            <w:r w:rsidRPr="00B332E2">
              <w:rPr>
                <w:rFonts w:ascii="Times New Roman" w:hAnsi="Times New Roman" w:cs="Times New Roman"/>
                <w:b/>
                <w:bCs/>
                <w:iCs/>
                <w:sz w:val="20"/>
                <w:szCs w:val="20"/>
              </w:rPr>
              <w:t xml:space="preserve">il convient de : </w:t>
            </w:r>
          </w:p>
          <w:p w:rsidR="00B332E2" w:rsidRPr="00B332E2" w:rsidRDefault="00B332E2" w:rsidP="00BC65AA">
            <w:pPr>
              <w:numPr>
                <w:ilvl w:val="1"/>
                <w:numId w:val="9"/>
              </w:numPr>
              <w:ind w:left="1451" w:hanging="345"/>
              <w:contextualSpacing/>
              <w:rPr>
                <w:rFonts w:ascii="Times New Roman" w:hAnsi="Times New Roman" w:cs="Times New Roman"/>
                <w:iCs/>
                <w:sz w:val="20"/>
                <w:szCs w:val="20"/>
              </w:rPr>
            </w:pPr>
            <w:r w:rsidRPr="00B332E2">
              <w:rPr>
                <w:rFonts w:ascii="Times New Roman" w:hAnsi="Times New Roman" w:cs="Times New Roman"/>
                <w:b/>
                <w:bCs/>
                <w:iCs/>
                <w:sz w:val="20"/>
                <w:szCs w:val="20"/>
              </w:rPr>
              <w:t xml:space="preserve">Mettre à jour l’évènement (saisie d’un compte-rendu d’entretien, Vu, </w:t>
            </w:r>
            <w:proofErr w:type="spellStart"/>
            <w:r w:rsidRPr="00B332E2">
              <w:rPr>
                <w:rFonts w:ascii="Times New Roman" w:hAnsi="Times New Roman" w:cs="Times New Roman"/>
                <w:b/>
                <w:bCs/>
                <w:iCs/>
                <w:sz w:val="20"/>
                <w:szCs w:val="20"/>
              </w:rPr>
              <w:t>RdV</w:t>
            </w:r>
            <w:proofErr w:type="spellEnd"/>
            <w:r w:rsidRPr="00B332E2">
              <w:rPr>
                <w:rFonts w:ascii="Times New Roman" w:hAnsi="Times New Roman" w:cs="Times New Roman"/>
                <w:b/>
                <w:bCs/>
                <w:iCs/>
                <w:sz w:val="20"/>
                <w:szCs w:val="20"/>
              </w:rPr>
              <w:t xml:space="preserve">, …) </w:t>
            </w:r>
          </w:p>
          <w:p w:rsidR="00B332E2" w:rsidRPr="00B332E2" w:rsidRDefault="00B332E2" w:rsidP="00BC65AA">
            <w:pPr>
              <w:numPr>
                <w:ilvl w:val="1"/>
                <w:numId w:val="9"/>
              </w:numPr>
              <w:ind w:left="1451" w:hanging="345"/>
              <w:contextualSpacing/>
              <w:rPr>
                <w:rFonts w:ascii="Times New Roman" w:hAnsi="Times New Roman" w:cs="Times New Roman"/>
                <w:iCs/>
                <w:sz w:val="20"/>
                <w:szCs w:val="20"/>
              </w:rPr>
            </w:pPr>
            <w:r w:rsidRPr="00B332E2">
              <w:rPr>
                <w:rFonts w:ascii="Times New Roman" w:hAnsi="Times New Roman" w:cs="Times New Roman"/>
                <w:b/>
                <w:bCs/>
                <w:iCs/>
                <w:sz w:val="20"/>
                <w:szCs w:val="20"/>
              </w:rPr>
              <w:t>Clôturer les actions du dossier de Mobilité bancaire dans la transaction Mobilité bancaire - Banque de départ</w:t>
            </w:r>
          </w:p>
          <w:p w:rsidR="00B332E2" w:rsidRPr="00B332E2" w:rsidRDefault="00B332E2" w:rsidP="00BC65AA">
            <w:pPr>
              <w:ind w:left="1451" w:hanging="345"/>
              <w:contextualSpacing/>
              <w:rPr>
                <w:rFonts w:ascii="Times New Roman" w:hAnsi="Times New Roman" w:cs="Times New Roman"/>
                <w:iCs/>
                <w:sz w:val="20"/>
                <w:szCs w:val="20"/>
              </w:rPr>
            </w:pPr>
            <w:r w:rsidRPr="00B332E2">
              <w:rPr>
                <w:rFonts w:ascii="Times New Roman" w:hAnsi="Times New Roman" w:cs="Times New Roman"/>
                <w:i/>
                <w:iCs/>
                <w:sz w:val="20"/>
                <w:szCs w:val="20"/>
              </w:rPr>
              <w:sym w:font="Wingdings" w:char="F0C4"/>
            </w:r>
            <w:r w:rsidRPr="00B332E2">
              <w:rPr>
                <w:rFonts w:ascii="Times New Roman" w:hAnsi="Times New Roman" w:cs="Times New Roman"/>
                <w:i/>
                <w:iCs/>
                <w:sz w:val="20"/>
                <w:szCs w:val="20"/>
              </w:rPr>
              <w:t xml:space="preserve"> Lien vers le mode opératoire « Mobilité Bancaire » </w:t>
            </w:r>
            <w:r w:rsidRPr="00B332E2">
              <w:rPr>
                <w:rFonts w:ascii="Times New Roman" w:hAnsi="Times New Roman" w:cs="Times New Roman"/>
                <w:i/>
                <w:iCs/>
                <w:sz w:val="20"/>
                <w:szCs w:val="20"/>
              </w:rPr>
              <w:sym w:font="Wingdings" w:char="F0E0"/>
            </w:r>
            <w:r w:rsidRPr="00B332E2">
              <w:rPr>
                <w:rFonts w:ascii="Times New Roman" w:hAnsi="Times New Roman" w:cs="Times New Roman"/>
                <w:i/>
                <w:iCs/>
                <w:sz w:val="20"/>
                <w:szCs w:val="20"/>
              </w:rPr>
              <w:t xml:space="preserve"> </w:t>
            </w:r>
            <w:hyperlink r:id="rId22" w:history="1">
              <w:r w:rsidRPr="00B332E2">
                <w:rPr>
                  <w:rStyle w:val="Lienhypertexte"/>
                  <w:rFonts w:ascii="Times New Roman" w:hAnsi="Times New Roman" w:cs="Times New Roman"/>
                  <w:b/>
                  <w:bCs/>
                  <w:i/>
                  <w:iCs/>
                  <w:sz w:val="20"/>
                  <w:szCs w:val="20"/>
                </w:rPr>
                <w:t>CLIC</w:t>
              </w:r>
            </w:hyperlink>
          </w:p>
          <w:p w:rsidR="00B332E2" w:rsidRPr="00B332E2" w:rsidRDefault="00B332E2" w:rsidP="00BC65AA">
            <w:pPr>
              <w:ind w:left="1451" w:hanging="345"/>
              <w:contextualSpacing/>
              <w:rPr>
                <w:rFonts w:ascii="Times New Roman" w:hAnsi="Times New Roman" w:cs="Times New Roman"/>
                <w:iCs/>
                <w:sz w:val="20"/>
                <w:szCs w:val="20"/>
              </w:rPr>
            </w:pPr>
          </w:p>
          <w:p w:rsidR="00B332E2" w:rsidRPr="00B332E2" w:rsidRDefault="00B332E2" w:rsidP="00BC65AA">
            <w:pPr>
              <w:pStyle w:val="Paragraphedeliste"/>
              <w:numPr>
                <w:ilvl w:val="0"/>
                <w:numId w:val="14"/>
              </w:numPr>
              <w:ind w:left="1451" w:hanging="345"/>
              <w:rPr>
                <w:rFonts w:ascii="Times New Roman" w:hAnsi="Times New Roman" w:cs="Times New Roman"/>
                <w:iCs/>
                <w:sz w:val="20"/>
                <w:szCs w:val="20"/>
              </w:rPr>
            </w:pPr>
            <w:r w:rsidRPr="00B332E2">
              <w:rPr>
                <w:rFonts w:ascii="Times New Roman" w:hAnsi="Times New Roman" w:cs="Times New Roman"/>
                <w:iCs/>
                <w:sz w:val="20"/>
                <w:szCs w:val="20"/>
              </w:rPr>
              <w:t>« </w:t>
            </w:r>
            <w:r w:rsidRPr="00B332E2">
              <w:rPr>
                <w:rFonts w:ascii="Times New Roman" w:hAnsi="Times New Roman" w:cs="Times New Roman"/>
                <w:b/>
                <w:bCs/>
                <w:iCs/>
                <w:sz w:val="20"/>
                <w:szCs w:val="20"/>
              </w:rPr>
              <w:t xml:space="preserve">Mob </w:t>
            </w:r>
            <w:proofErr w:type="spellStart"/>
            <w:r w:rsidRPr="00B332E2">
              <w:rPr>
                <w:rFonts w:ascii="Times New Roman" w:hAnsi="Times New Roman" w:cs="Times New Roman"/>
                <w:b/>
                <w:bCs/>
                <w:iCs/>
                <w:sz w:val="20"/>
                <w:szCs w:val="20"/>
              </w:rPr>
              <w:t>bq</w:t>
            </w:r>
            <w:proofErr w:type="spellEnd"/>
            <w:r w:rsidRPr="00B332E2">
              <w:rPr>
                <w:rFonts w:ascii="Times New Roman" w:hAnsi="Times New Roman" w:cs="Times New Roman"/>
                <w:b/>
                <w:bCs/>
                <w:iCs/>
                <w:sz w:val="20"/>
                <w:szCs w:val="20"/>
              </w:rPr>
              <w:t>-Départ – Compte à clore non traité</w:t>
            </w:r>
            <w:r w:rsidRPr="00B332E2">
              <w:rPr>
                <w:rFonts w:ascii="Times New Roman" w:hAnsi="Times New Roman" w:cs="Times New Roman"/>
                <w:iCs/>
                <w:sz w:val="20"/>
                <w:szCs w:val="20"/>
              </w:rPr>
              <w:t> » :</w:t>
            </w:r>
          </w:p>
          <w:p w:rsidR="00B332E2" w:rsidRDefault="00B332E2" w:rsidP="00BC65AA">
            <w:pPr>
              <w:ind w:left="1451" w:hanging="35"/>
              <w:contextualSpacing/>
              <w:jc w:val="both"/>
              <w:rPr>
                <w:rFonts w:ascii="Times New Roman" w:hAnsi="Times New Roman" w:cs="Times New Roman"/>
                <w:iCs/>
                <w:sz w:val="20"/>
                <w:szCs w:val="20"/>
              </w:rPr>
            </w:pPr>
            <w:r w:rsidRPr="00B332E2">
              <w:rPr>
                <w:rFonts w:ascii="Times New Roman" w:hAnsi="Times New Roman" w:cs="Times New Roman"/>
                <w:iCs/>
                <w:sz w:val="20"/>
                <w:szCs w:val="20"/>
              </w:rPr>
              <w:t>Cet évènement est généré en rattrapage du précédent (« compte à clore) pour les comptes n’ayant pas été clôturés dans le temps imparti</w:t>
            </w:r>
            <w:r>
              <w:rPr>
                <w:rFonts w:ascii="Times New Roman" w:hAnsi="Times New Roman" w:cs="Times New Roman"/>
                <w:iCs/>
                <w:sz w:val="20"/>
                <w:szCs w:val="20"/>
              </w:rPr>
              <w:t>.</w:t>
            </w:r>
          </w:p>
          <w:p w:rsidR="00BC65AA" w:rsidRPr="00B332E2" w:rsidRDefault="00BC65AA" w:rsidP="00BC65AA">
            <w:pPr>
              <w:ind w:left="1451" w:hanging="35"/>
              <w:contextualSpacing/>
              <w:jc w:val="both"/>
              <w:rPr>
                <w:rFonts w:ascii="Times New Roman" w:hAnsi="Times New Roman" w:cs="Times New Roman"/>
                <w:iCs/>
                <w:sz w:val="20"/>
                <w:szCs w:val="20"/>
              </w:rPr>
            </w:pPr>
          </w:p>
        </w:tc>
      </w:tr>
      <w:tr w:rsidR="00E154FF" w:rsidRPr="008A2C98" w:rsidTr="00E5696C">
        <w:trPr>
          <w:trHeight w:val="333"/>
        </w:trPr>
        <w:tc>
          <w:tcPr>
            <w:tcW w:w="1560" w:type="dxa"/>
            <w:tcBorders>
              <w:bottom w:val="single" w:sz="4" w:space="0" w:color="auto"/>
            </w:tcBorders>
          </w:tcPr>
          <w:p w:rsidR="00E154FF" w:rsidRDefault="00E154FF">
            <w:r w:rsidRPr="00911B67">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E154FF" w:rsidRPr="00E154FF" w:rsidRDefault="00E154FF" w:rsidP="005123F9">
            <w:pPr>
              <w:pStyle w:val="wordsection1"/>
              <w:rPr>
                <w:b/>
                <w:bCs/>
                <w:color w:val="000000"/>
                <w:sz w:val="20"/>
                <w:szCs w:val="20"/>
              </w:rPr>
            </w:pPr>
            <w:r w:rsidRPr="00E154FF">
              <w:rPr>
                <w:b/>
                <w:bCs/>
                <w:color w:val="000000"/>
                <w:sz w:val="20"/>
                <w:szCs w:val="20"/>
              </w:rPr>
              <w:t>CDD : évolution dans le paramétrage des taux des découverts négociés</w:t>
            </w:r>
          </w:p>
        </w:tc>
        <w:tc>
          <w:tcPr>
            <w:tcW w:w="12332" w:type="dxa"/>
            <w:tcBorders>
              <w:bottom w:val="single" w:sz="4" w:space="0" w:color="auto"/>
            </w:tcBorders>
            <w:shd w:val="clear" w:color="auto" w:fill="auto"/>
          </w:tcPr>
          <w:p w:rsidR="00E154FF" w:rsidRPr="005867D6" w:rsidRDefault="00E154FF" w:rsidP="00E154FF">
            <w:pPr>
              <w:numPr>
                <w:ilvl w:val="0"/>
                <w:numId w:val="5"/>
              </w:numPr>
              <w:tabs>
                <w:tab w:val="num" w:pos="720"/>
              </w:tabs>
              <w:ind w:left="176" w:hanging="176"/>
              <w:contextualSpacing/>
              <w:rPr>
                <w:rFonts w:ascii="Times New Roman" w:hAnsi="Times New Roman" w:cs="Times New Roman"/>
                <w:b/>
                <w:sz w:val="20"/>
                <w:szCs w:val="20"/>
              </w:rPr>
            </w:pPr>
            <w:r w:rsidRPr="005867D6">
              <w:rPr>
                <w:rFonts w:ascii="Times New Roman" w:hAnsi="Times New Roman" w:cs="Times New Roman"/>
                <w:b/>
                <w:sz w:val="20"/>
                <w:szCs w:val="20"/>
              </w:rPr>
              <w:t xml:space="preserve">Voici les nouvelles règles qui régissent l’établissement des valeurs des taux de nos découverts négociés : </w:t>
            </w:r>
          </w:p>
          <w:p w:rsidR="005867D6" w:rsidRPr="00E154FF" w:rsidRDefault="005867D6" w:rsidP="005867D6">
            <w:pPr>
              <w:ind w:left="176"/>
              <w:contextualSpacing/>
              <w:rPr>
                <w:rFonts w:ascii="Times New Roman" w:hAnsi="Times New Roman" w:cs="Times New Roman"/>
                <w:sz w:val="20"/>
                <w:szCs w:val="20"/>
              </w:rPr>
            </w:pPr>
          </w:p>
          <w:p w:rsidR="00E154FF" w:rsidRPr="00E154FF" w:rsidRDefault="00B332E2" w:rsidP="005867D6">
            <w:pPr>
              <w:ind w:left="176"/>
              <w:contextualSpacing/>
              <w:jc w:val="center"/>
              <w:rPr>
                <w:rFonts w:ascii="Times New Roman" w:hAnsi="Times New Roman" w:cs="Times New Roman"/>
                <w:sz w:val="20"/>
                <w:szCs w:val="20"/>
                <w:u w:val="single"/>
              </w:rPr>
            </w:pPr>
            <w:r w:rsidRPr="00AE63B8">
              <w:rPr>
                <w:rFonts w:ascii="Times New Roman" w:hAnsi="Times New Roman" w:cs="Times New Roman"/>
                <w:noProof/>
                <w:u w:val="single"/>
                <w:lang w:eastAsia="fr-FR"/>
              </w:rPr>
              <w:drawing>
                <wp:inline distT="0" distB="0" distL="0" distR="0" wp14:anchorId="7C8D724F" wp14:editId="59673B95">
                  <wp:extent cx="6058894" cy="120387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58924" cy="1203876"/>
                          </a:xfrm>
                          <a:prstGeom prst="rect">
                            <a:avLst/>
                          </a:prstGeom>
                          <a:noFill/>
                          <a:ln>
                            <a:noFill/>
                          </a:ln>
                        </pic:spPr>
                      </pic:pic>
                    </a:graphicData>
                  </a:graphic>
                </wp:inline>
              </w:drawing>
            </w:r>
          </w:p>
          <w:p w:rsidR="00E154FF" w:rsidRPr="00E154FF" w:rsidRDefault="00E154FF" w:rsidP="005123F9">
            <w:pPr>
              <w:ind w:left="176"/>
              <w:contextualSpacing/>
              <w:jc w:val="center"/>
              <w:rPr>
                <w:rFonts w:ascii="Times New Roman" w:hAnsi="Times New Roman" w:cs="Times New Roman"/>
                <w:sz w:val="20"/>
                <w:szCs w:val="20"/>
              </w:rPr>
            </w:pPr>
            <w:r w:rsidRPr="00E154FF">
              <w:rPr>
                <w:rFonts w:ascii="Times New Roman" w:hAnsi="Times New Roman" w:cs="Times New Roman"/>
                <w:i/>
                <w:iCs/>
                <w:sz w:val="20"/>
                <w:szCs w:val="20"/>
              </w:rPr>
              <w:t>* d’où la typologie « révisable » associée à ce taux de découvert négocié</w:t>
            </w:r>
          </w:p>
          <w:p w:rsidR="00E154FF" w:rsidRPr="00E154FF" w:rsidRDefault="00E154FF" w:rsidP="005123F9">
            <w:pPr>
              <w:ind w:left="176"/>
              <w:contextualSpacing/>
              <w:rPr>
                <w:rFonts w:ascii="Times New Roman" w:hAnsi="Times New Roman" w:cs="Times New Roman"/>
                <w:sz w:val="20"/>
                <w:szCs w:val="20"/>
              </w:rPr>
            </w:pPr>
          </w:p>
          <w:p w:rsidR="00E154FF" w:rsidRPr="00E154FF" w:rsidRDefault="00E154FF" w:rsidP="002509C7">
            <w:pPr>
              <w:numPr>
                <w:ilvl w:val="0"/>
                <w:numId w:val="8"/>
              </w:numPr>
              <w:contextualSpacing/>
              <w:jc w:val="both"/>
              <w:rPr>
                <w:rFonts w:ascii="Times New Roman" w:hAnsi="Times New Roman" w:cs="Times New Roman"/>
                <w:sz w:val="20"/>
                <w:szCs w:val="20"/>
                <w:u w:val="single"/>
              </w:rPr>
            </w:pPr>
            <w:r w:rsidRPr="00E154FF">
              <w:rPr>
                <w:rFonts w:ascii="Times New Roman" w:hAnsi="Times New Roman" w:cs="Times New Roman"/>
                <w:sz w:val="20"/>
                <w:szCs w:val="20"/>
              </w:rPr>
              <w:t>Illustration (1) :</w:t>
            </w:r>
          </w:p>
          <w:p w:rsidR="00E154FF" w:rsidRPr="00E154FF" w:rsidRDefault="00B332E2" w:rsidP="005123F9">
            <w:pPr>
              <w:ind w:left="176"/>
              <w:contextualSpacing/>
              <w:rPr>
                <w:rFonts w:ascii="Times New Roman" w:hAnsi="Times New Roman" w:cs="Times New Roman"/>
                <w:sz w:val="20"/>
                <w:szCs w:val="20"/>
              </w:rPr>
            </w:pPr>
            <w:r w:rsidRPr="00AE63B8">
              <w:rPr>
                <w:rFonts w:ascii="Times New Roman" w:hAnsi="Times New Roman" w:cs="Times New Roman"/>
                <w:noProof/>
                <w:lang w:eastAsia="fr-FR"/>
              </w:rPr>
              <w:drawing>
                <wp:inline distT="0" distB="0" distL="0" distR="0" wp14:anchorId="686598C5" wp14:editId="1CA2AF03">
                  <wp:extent cx="2756023" cy="1940118"/>
                  <wp:effectExtent l="171450" t="171450" r="387350" b="365125"/>
                  <wp:docPr id="3074" name="Picture 2" descr="image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image017"/>
                          <pic:cNvPicPr>
                            <a:picLocks noChangeAspect="1" noChangeArrowheads="1"/>
                          </pic:cNvPicPr>
                        </pic:nvPicPr>
                        <pic:blipFill rotWithShape="1">
                          <a:blip r:embed="rId24">
                            <a:extLst>
                              <a:ext uri="{28A0092B-C50C-407E-A947-70E740481C1C}">
                                <a14:useLocalDpi xmlns:a14="http://schemas.microsoft.com/office/drawing/2010/main" val="0"/>
                              </a:ext>
                            </a:extLst>
                          </a:blip>
                          <a:srcRect r="36071" b="36236"/>
                          <a:stretch/>
                        </pic:blipFill>
                        <pic:spPr bwMode="auto">
                          <a:xfrm>
                            <a:off x="0" y="0"/>
                            <a:ext cx="2765944" cy="1947102"/>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inline>
              </w:drawing>
            </w:r>
          </w:p>
          <w:p w:rsidR="00E154FF" w:rsidRPr="00E154FF" w:rsidRDefault="00E154FF" w:rsidP="002509C7">
            <w:pPr>
              <w:numPr>
                <w:ilvl w:val="0"/>
                <w:numId w:val="8"/>
              </w:numPr>
              <w:contextualSpacing/>
              <w:jc w:val="both"/>
              <w:rPr>
                <w:rFonts w:ascii="Times New Roman" w:hAnsi="Times New Roman" w:cs="Times New Roman"/>
                <w:sz w:val="20"/>
                <w:szCs w:val="20"/>
              </w:rPr>
            </w:pPr>
            <w:r w:rsidRPr="00E154FF">
              <w:rPr>
                <w:rFonts w:ascii="Times New Roman" w:hAnsi="Times New Roman" w:cs="Times New Roman"/>
                <w:sz w:val="20"/>
                <w:szCs w:val="20"/>
              </w:rPr>
              <w:t>Illustration (2) :</w:t>
            </w:r>
          </w:p>
          <w:p w:rsidR="00E154FF" w:rsidRPr="00E154FF" w:rsidRDefault="00B332E2" w:rsidP="005123F9">
            <w:pPr>
              <w:ind w:left="176"/>
              <w:contextualSpacing/>
              <w:rPr>
                <w:rFonts w:ascii="Times New Roman" w:hAnsi="Times New Roman" w:cs="Times New Roman"/>
                <w:sz w:val="20"/>
                <w:szCs w:val="20"/>
              </w:rPr>
            </w:pPr>
            <w:r w:rsidRPr="00AE63B8">
              <w:rPr>
                <w:rFonts w:ascii="Times New Roman" w:hAnsi="Times New Roman" w:cs="Times New Roman"/>
                <w:noProof/>
                <w:lang w:eastAsia="fr-FR"/>
              </w:rPr>
              <w:lastRenderedPageBreak/>
              <w:drawing>
                <wp:inline distT="0" distB="0" distL="0" distR="0" wp14:anchorId="2820B9B8" wp14:editId="0A818118">
                  <wp:extent cx="2803519" cy="2019631"/>
                  <wp:effectExtent l="171450" t="171450" r="378460" b="361950"/>
                  <wp:docPr id="3075" name="Image 9"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Image 9" descr="image018"/>
                          <pic:cNvPicPr>
                            <a:picLocks noChangeAspect="1" noChangeArrowheads="1"/>
                          </pic:cNvPicPr>
                        </pic:nvPicPr>
                        <pic:blipFill rotWithShape="1">
                          <a:blip r:embed="rId25">
                            <a:extLst>
                              <a:ext uri="{28A0092B-C50C-407E-A947-70E740481C1C}">
                                <a14:useLocalDpi xmlns:a14="http://schemas.microsoft.com/office/drawing/2010/main" val="0"/>
                              </a:ext>
                            </a:extLst>
                          </a:blip>
                          <a:srcRect r="32143" b="29696"/>
                          <a:stretch/>
                        </pic:blipFill>
                        <pic:spPr bwMode="auto">
                          <a:xfrm>
                            <a:off x="0" y="0"/>
                            <a:ext cx="2809255" cy="2023763"/>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inline>
              </w:drawing>
            </w:r>
          </w:p>
        </w:tc>
        <w:bookmarkStart w:id="0" w:name="_GoBack"/>
        <w:bookmarkEnd w:id="0"/>
      </w:tr>
      <w:tr w:rsidR="00035237" w:rsidRPr="008A2C98" w:rsidTr="00035237">
        <w:trPr>
          <w:trHeight w:val="313"/>
        </w:trPr>
        <w:tc>
          <w:tcPr>
            <w:tcW w:w="15735" w:type="dxa"/>
            <w:gridSpan w:val="3"/>
            <w:tcBorders>
              <w:bottom w:val="single" w:sz="4" w:space="0" w:color="auto"/>
            </w:tcBorders>
            <w:shd w:val="clear" w:color="auto" w:fill="BFBFBF" w:themeFill="background1" w:themeFillShade="BF"/>
            <w:vAlign w:val="center"/>
          </w:tcPr>
          <w:p w:rsidR="00035237" w:rsidRPr="00035237" w:rsidRDefault="00035237" w:rsidP="00035237">
            <w:pPr>
              <w:contextualSpacing/>
              <w:jc w:val="center"/>
              <w:rPr>
                <w:rFonts w:ascii="Times New Roman" w:hAnsi="Times New Roman" w:cs="Times New Roman"/>
                <w:b/>
                <w:iCs/>
                <w:sz w:val="20"/>
                <w:szCs w:val="20"/>
              </w:rPr>
            </w:pPr>
            <w:r w:rsidRPr="00035237">
              <w:rPr>
                <w:rFonts w:ascii="Times New Roman" w:hAnsi="Times New Roman" w:cs="Times New Roman"/>
                <w:b/>
                <w:iCs/>
                <w:sz w:val="20"/>
                <w:szCs w:val="20"/>
              </w:rPr>
              <w:lastRenderedPageBreak/>
              <w:t>Crédits</w:t>
            </w:r>
          </w:p>
        </w:tc>
      </w:tr>
      <w:tr w:rsidR="005867D6" w:rsidRPr="008A2C98" w:rsidTr="004F4D62">
        <w:trPr>
          <w:trHeight w:val="376"/>
        </w:trPr>
        <w:tc>
          <w:tcPr>
            <w:tcW w:w="1560" w:type="dxa"/>
            <w:tcBorders>
              <w:bottom w:val="single" w:sz="4" w:space="0" w:color="auto"/>
            </w:tcBorders>
          </w:tcPr>
          <w:p w:rsidR="005867D6" w:rsidRPr="006E6BE3" w:rsidRDefault="005867D6" w:rsidP="006A044D">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Direction des Crédits</w:t>
            </w:r>
          </w:p>
        </w:tc>
        <w:tc>
          <w:tcPr>
            <w:tcW w:w="1843" w:type="dxa"/>
            <w:tcBorders>
              <w:bottom w:val="single" w:sz="4" w:space="0" w:color="auto"/>
            </w:tcBorders>
          </w:tcPr>
          <w:p w:rsidR="005867D6" w:rsidRPr="00BC65AA" w:rsidRDefault="005867D6" w:rsidP="005123F9">
            <w:pPr>
              <w:pStyle w:val="wordsection1"/>
              <w:rPr>
                <w:b/>
                <w:bCs/>
                <w:sz w:val="20"/>
                <w:szCs w:val="20"/>
              </w:rPr>
            </w:pPr>
            <w:r w:rsidRPr="00BC65AA">
              <w:rPr>
                <w:b/>
                <w:bCs/>
                <w:sz w:val="20"/>
                <w:szCs w:val="20"/>
              </w:rPr>
              <w:t>Crédits Part. &amp; Pros : rappel au schéma délégataire</w:t>
            </w:r>
          </w:p>
        </w:tc>
        <w:tc>
          <w:tcPr>
            <w:tcW w:w="12332" w:type="dxa"/>
            <w:tcBorders>
              <w:bottom w:val="single" w:sz="4" w:space="0" w:color="auto"/>
            </w:tcBorders>
            <w:shd w:val="clear" w:color="auto" w:fill="auto"/>
          </w:tcPr>
          <w:p w:rsidR="00BC65AA" w:rsidRPr="00BC65AA" w:rsidRDefault="00BC65AA" w:rsidP="00BC65AA">
            <w:pPr>
              <w:numPr>
                <w:ilvl w:val="0"/>
                <w:numId w:val="5"/>
              </w:numPr>
              <w:tabs>
                <w:tab w:val="num" w:pos="720"/>
              </w:tabs>
              <w:ind w:left="176" w:hanging="176"/>
              <w:contextualSpacing/>
              <w:rPr>
                <w:rFonts w:ascii="Times New Roman" w:hAnsi="Times New Roman" w:cs="Times New Roman"/>
                <w:bCs/>
                <w:sz w:val="20"/>
                <w:szCs w:val="20"/>
                <w:lang w:eastAsia="fr-FR"/>
              </w:rPr>
            </w:pPr>
            <w:r w:rsidRPr="00BC65AA">
              <w:rPr>
                <w:rFonts w:ascii="Times New Roman" w:hAnsi="Times New Roman" w:cs="Times New Roman"/>
                <w:sz w:val="20"/>
                <w:szCs w:val="20"/>
              </w:rPr>
              <w:t>En</w:t>
            </w:r>
            <w:r w:rsidRPr="00BC65AA">
              <w:rPr>
                <w:rFonts w:ascii="Times New Roman" w:hAnsi="Times New Roman" w:cs="Times New Roman"/>
                <w:bCs/>
                <w:sz w:val="20"/>
                <w:szCs w:val="20"/>
                <w:lang w:eastAsia="fr-FR"/>
              </w:rPr>
              <w:t xml:space="preserve"> complément des informations diffusées dans le </w:t>
            </w:r>
            <w:hyperlink r:id="rId26" w:history="1">
              <w:proofErr w:type="spellStart"/>
              <w:r w:rsidRPr="00BC65AA">
                <w:rPr>
                  <w:rStyle w:val="Lienhypertexte"/>
                  <w:rFonts w:ascii="Times New Roman" w:hAnsi="Times New Roman" w:cs="Times New Roman"/>
                  <w:bCs/>
                  <w:sz w:val="20"/>
                  <w:szCs w:val="20"/>
                  <w:lang w:eastAsia="fr-FR"/>
                </w:rPr>
                <w:t>Brief</w:t>
              </w:r>
              <w:proofErr w:type="spellEnd"/>
              <w:r w:rsidRPr="00BC65AA">
                <w:rPr>
                  <w:rStyle w:val="Lienhypertexte"/>
                  <w:rFonts w:ascii="Times New Roman" w:hAnsi="Times New Roman" w:cs="Times New Roman"/>
                  <w:bCs/>
                  <w:sz w:val="20"/>
                  <w:szCs w:val="20"/>
                  <w:lang w:eastAsia="fr-FR"/>
                </w:rPr>
                <w:t xml:space="preserve"> des Actus S48</w:t>
              </w:r>
            </w:hyperlink>
            <w:r w:rsidRPr="00BC65AA">
              <w:rPr>
                <w:rFonts w:ascii="Times New Roman" w:hAnsi="Times New Roman" w:cs="Times New Roman"/>
                <w:bCs/>
                <w:sz w:val="20"/>
                <w:szCs w:val="20"/>
                <w:lang w:eastAsia="fr-FR"/>
              </w:rPr>
              <w:t xml:space="preserve"> portant sur les modalités de transmission des dossiers au Service Décisions Engagements via les nouvelles boîtes génériques, un rappel important relatif au respect du schéma délégataire :</w:t>
            </w:r>
          </w:p>
          <w:p w:rsidR="00BC65AA" w:rsidRPr="00BC65AA" w:rsidRDefault="00BC65AA" w:rsidP="00BC65AA">
            <w:pPr>
              <w:rPr>
                <w:rFonts w:ascii="Times New Roman" w:hAnsi="Times New Roman" w:cs="Times New Roman"/>
                <w:bCs/>
                <w:sz w:val="20"/>
                <w:szCs w:val="20"/>
                <w:lang w:eastAsia="fr-FR"/>
              </w:rPr>
            </w:pPr>
          </w:p>
          <w:p w:rsidR="00BC65AA" w:rsidRPr="00BC65AA" w:rsidRDefault="00BC65AA" w:rsidP="00BC65AA">
            <w:pPr>
              <w:pStyle w:val="Paragraphedeliste"/>
              <w:numPr>
                <w:ilvl w:val="0"/>
                <w:numId w:val="5"/>
              </w:numPr>
              <w:spacing w:after="200" w:line="276" w:lineRule="auto"/>
              <w:ind w:left="360"/>
              <w:rPr>
                <w:rFonts w:ascii="Times New Roman" w:hAnsi="Times New Roman" w:cs="Times New Roman"/>
                <w:bCs/>
                <w:sz w:val="20"/>
                <w:szCs w:val="20"/>
                <w:lang w:eastAsia="fr-FR"/>
              </w:rPr>
            </w:pPr>
            <w:r w:rsidRPr="00BC65AA">
              <w:rPr>
                <w:rFonts w:ascii="Times New Roman" w:hAnsi="Times New Roman" w:cs="Times New Roman"/>
                <w:b/>
                <w:bCs/>
                <w:sz w:val="20"/>
                <w:szCs w:val="20"/>
                <w:u w:val="single"/>
                <w:lang w:eastAsia="fr-FR"/>
              </w:rPr>
              <w:t>Marché des Particuliers et des Professionnels</w:t>
            </w:r>
            <w:r>
              <w:rPr>
                <w:rFonts w:ascii="Times New Roman" w:hAnsi="Times New Roman" w:cs="Times New Roman"/>
                <w:b/>
                <w:bCs/>
                <w:sz w:val="20"/>
                <w:szCs w:val="20"/>
                <w:u w:val="single"/>
                <w:lang w:eastAsia="fr-FR"/>
              </w:rPr>
              <w:t xml:space="preserve"> </w:t>
            </w:r>
            <w:r w:rsidRPr="00BC65AA">
              <w:rPr>
                <w:rFonts w:ascii="Times New Roman" w:hAnsi="Times New Roman" w:cs="Times New Roman"/>
                <w:b/>
                <w:bCs/>
                <w:sz w:val="20"/>
                <w:szCs w:val="20"/>
                <w:u w:val="single"/>
                <w:lang w:eastAsia="fr-FR"/>
              </w:rPr>
              <w:t>– Périmètre CEGEE</w:t>
            </w:r>
            <w:r w:rsidRPr="00BC65AA">
              <w:rPr>
                <w:rFonts w:ascii="Times New Roman" w:hAnsi="Times New Roman" w:cs="Times New Roman"/>
                <w:bCs/>
                <w:sz w:val="20"/>
                <w:szCs w:val="20"/>
                <w:lang w:eastAsia="fr-FR"/>
              </w:rPr>
              <w:t xml:space="preserve"> :</w:t>
            </w:r>
          </w:p>
          <w:p w:rsidR="005867D6" w:rsidRPr="00BC65AA" w:rsidRDefault="00BC65AA" w:rsidP="00BC65AA">
            <w:pPr>
              <w:pStyle w:val="Paragraphedeliste"/>
              <w:ind w:left="360"/>
              <w:rPr>
                <w:rFonts w:ascii="Times New Roman" w:hAnsi="Times New Roman" w:cs="Times New Roman"/>
                <w:bCs/>
                <w:sz w:val="20"/>
                <w:szCs w:val="20"/>
                <w:lang w:eastAsia="fr-FR"/>
              </w:rPr>
            </w:pPr>
            <w:r w:rsidRPr="00BC65AA">
              <w:rPr>
                <w:rFonts w:ascii="Times New Roman" w:hAnsi="Times New Roman" w:cs="Times New Roman"/>
                <w:bCs/>
                <w:sz w:val="20"/>
                <w:szCs w:val="20"/>
                <w:lang w:eastAsia="fr-FR"/>
              </w:rPr>
              <w:t>D’une manière générale, les demandes de financement de la délégation de la Direction Crédits &amp; Engagements (DCE) ou du Comité des Engagements doivent recueillir au préalable, comme par le passé (avant fusion), l’avis favorable de la Direction Commerciale.</w:t>
            </w:r>
          </w:p>
        </w:tc>
      </w:tr>
      <w:tr w:rsidR="004F4D62" w:rsidRPr="008A2C98" w:rsidTr="004F4D62">
        <w:trPr>
          <w:trHeight w:val="376"/>
        </w:trPr>
        <w:tc>
          <w:tcPr>
            <w:tcW w:w="15735" w:type="dxa"/>
            <w:gridSpan w:val="3"/>
            <w:shd w:val="clear" w:color="auto" w:fill="BFBFBF" w:themeFill="background1" w:themeFillShade="BF"/>
            <w:vAlign w:val="center"/>
          </w:tcPr>
          <w:p w:rsidR="004F4D62" w:rsidRPr="004F4D62" w:rsidRDefault="00056A36" w:rsidP="004F4D62">
            <w:pPr>
              <w:contextualSpacing/>
              <w:jc w:val="center"/>
              <w:rPr>
                <w:rFonts w:ascii="Times New Roman" w:hAnsi="Times New Roman" w:cs="Times New Roman"/>
                <w:b/>
                <w:iCs/>
                <w:sz w:val="20"/>
                <w:szCs w:val="20"/>
              </w:rPr>
            </w:pPr>
            <w:r>
              <w:rPr>
                <w:rFonts w:ascii="Times New Roman" w:hAnsi="Times New Roman" w:cs="Times New Roman"/>
                <w:b/>
                <w:iCs/>
                <w:sz w:val="20"/>
                <w:szCs w:val="20"/>
              </w:rPr>
              <w:t>BANQUE A DISTANCE – SEGMENTATION CLIENTS</w:t>
            </w:r>
          </w:p>
        </w:tc>
      </w:tr>
      <w:tr w:rsidR="00056A36" w:rsidRPr="008A2C98" w:rsidTr="009329B7">
        <w:trPr>
          <w:trHeight w:val="376"/>
        </w:trPr>
        <w:tc>
          <w:tcPr>
            <w:tcW w:w="1560" w:type="dxa"/>
            <w:tcBorders>
              <w:bottom w:val="single" w:sz="4" w:space="0" w:color="auto"/>
            </w:tcBorders>
            <w:vAlign w:val="center"/>
          </w:tcPr>
          <w:p w:rsidR="00056A36" w:rsidRPr="00292319" w:rsidRDefault="00056A36" w:rsidP="006A044D">
            <w:pPr>
              <w:rPr>
                <w:rFonts w:ascii="Times New Roman" w:hAnsi="Times New Roman" w:cs="Times New Roman"/>
                <w:b/>
                <w:bCs/>
                <w:sz w:val="20"/>
                <w:szCs w:val="20"/>
              </w:rPr>
            </w:pPr>
            <w:r>
              <w:rPr>
                <w:rFonts w:ascii="Times New Roman" w:hAnsi="Times New Roman" w:cs="Times New Roman"/>
                <w:b/>
                <w:bCs/>
                <w:sz w:val="20"/>
                <w:szCs w:val="20"/>
              </w:rPr>
              <w:t>Exp. Client</w:t>
            </w:r>
          </w:p>
        </w:tc>
        <w:tc>
          <w:tcPr>
            <w:tcW w:w="1843" w:type="dxa"/>
            <w:tcBorders>
              <w:bottom w:val="single" w:sz="4" w:space="0" w:color="auto"/>
            </w:tcBorders>
          </w:tcPr>
          <w:p w:rsidR="00056A36" w:rsidRPr="00056A36" w:rsidRDefault="00056A36" w:rsidP="00822BA2">
            <w:pPr>
              <w:rPr>
                <w:rFonts w:ascii="Times New Roman" w:hAnsi="Times New Roman" w:cs="Times New Roman"/>
                <w:b/>
                <w:bCs/>
                <w:noProof/>
                <w:sz w:val="20"/>
                <w:szCs w:val="20"/>
                <w:lang w:eastAsia="fr-FR"/>
              </w:rPr>
            </w:pPr>
            <w:r w:rsidRPr="00056A36">
              <w:rPr>
                <w:rFonts w:ascii="Times New Roman" w:hAnsi="Times New Roman" w:cs="Times New Roman"/>
                <w:b/>
                <w:bCs/>
                <w:noProof/>
                <w:sz w:val="20"/>
                <w:szCs w:val="20"/>
                <w:lang w:eastAsia="fr-FR"/>
              </w:rPr>
              <w:t>Affichage Segmentation Relationnelle –</w:t>
            </w:r>
            <w:r>
              <w:rPr>
                <w:rFonts w:ascii="Times New Roman" w:hAnsi="Times New Roman" w:cs="Times New Roman"/>
                <w:b/>
                <w:bCs/>
                <w:noProof/>
                <w:sz w:val="20"/>
                <w:szCs w:val="20"/>
                <w:lang w:eastAsia="fr-FR"/>
              </w:rPr>
              <w:t xml:space="preserve"> </w:t>
            </w:r>
            <w:r w:rsidRPr="00056A36">
              <w:rPr>
                <w:rFonts w:ascii="Times New Roman" w:hAnsi="Times New Roman" w:cs="Times New Roman"/>
                <w:b/>
                <w:bCs/>
                <w:noProof/>
                <w:sz w:val="20"/>
                <w:szCs w:val="20"/>
                <w:lang w:eastAsia="fr-FR"/>
              </w:rPr>
              <w:t xml:space="preserve">PDO et gestion de portefeuille </w:t>
            </w:r>
          </w:p>
        </w:tc>
        <w:tc>
          <w:tcPr>
            <w:tcW w:w="12332" w:type="dxa"/>
            <w:tcBorders>
              <w:bottom w:val="single" w:sz="4" w:space="0" w:color="auto"/>
            </w:tcBorders>
            <w:shd w:val="clear" w:color="auto" w:fill="auto"/>
          </w:tcPr>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Cs/>
                <w:noProof/>
                <w:sz w:val="20"/>
                <w:szCs w:val="20"/>
                <w:lang w:eastAsia="fr-FR"/>
              </w:rPr>
            </w:pPr>
            <w:r w:rsidRPr="00056A36">
              <w:rPr>
                <w:rFonts w:ascii="Times New Roman" w:hAnsi="Times New Roman" w:cs="Times New Roman"/>
                <w:b/>
                <w:bCs/>
                <w:noProof/>
                <w:sz w:val="20"/>
                <w:szCs w:val="20"/>
                <w:lang w:eastAsia="fr-FR"/>
              </w:rPr>
              <w:t xml:space="preserve">A compter du 9 décembre, la segmentation relationnelle Part et Pro s’affiche également dans le plan des opportunités et la gestion de portefeuille. </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
                <w:bCs/>
                <w:noProof/>
                <w:sz w:val="20"/>
                <w:szCs w:val="20"/>
                <w:lang w:eastAsia="fr-FR"/>
              </w:rPr>
            </w:pPr>
            <w:r w:rsidRPr="00056A36">
              <w:rPr>
                <w:rFonts w:ascii="Times New Roman" w:hAnsi="Times New Roman" w:cs="Times New Roman"/>
                <w:b/>
                <w:bCs/>
                <w:noProof/>
                <w:sz w:val="20"/>
                <w:szCs w:val="20"/>
                <w:lang w:eastAsia="fr-FR"/>
              </w:rPr>
              <w:t>Les deux segmentations coexistent :</w:t>
            </w:r>
          </w:p>
          <w:p w:rsidR="00056A36" w:rsidRDefault="00056A36" w:rsidP="00056A36">
            <w:pPr>
              <w:numPr>
                <w:ilvl w:val="1"/>
                <w:numId w:val="5"/>
              </w:numPr>
              <w:contextualSpacing/>
              <w:jc w:val="both"/>
              <w:rPr>
                <w:rFonts w:ascii="Times New Roman" w:hAnsi="Times New Roman" w:cs="Times New Roman"/>
                <w:bCs/>
                <w:noProof/>
                <w:sz w:val="20"/>
                <w:szCs w:val="20"/>
                <w:lang w:eastAsia="fr-FR"/>
              </w:rPr>
            </w:pPr>
            <w:r w:rsidRPr="00056A36">
              <w:rPr>
                <w:rFonts w:ascii="Times New Roman" w:hAnsi="Times New Roman" w:cs="Times New Roman"/>
                <w:bCs/>
                <w:noProof/>
                <w:sz w:val="20"/>
                <w:szCs w:val="20"/>
                <w:lang w:eastAsia="fr-FR"/>
              </w:rPr>
              <w:t xml:space="preserve">La segmentation relationnelle permettant d’orienter l’action commerciale en fonction du potentiel du client (tenant compte de la totalité de la relation), </w:t>
            </w:r>
          </w:p>
          <w:p w:rsidR="00056A36" w:rsidRDefault="00056A36" w:rsidP="00056A36">
            <w:pPr>
              <w:numPr>
                <w:ilvl w:val="1"/>
                <w:numId w:val="5"/>
              </w:numPr>
              <w:contextualSpacing/>
              <w:jc w:val="both"/>
              <w:rPr>
                <w:rFonts w:ascii="Times New Roman" w:hAnsi="Times New Roman" w:cs="Times New Roman"/>
                <w:bCs/>
                <w:noProof/>
                <w:sz w:val="20"/>
                <w:szCs w:val="20"/>
                <w:lang w:eastAsia="fr-FR"/>
              </w:rPr>
            </w:pPr>
            <w:r>
              <w:rPr>
                <w:rFonts w:ascii="Times New Roman" w:hAnsi="Times New Roman" w:cs="Times New Roman"/>
                <w:bCs/>
                <w:noProof/>
                <w:sz w:val="20"/>
                <w:szCs w:val="20"/>
                <w:lang w:eastAsia="fr-FR"/>
              </w:rPr>
              <w:t>L</w:t>
            </w:r>
            <w:r w:rsidRPr="00056A36">
              <w:rPr>
                <w:rFonts w:ascii="Times New Roman" w:hAnsi="Times New Roman" w:cs="Times New Roman"/>
                <w:bCs/>
                <w:noProof/>
                <w:sz w:val="20"/>
                <w:szCs w:val="20"/>
                <w:lang w:eastAsia="fr-FR"/>
              </w:rPr>
              <w:t>a segmentation activation permettant de</w:t>
            </w:r>
            <w:r>
              <w:rPr>
                <w:rFonts w:ascii="Times New Roman" w:hAnsi="Times New Roman" w:cs="Times New Roman"/>
                <w:bCs/>
                <w:noProof/>
                <w:sz w:val="20"/>
                <w:szCs w:val="20"/>
                <w:lang w:eastAsia="fr-FR"/>
              </w:rPr>
              <w:t xml:space="preserve"> </w:t>
            </w:r>
            <w:r w:rsidRPr="00056A36">
              <w:rPr>
                <w:rFonts w:ascii="Times New Roman" w:hAnsi="Times New Roman" w:cs="Times New Roman"/>
                <w:bCs/>
                <w:noProof/>
                <w:sz w:val="20"/>
                <w:szCs w:val="20"/>
                <w:lang w:eastAsia="fr-FR"/>
              </w:rPr>
              <w:t xml:space="preserve">créer des actions d’équipement. </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Cs/>
                <w:noProof/>
                <w:sz w:val="20"/>
                <w:szCs w:val="20"/>
                <w:lang w:eastAsia="fr-FR"/>
              </w:rPr>
            </w:pPr>
            <w:r w:rsidRPr="00056A36">
              <w:rPr>
                <w:rFonts w:ascii="Times New Roman" w:hAnsi="Times New Roman" w:cs="Times New Roman"/>
                <w:bCs/>
                <w:noProof/>
                <w:sz w:val="20"/>
                <w:szCs w:val="20"/>
                <w:lang w:eastAsia="fr-FR"/>
              </w:rPr>
              <w:t>Vous pourrez ainsi gérer votre GERC et votre portefeuille selon ces deux axes.</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sz w:val="20"/>
                <w:szCs w:val="20"/>
              </w:rPr>
            </w:pPr>
            <w:r w:rsidRPr="00056A36">
              <w:rPr>
                <w:rFonts w:ascii="Times New Roman" w:hAnsi="Times New Roman" w:cs="Times New Roman"/>
                <w:bCs/>
                <w:noProof/>
                <w:sz w:val="20"/>
                <w:szCs w:val="20"/>
                <w:lang w:eastAsia="fr-FR"/>
              </w:rPr>
              <w:t xml:space="preserve">Retrouvez tous les détails de ce nouvel affichage dans la rubrique des commerciaux </w:t>
            </w:r>
            <w:r w:rsidRPr="00056A36">
              <w:rPr>
                <w:rFonts w:ascii="Times New Roman" w:hAnsi="Times New Roman" w:cs="Times New Roman"/>
                <w:sz w:val="20"/>
                <w:szCs w:val="20"/>
              </w:rPr>
              <w:t>/ Global BDD / Distribution Multicanal / Segmentation Relationnelle</w:t>
            </w:r>
            <w:r>
              <w:rPr>
                <w:rFonts w:ascii="Times New Roman" w:hAnsi="Times New Roman" w:cs="Times New Roman"/>
                <w:sz w:val="20"/>
                <w:szCs w:val="20"/>
              </w:rPr>
              <w:t xml:space="preserve"> (</w:t>
            </w:r>
            <w:hyperlink r:id="rId27" w:history="1">
              <w:r w:rsidRPr="00056A36">
                <w:rPr>
                  <w:rStyle w:val="Lienhypertexte"/>
                  <w:rFonts w:ascii="Times New Roman" w:hAnsi="Times New Roman" w:cs="Times New Roman"/>
                  <w:sz w:val="20"/>
                  <w:szCs w:val="20"/>
                </w:rPr>
                <w:t>cliquez ici pour y accéder</w:t>
              </w:r>
            </w:hyperlink>
            <w:r>
              <w:rPr>
                <w:rFonts w:ascii="Times New Roman" w:hAnsi="Times New Roman" w:cs="Times New Roman"/>
                <w:sz w:val="20"/>
                <w:szCs w:val="20"/>
              </w:rPr>
              <w:t xml:space="preserve">) </w:t>
            </w:r>
          </w:p>
        </w:tc>
      </w:tr>
      <w:tr w:rsidR="00056A36" w:rsidRPr="008A2C98" w:rsidTr="009329B7">
        <w:trPr>
          <w:trHeight w:val="376"/>
        </w:trPr>
        <w:tc>
          <w:tcPr>
            <w:tcW w:w="1560" w:type="dxa"/>
            <w:tcBorders>
              <w:bottom w:val="single" w:sz="4" w:space="0" w:color="auto"/>
            </w:tcBorders>
            <w:vAlign w:val="center"/>
          </w:tcPr>
          <w:p w:rsidR="00056A36" w:rsidRDefault="00056A36" w:rsidP="006A044D">
            <w:pPr>
              <w:rPr>
                <w:rFonts w:ascii="Times New Roman" w:hAnsi="Times New Roman" w:cs="Times New Roman"/>
                <w:b/>
                <w:bCs/>
                <w:sz w:val="20"/>
                <w:szCs w:val="20"/>
              </w:rPr>
            </w:pPr>
            <w:r>
              <w:rPr>
                <w:rFonts w:ascii="Times New Roman" w:hAnsi="Times New Roman" w:cs="Times New Roman"/>
                <w:b/>
                <w:bCs/>
                <w:sz w:val="20"/>
                <w:szCs w:val="20"/>
              </w:rPr>
              <w:t>Exp. Client</w:t>
            </w:r>
          </w:p>
        </w:tc>
        <w:tc>
          <w:tcPr>
            <w:tcW w:w="1843" w:type="dxa"/>
            <w:tcBorders>
              <w:bottom w:val="single" w:sz="4" w:space="0" w:color="auto"/>
            </w:tcBorders>
          </w:tcPr>
          <w:p w:rsidR="00056A36" w:rsidRPr="00056A36" w:rsidRDefault="00056A36" w:rsidP="00822BA2">
            <w:pPr>
              <w:rPr>
                <w:rFonts w:ascii="Times New Roman" w:hAnsi="Times New Roman" w:cs="Times New Roman"/>
                <w:b/>
                <w:bCs/>
                <w:noProof/>
                <w:sz w:val="20"/>
                <w:szCs w:val="20"/>
                <w:lang w:eastAsia="fr-FR"/>
              </w:rPr>
            </w:pPr>
            <w:r w:rsidRPr="00056A36">
              <w:rPr>
                <w:rFonts w:ascii="Times New Roman" w:hAnsi="Times New Roman" w:cs="Times New Roman"/>
                <w:b/>
                <w:bCs/>
                <w:sz w:val="20"/>
                <w:szCs w:val="20"/>
              </w:rPr>
              <w:t>Sécur</w:t>
            </w:r>
            <w:r>
              <w:rPr>
                <w:rFonts w:ascii="Times New Roman" w:hAnsi="Times New Roman" w:cs="Times New Roman"/>
                <w:b/>
                <w:bCs/>
                <w:sz w:val="20"/>
                <w:szCs w:val="20"/>
              </w:rPr>
              <w:t>isation de la Banque A Distance - rectificatif</w:t>
            </w:r>
          </w:p>
        </w:tc>
        <w:tc>
          <w:tcPr>
            <w:tcW w:w="12332" w:type="dxa"/>
            <w:tcBorders>
              <w:bottom w:val="single" w:sz="4" w:space="0" w:color="auto"/>
            </w:tcBorders>
            <w:shd w:val="clear" w:color="auto" w:fill="auto"/>
          </w:tcPr>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sz w:val="20"/>
                <w:szCs w:val="20"/>
              </w:rPr>
            </w:pPr>
            <w:r>
              <w:rPr>
                <w:rFonts w:ascii="Times New Roman" w:hAnsi="Times New Roman" w:cs="Times New Roman"/>
                <w:sz w:val="20"/>
                <w:szCs w:val="20"/>
              </w:rPr>
              <w:t>Aprè</w:t>
            </w:r>
            <w:r w:rsidRPr="00056A36">
              <w:rPr>
                <w:rFonts w:ascii="Times New Roman" w:hAnsi="Times New Roman" w:cs="Times New Roman"/>
                <w:sz w:val="20"/>
                <w:szCs w:val="20"/>
              </w:rPr>
              <w:t xml:space="preserve">s les modifications intervenues en octobre sur les caractéristiques des mots de passe BAD </w:t>
            </w:r>
            <w:r>
              <w:rPr>
                <w:rFonts w:ascii="Times New Roman" w:hAnsi="Times New Roman" w:cs="Times New Roman"/>
                <w:sz w:val="20"/>
                <w:szCs w:val="20"/>
              </w:rPr>
              <w:t>de nos clients PART PRO BDR (cf.</w:t>
            </w:r>
            <w:r w:rsidRPr="00056A36">
              <w:rPr>
                <w:rFonts w:ascii="Times New Roman" w:hAnsi="Times New Roman" w:cs="Times New Roman"/>
                <w:sz w:val="20"/>
                <w:szCs w:val="20"/>
              </w:rPr>
              <w:t xml:space="preserve"> </w:t>
            </w:r>
            <w:r>
              <w:rPr>
                <w:rFonts w:ascii="Times New Roman" w:hAnsi="Times New Roman" w:cs="Times New Roman"/>
                <w:sz w:val="20"/>
                <w:szCs w:val="20"/>
              </w:rPr>
              <w:t>b</w:t>
            </w:r>
            <w:r w:rsidRPr="00056A36">
              <w:rPr>
                <w:rFonts w:ascii="Times New Roman" w:hAnsi="Times New Roman" w:cs="Times New Roman"/>
                <w:sz w:val="20"/>
                <w:szCs w:val="20"/>
              </w:rPr>
              <w:t xml:space="preserve">rief S40) la dernière étape visant à améliorer la sécurité de nos accès BAD va être mise en place </w:t>
            </w:r>
            <w:r w:rsidRPr="00056A36">
              <w:rPr>
                <w:rFonts w:ascii="Times New Roman" w:hAnsi="Times New Roman" w:cs="Times New Roman"/>
                <w:b/>
                <w:sz w:val="20"/>
                <w:szCs w:val="20"/>
              </w:rPr>
              <w:t>à compter du 14 janvier 2019</w:t>
            </w:r>
            <w:r w:rsidRPr="00056A36">
              <w:rPr>
                <w:rFonts w:ascii="Times New Roman" w:hAnsi="Times New Roman" w:cs="Times New Roman"/>
                <w:sz w:val="20"/>
                <w:szCs w:val="20"/>
              </w:rPr>
              <w:t>.</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
                <w:sz w:val="20"/>
                <w:szCs w:val="20"/>
              </w:rPr>
            </w:pPr>
            <w:r w:rsidRPr="00056A36">
              <w:rPr>
                <w:rFonts w:ascii="Times New Roman" w:hAnsi="Times New Roman" w:cs="Times New Roman"/>
                <w:b/>
                <w:sz w:val="20"/>
                <w:szCs w:val="20"/>
              </w:rPr>
              <w:t xml:space="preserve">A compter de cette date, nos clients PART PRO BDR auront l’obligation de modifier périodiquement leur mot de passe. </w:t>
            </w:r>
          </w:p>
          <w:p w:rsidR="00056A36" w:rsidRPr="00056A36" w:rsidRDefault="00056A36" w:rsidP="00056A36">
            <w:pPr>
              <w:numPr>
                <w:ilvl w:val="1"/>
                <w:numId w:val="5"/>
              </w:numPr>
              <w:contextualSpacing/>
              <w:jc w:val="both"/>
              <w:rPr>
                <w:rFonts w:ascii="Times New Roman" w:hAnsi="Times New Roman" w:cs="Times New Roman"/>
                <w:b/>
                <w:sz w:val="20"/>
                <w:szCs w:val="20"/>
              </w:rPr>
            </w:pPr>
            <w:r w:rsidRPr="00056A36">
              <w:rPr>
                <w:rFonts w:ascii="Times New Roman" w:hAnsi="Times New Roman" w:cs="Times New Roman"/>
                <w:b/>
                <w:sz w:val="20"/>
                <w:szCs w:val="20"/>
              </w:rPr>
              <w:t xml:space="preserve">Lors d’une connexion à nos services de BAD </w:t>
            </w:r>
            <w:r w:rsidRPr="00056A36">
              <w:rPr>
                <w:rFonts w:ascii="Times New Roman" w:hAnsi="Times New Roman" w:cs="Times New Roman"/>
                <w:sz w:val="20"/>
                <w:szCs w:val="20"/>
              </w:rPr>
              <w:t>le système vérifiera, et le cas échéant demandera au client qu’il modifie son code confidentiel, si la date de la dernière modification est égale ou supérieure à 24 mois.</w:t>
            </w:r>
          </w:p>
          <w:p w:rsidR="00056A36" w:rsidRPr="00056A36" w:rsidRDefault="00056A36" w:rsidP="00056A36">
            <w:pPr>
              <w:numPr>
                <w:ilvl w:val="1"/>
                <w:numId w:val="5"/>
              </w:numPr>
              <w:contextualSpacing/>
              <w:jc w:val="both"/>
              <w:rPr>
                <w:rFonts w:ascii="Times New Roman" w:hAnsi="Times New Roman" w:cs="Times New Roman"/>
                <w:sz w:val="20"/>
                <w:szCs w:val="20"/>
              </w:rPr>
            </w:pPr>
            <w:r w:rsidRPr="00056A36">
              <w:rPr>
                <w:rFonts w:ascii="Times New Roman" w:hAnsi="Times New Roman" w:cs="Times New Roman"/>
                <w:b/>
                <w:sz w:val="20"/>
                <w:szCs w:val="20"/>
              </w:rPr>
              <w:t>Rappel :</w:t>
            </w:r>
            <w:r w:rsidRPr="00056A36">
              <w:rPr>
                <w:rFonts w:ascii="Times New Roman" w:hAnsi="Times New Roman" w:cs="Times New Roman"/>
                <w:sz w:val="20"/>
                <w:szCs w:val="20"/>
              </w:rPr>
              <w:t xml:space="preserve"> tous les clients qui détiennent actuellement un mot de passe sur 4 positions devront choisir un mot de passe sur 8 positions lors de cette modification.</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sz w:val="20"/>
                <w:szCs w:val="20"/>
              </w:rPr>
            </w:pPr>
            <w:r w:rsidRPr="00056A36">
              <w:rPr>
                <w:rFonts w:ascii="Times New Roman" w:hAnsi="Times New Roman" w:cs="Times New Roman"/>
                <w:sz w:val="20"/>
                <w:szCs w:val="20"/>
              </w:rPr>
              <w:t xml:space="preserve">Un message d’information </w:t>
            </w:r>
            <w:r w:rsidRPr="00056A36">
              <w:rPr>
                <w:rFonts w:ascii="Times New Roman" w:hAnsi="Times New Roman" w:cs="Times New Roman"/>
                <w:sz w:val="20"/>
                <w:szCs w:val="20"/>
                <w:u w:val="single"/>
              </w:rPr>
              <w:t>incitant/invitant</w:t>
            </w:r>
            <w:r w:rsidRPr="00056A36">
              <w:rPr>
                <w:rFonts w:ascii="Times New Roman" w:hAnsi="Times New Roman" w:cs="Times New Roman"/>
                <w:sz w:val="20"/>
                <w:szCs w:val="20"/>
              </w:rPr>
              <w:t xml:space="preserve"> nos clients concernés à modifier leur mot de passe sera quant à lui positionné, à partir du 12 décembre (et non du 27 novembre comme annoncé dans la </w:t>
            </w:r>
            <w:hyperlink r:id="rId28" w:history="1">
              <w:r w:rsidRPr="00056A36">
                <w:rPr>
                  <w:rStyle w:val="Lienhypertexte"/>
                  <w:rFonts w:ascii="Times New Roman" w:hAnsi="Times New Roman" w:cs="Times New Roman"/>
                  <w:sz w:val="20"/>
                  <w:szCs w:val="20"/>
                </w:rPr>
                <w:t>note XPC 18.06</w:t>
              </w:r>
            </w:hyperlink>
            <w:r w:rsidRPr="00056A36">
              <w:rPr>
                <w:rFonts w:ascii="Times New Roman" w:hAnsi="Times New Roman" w:cs="Times New Roman"/>
                <w:sz w:val="20"/>
                <w:szCs w:val="20"/>
              </w:rPr>
              <w:t xml:space="preserve"> disponible sur le portail).</w:t>
            </w:r>
          </w:p>
          <w:p w:rsidR="00056A36" w:rsidRPr="00056A36" w:rsidRDefault="00056A36" w:rsidP="00056A36">
            <w:pPr>
              <w:jc w:val="both"/>
              <w:rPr>
                <w:rFonts w:ascii="Times New Roman" w:hAnsi="Times New Roman" w:cs="Times New Roman"/>
                <w:b/>
                <w:bCs/>
                <w:noProof/>
                <w:sz w:val="20"/>
                <w:szCs w:val="20"/>
                <w:lang w:eastAsia="fr-FR"/>
              </w:rPr>
            </w:pPr>
          </w:p>
        </w:tc>
      </w:tr>
      <w:tr w:rsidR="008741B4" w:rsidRPr="008A2C98" w:rsidTr="008741B4">
        <w:trPr>
          <w:trHeight w:val="376"/>
        </w:trPr>
        <w:tc>
          <w:tcPr>
            <w:tcW w:w="15735" w:type="dxa"/>
            <w:gridSpan w:val="3"/>
            <w:shd w:val="clear" w:color="auto" w:fill="BFBFBF" w:themeFill="background1" w:themeFillShade="BF"/>
            <w:vAlign w:val="center"/>
          </w:tcPr>
          <w:p w:rsidR="008741B4" w:rsidRPr="008741B4" w:rsidRDefault="008741B4" w:rsidP="00203A9B">
            <w:pPr>
              <w:contextualSpacing/>
              <w:jc w:val="center"/>
              <w:rPr>
                <w:rFonts w:ascii="Times New Roman" w:hAnsi="Times New Roman" w:cs="Times New Roman"/>
                <w:b/>
                <w:sz w:val="20"/>
                <w:szCs w:val="20"/>
              </w:rPr>
            </w:pPr>
            <w:r w:rsidRPr="008741B4">
              <w:rPr>
                <w:rFonts w:ascii="Times New Roman" w:hAnsi="Times New Roman" w:cs="Times New Roman"/>
                <w:b/>
                <w:sz w:val="20"/>
                <w:szCs w:val="20"/>
              </w:rPr>
              <w:lastRenderedPageBreak/>
              <w:t xml:space="preserve">Communication </w:t>
            </w:r>
            <w:r w:rsidR="00203A9B">
              <w:rPr>
                <w:rFonts w:ascii="Times New Roman" w:hAnsi="Times New Roman" w:cs="Times New Roman"/>
                <w:b/>
                <w:sz w:val="20"/>
                <w:szCs w:val="20"/>
              </w:rPr>
              <w:t>multicanal</w:t>
            </w:r>
          </w:p>
        </w:tc>
      </w:tr>
      <w:tr w:rsidR="008741B4" w:rsidRPr="008A2C98" w:rsidTr="00056A36">
        <w:trPr>
          <w:trHeight w:val="376"/>
        </w:trPr>
        <w:tc>
          <w:tcPr>
            <w:tcW w:w="1560" w:type="dxa"/>
            <w:vAlign w:val="center"/>
          </w:tcPr>
          <w:p w:rsidR="008741B4" w:rsidRDefault="00056A36" w:rsidP="006A044D">
            <w:pPr>
              <w:rPr>
                <w:rFonts w:ascii="Times New Roman" w:hAnsi="Times New Roman" w:cs="Times New Roman"/>
                <w:b/>
                <w:bCs/>
                <w:sz w:val="20"/>
                <w:szCs w:val="20"/>
              </w:rPr>
            </w:pPr>
            <w:r>
              <w:rPr>
                <w:rFonts w:ascii="Times New Roman" w:hAnsi="Times New Roman" w:cs="Times New Roman"/>
                <w:b/>
                <w:bCs/>
                <w:sz w:val="20"/>
                <w:szCs w:val="20"/>
              </w:rPr>
              <w:t>Exp. Client</w:t>
            </w:r>
          </w:p>
        </w:tc>
        <w:tc>
          <w:tcPr>
            <w:tcW w:w="1843" w:type="dxa"/>
            <w:vAlign w:val="center"/>
          </w:tcPr>
          <w:p w:rsidR="008741B4" w:rsidRPr="00203A9B" w:rsidRDefault="00203A9B" w:rsidP="006A044D">
            <w:pPr>
              <w:pStyle w:val="wordsection1"/>
              <w:spacing w:before="0" w:beforeAutospacing="0" w:after="0" w:afterAutospacing="0"/>
              <w:rPr>
                <w:b/>
                <w:bCs/>
                <w:noProof/>
                <w:sz w:val="20"/>
                <w:szCs w:val="20"/>
              </w:rPr>
            </w:pPr>
            <w:r w:rsidRPr="00203A9B">
              <w:rPr>
                <w:b/>
                <w:bCs/>
                <w:noProof/>
                <w:sz w:val="20"/>
                <w:szCs w:val="20"/>
              </w:rPr>
              <w:t>Grand Jeu Instants Gagnants</w:t>
            </w:r>
          </w:p>
        </w:tc>
        <w:tc>
          <w:tcPr>
            <w:tcW w:w="12332" w:type="dxa"/>
            <w:shd w:val="clear" w:color="auto" w:fill="auto"/>
            <w:vAlign w:val="center"/>
          </w:tcPr>
          <w:p w:rsidR="00056A36" w:rsidRPr="00056A36" w:rsidRDefault="00056A36" w:rsidP="00056A36">
            <w:pPr>
              <w:ind w:left="176"/>
              <w:contextualSpacing/>
              <w:rPr>
                <w:rStyle w:val="lev"/>
                <w:rFonts w:ascii="Times New Roman" w:hAnsi="Times New Roman" w:cs="Times New Roman"/>
                <w:b w:val="0"/>
                <w:bCs w:val="0"/>
                <w:sz w:val="20"/>
                <w:szCs w:val="20"/>
              </w:rPr>
            </w:pPr>
          </w:p>
          <w:p w:rsidR="00203A9B" w:rsidRPr="00056A36" w:rsidRDefault="00203A9B" w:rsidP="00203A9B">
            <w:pPr>
              <w:numPr>
                <w:ilvl w:val="0"/>
                <w:numId w:val="5"/>
              </w:numPr>
              <w:tabs>
                <w:tab w:val="num" w:pos="720"/>
              </w:tabs>
              <w:ind w:left="176" w:hanging="176"/>
              <w:contextualSpacing/>
              <w:rPr>
                <w:rFonts w:ascii="Times New Roman" w:hAnsi="Times New Roman" w:cs="Times New Roman"/>
                <w:sz w:val="20"/>
                <w:szCs w:val="20"/>
              </w:rPr>
            </w:pPr>
            <w:r w:rsidRPr="00056A36">
              <w:rPr>
                <w:rStyle w:val="lev"/>
                <w:rFonts w:ascii="Times New Roman" w:hAnsi="Times New Roman" w:cs="Times New Roman"/>
                <w:color w:val="0000FF"/>
                <w:sz w:val="20"/>
                <w:szCs w:val="20"/>
              </w:rPr>
              <w:t>La Caisse d’Epargne sort le Grand Jeu !!</w:t>
            </w:r>
          </w:p>
          <w:p w:rsidR="00203A9B" w:rsidRPr="00056A36" w:rsidRDefault="00203A9B" w:rsidP="00450723">
            <w:pPr>
              <w:numPr>
                <w:ilvl w:val="0"/>
                <w:numId w:val="5"/>
              </w:numPr>
              <w:shd w:val="clear" w:color="auto" w:fill="FFFFFF"/>
              <w:tabs>
                <w:tab w:val="num" w:pos="720"/>
              </w:tabs>
              <w:ind w:left="176" w:hanging="176"/>
              <w:contextualSpacing/>
              <w:jc w:val="both"/>
              <w:rPr>
                <w:rFonts w:ascii="Times New Roman" w:hAnsi="Times New Roman" w:cs="Times New Roman"/>
                <w:sz w:val="20"/>
                <w:szCs w:val="20"/>
              </w:rPr>
            </w:pPr>
            <w:r w:rsidRPr="00056A36">
              <w:rPr>
                <w:rFonts w:ascii="Times New Roman" w:hAnsi="Times New Roman" w:cs="Times New Roman"/>
                <w:b/>
                <w:sz w:val="20"/>
                <w:szCs w:val="20"/>
              </w:rPr>
              <w:t>Un jeu « Instants Gagnants » ouvert à tous nos clients ou prospects est mis en place du 1</w:t>
            </w:r>
            <w:r w:rsidRPr="00056A36">
              <w:rPr>
                <w:rFonts w:ascii="Times New Roman" w:hAnsi="Times New Roman" w:cs="Times New Roman"/>
                <w:b/>
                <w:sz w:val="20"/>
                <w:szCs w:val="20"/>
                <w:vertAlign w:val="superscript"/>
              </w:rPr>
              <w:t>er</w:t>
            </w:r>
            <w:r w:rsidR="00450723" w:rsidRPr="00056A36">
              <w:rPr>
                <w:rFonts w:ascii="Times New Roman" w:hAnsi="Times New Roman" w:cs="Times New Roman"/>
                <w:b/>
                <w:sz w:val="20"/>
                <w:szCs w:val="20"/>
              </w:rPr>
              <w:t xml:space="preserve"> </w:t>
            </w:r>
            <w:r w:rsidRPr="00056A36">
              <w:rPr>
                <w:rFonts w:ascii="Times New Roman" w:hAnsi="Times New Roman" w:cs="Times New Roman"/>
                <w:b/>
                <w:sz w:val="20"/>
                <w:szCs w:val="20"/>
              </w:rPr>
              <w:t>au 31 décembre 2018</w:t>
            </w:r>
            <w:r w:rsidR="00450723" w:rsidRPr="00056A36">
              <w:rPr>
                <w:rFonts w:ascii="Times New Roman" w:hAnsi="Times New Roman" w:cs="Times New Roman"/>
                <w:b/>
                <w:sz w:val="20"/>
                <w:szCs w:val="20"/>
              </w:rPr>
              <w:t xml:space="preserve"> accessible à partir de la page FACEBOOK de la CEGEE et de notre site Internet</w:t>
            </w:r>
            <w:r w:rsidRPr="00056A36">
              <w:rPr>
                <w:rFonts w:ascii="Times New Roman" w:hAnsi="Times New Roman" w:cs="Times New Roman"/>
                <w:b/>
                <w:sz w:val="20"/>
                <w:szCs w:val="20"/>
              </w:rPr>
              <w:t xml:space="preserve">. </w:t>
            </w:r>
            <w:r w:rsidRPr="00056A36">
              <w:rPr>
                <w:rFonts w:ascii="Times New Roman" w:hAnsi="Times New Roman" w:cs="Times New Roman"/>
                <w:sz w:val="20"/>
                <w:szCs w:val="20"/>
              </w:rPr>
              <w:t>De nombreux lots à gagner chaque jour (balles anti-stress, sacs shopping, peluches avec plaid polaire) et 3 coffrets cadeaux SMARTBOX® « Joyeux Noël » d’une valeur unitaire de 99.99€ TTC.</w:t>
            </w:r>
          </w:p>
          <w:p w:rsidR="008741B4" w:rsidRPr="00056A36" w:rsidRDefault="00203A9B" w:rsidP="00450723">
            <w:pPr>
              <w:numPr>
                <w:ilvl w:val="0"/>
                <w:numId w:val="5"/>
              </w:numPr>
              <w:shd w:val="clear" w:color="auto" w:fill="FFFFFF"/>
              <w:tabs>
                <w:tab w:val="num" w:pos="720"/>
              </w:tabs>
              <w:ind w:left="176" w:hanging="176"/>
              <w:contextualSpacing/>
              <w:jc w:val="both"/>
              <w:rPr>
                <w:rFonts w:ascii="Times New Roman" w:hAnsi="Times New Roman" w:cs="Times New Roman"/>
                <w:sz w:val="20"/>
                <w:szCs w:val="20"/>
              </w:rPr>
            </w:pPr>
            <w:r w:rsidRPr="00056A36">
              <w:rPr>
                <w:rStyle w:val="lev"/>
                <w:rFonts w:ascii="Times New Roman" w:hAnsi="Times New Roman" w:cs="Times New Roman"/>
                <w:sz w:val="20"/>
                <w:szCs w:val="20"/>
              </w:rPr>
              <w:t xml:space="preserve">Comment participer ? </w:t>
            </w:r>
            <w:r w:rsidRPr="00056A36">
              <w:rPr>
                <w:rFonts w:ascii="Times New Roman" w:hAnsi="Times New Roman" w:cs="Times New Roman"/>
                <w:sz w:val="20"/>
                <w:szCs w:val="20"/>
              </w:rPr>
              <w:t xml:space="preserve">La participation se fait exclusivement sur Internet via la page FACEBOOK® de la CEGEE </w:t>
            </w:r>
            <w:hyperlink r:id="rId29" w:history="1">
              <w:r w:rsidRPr="00056A36">
                <w:rPr>
                  <w:rStyle w:val="Lienhypertexte"/>
                  <w:rFonts w:ascii="Times New Roman" w:hAnsi="Times New Roman" w:cs="Times New Roman"/>
                  <w:sz w:val="20"/>
                  <w:szCs w:val="20"/>
                </w:rPr>
                <w:t>https://www.facebook.com/caisse.epargne.grand.est.europe</w:t>
              </w:r>
            </w:hyperlink>
            <w:r w:rsidRPr="00056A36">
              <w:rPr>
                <w:rFonts w:ascii="Times New Roman" w:hAnsi="Times New Roman" w:cs="Times New Roman"/>
                <w:sz w:val="20"/>
                <w:szCs w:val="20"/>
              </w:rPr>
              <w:t xml:space="preserve"> (coût de connexion selon votre fournisseur d’accès) entre le 1</w:t>
            </w:r>
            <w:r w:rsidRPr="00056A36">
              <w:rPr>
                <w:rFonts w:ascii="Times New Roman" w:hAnsi="Times New Roman" w:cs="Times New Roman"/>
                <w:sz w:val="20"/>
                <w:szCs w:val="20"/>
                <w:vertAlign w:val="superscript"/>
              </w:rPr>
              <w:t>er</w:t>
            </w:r>
            <w:r w:rsidRPr="00056A36">
              <w:rPr>
                <w:rFonts w:ascii="Times New Roman" w:hAnsi="Times New Roman" w:cs="Times New Roman"/>
                <w:sz w:val="20"/>
                <w:szCs w:val="20"/>
              </w:rPr>
              <w:t xml:space="preserve"> et le 31 décembre 2018. Pour participer, il suffit de remplir le formulaire de participation et de cliquer sur le bouton « Jouer ».</w:t>
            </w:r>
          </w:p>
          <w:p w:rsidR="00450723" w:rsidRPr="00056A36" w:rsidRDefault="00D7721F" w:rsidP="00450723">
            <w:pPr>
              <w:numPr>
                <w:ilvl w:val="0"/>
                <w:numId w:val="5"/>
              </w:numPr>
              <w:shd w:val="clear" w:color="auto" w:fill="FFFFFF"/>
              <w:tabs>
                <w:tab w:val="num" w:pos="720"/>
              </w:tabs>
              <w:ind w:left="176" w:hanging="176"/>
              <w:contextualSpacing/>
              <w:jc w:val="both"/>
              <w:rPr>
                <w:rFonts w:ascii="Times New Roman" w:hAnsi="Times New Roman" w:cs="Times New Roman"/>
                <w:sz w:val="20"/>
                <w:szCs w:val="20"/>
              </w:rPr>
            </w:pPr>
            <w:hyperlink r:id="rId30" w:history="1">
              <w:r w:rsidR="00450723" w:rsidRPr="00056A36">
                <w:rPr>
                  <w:rStyle w:val="Lienhypertexte"/>
                  <w:rFonts w:ascii="Times New Roman" w:hAnsi="Times New Roman" w:cs="Times New Roman"/>
                  <w:sz w:val="20"/>
                  <w:szCs w:val="20"/>
                </w:rPr>
                <w:t>Cliquez ici</w:t>
              </w:r>
            </w:hyperlink>
            <w:r w:rsidR="00450723" w:rsidRPr="00056A36">
              <w:rPr>
                <w:rStyle w:val="lev"/>
                <w:rFonts w:ascii="Times New Roman" w:hAnsi="Times New Roman" w:cs="Times New Roman"/>
                <w:sz w:val="20"/>
                <w:szCs w:val="20"/>
              </w:rPr>
              <w:t xml:space="preserve"> pour accéder au règlement détaillé.</w:t>
            </w:r>
            <w:r w:rsidR="00450723" w:rsidRPr="00056A36">
              <w:rPr>
                <w:rFonts w:ascii="Times New Roman" w:hAnsi="Times New Roman" w:cs="Times New Roman"/>
                <w:sz w:val="20"/>
                <w:szCs w:val="20"/>
              </w:rPr>
              <w:t xml:space="preserve"> </w:t>
            </w:r>
          </w:p>
          <w:p w:rsidR="00203A9B" w:rsidRPr="00056A36" w:rsidRDefault="00203A9B" w:rsidP="00203A9B">
            <w:pPr>
              <w:shd w:val="clear" w:color="auto" w:fill="FFFFFF"/>
              <w:ind w:left="176"/>
              <w:contextualSpacing/>
              <w:rPr>
                <w:rFonts w:ascii="Times New Roman" w:hAnsi="Times New Roman" w:cs="Times New Roman"/>
                <w:sz w:val="20"/>
                <w:szCs w:val="20"/>
              </w:rPr>
            </w:pPr>
          </w:p>
        </w:tc>
      </w:tr>
      <w:tr w:rsidR="00056A36" w:rsidRPr="008A2C98" w:rsidTr="00CE798C">
        <w:trPr>
          <w:trHeight w:val="376"/>
        </w:trPr>
        <w:tc>
          <w:tcPr>
            <w:tcW w:w="1560" w:type="dxa"/>
            <w:tcBorders>
              <w:bottom w:val="single" w:sz="4" w:space="0" w:color="auto"/>
            </w:tcBorders>
            <w:vAlign w:val="center"/>
          </w:tcPr>
          <w:p w:rsidR="00056A36" w:rsidRPr="00AD478F" w:rsidRDefault="00056A36" w:rsidP="006A044D">
            <w:pPr>
              <w:rPr>
                <w:rFonts w:ascii="Times New Roman" w:hAnsi="Times New Roman" w:cs="Times New Roman"/>
                <w:b/>
                <w:bCs/>
                <w:color w:val="000000"/>
                <w:sz w:val="20"/>
                <w:szCs w:val="20"/>
              </w:rPr>
            </w:pPr>
            <w:r>
              <w:rPr>
                <w:rFonts w:ascii="Times New Roman" w:hAnsi="Times New Roman" w:cs="Times New Roman"/>
                <w:b/>
                <w:bCs/>
                <w:sz w:val="20"/>
                <w:szCs w:val="20"/>
              </w:rPr>
              <w:t>Exp. Client</w:t>
            </w:r>
          </w:p>
        </w:tc>
        <w:tc>
          <w:tcPr>
            <w:tcW w:w="1843" w:type="dxa"/>
            <w:tcBorders>
              <w:bottom w:val="single" w:sz="4" w:space="0" w:color="auto"/>
            </w:tcBorders>
            <w:vAlign w:val="center"/>
          </w:tcPr>
          <w:p w:rsidR="00056A36" w:rsidRPr="00056A36" w:rsidRDefault="00056A36" w:rsidP="006A044D">
            <w:pPr>
              <w:pStyle w:val="wordsection1"/>
              <w:spacing w:before="0" w:beforeAutospacing="0" w:after="0" w:afterAutospacing="0"/>
              <w:rPr>
                <w:b/>
                <w:bCs/>
                <w:noProof/>
                <w:sz w:val="20"/>
                <w:szCs w:val="20"/>
              </w:rPr>
            </w:pPr>
            <w:r w:rsidRPr="00056A36">
              <w:rPr>
                <w:b/>
                <w:bCs/>
                <w:noProof/>
                <w:sz w:val="20"/>
                <w:szCs w:val="20"/>
              </w:rPr>
              <w:t>Concours Photo « Pull moche de Noel »</w:t>
            </w:r>
          </w:p>
        </w:tc>
        <w:tc>
          <w:tcPr>
            <w:tcW w:w="12332" w:type="dxa"/>
            <w:tcBorders>
              <w:bottom w:val="single" w:sz="4" w:space="0" w:color="auto"/>
            </w:tcBorders>
            <w:shd w:val="clear" w:color="auto" w:fill="auto"/>
            <w:vAlign w:val="center"/>
          </w:tcPr>
          <w:p w:rsidR="00056A36" w:rsidRPr="00056A36" w:rsidRDefault="00056A36" w:rsidP="00056A36">
            <w:pPr>
              <w:ind w:left="176"/>
              <w:contextualSpacing/>
              <w:jc w:val="both"/>
              <w:rPr>
                <w:rStyle w:val="lev"/>
                <w:rFonts w:ascii="Times New Roman" w:hAnsi="Times New Roman" w:cs="Times New Roman"/>
                <w:sz w:val="20"/>
                <w:szCs w:val="20"/>
              </w:rPr>
            </w:pPr>
          </w:p>
          <w:p w:rsidR="00056A36" w:rsidRPr="00056A36" w:rsidRDefault="00056A36" w:rsidP="00056A36">
            <w:pPr>
              <w:numPr>
                <w:ilvl w:val="0"/>
                <w:numId w:val="5"/>
              </w:numPr>
              <w:tabs>
                <w:tab w:val="num" w:pos="720"/>
              </w:tabs>
              <w:ind w:left="176" w:hanging="176"/>
              <w:contextualSpacing/>
              <w:jc w:val="both"/>
              <w:rPr>
                <w:rStyle w:val="lev"/>
                <w:rFonts w:ascii="Times New Roman" w:hAnsi="Times New Roman" w:cs="Times New Roman"/>
                <w:sz w:val="20"/>
                <w:szCs w:val="20"/>
              </w:rPr>
            </w:pPr>
            <w:r w:rsidRPr="00056A36">
              <w:rPr>
                <w:rStyle w:val="lev"/>
                <w:rFonts w:ascii="Times New Roman" w:hAnsi="Times New Roman" w:cs="Times New Roman"/>
                <w:sz w:val="20"/>
                <w:szCs w:val="20"/>
              </w:rPr>
              <w:t>Quelle équipe aura les pulls les plus moches ?</w:t>
            </w:r>
          </w:p>
          <w:p w:rsidR="00056A36" w:rsidRPr="00056A36" w:rsidRDefault="00056A36" w:rsidP="00056A36">
            <w:pPr>
              <w:numPr>
                <w:ilvl w:val="0"/>
                <w:numId w:val="5"/>
              </w:numPr>
              <w:tabs>
                <w:tab w:val="num" w:pos="720"/>
              </w:tabs>
              <w:ind w:left="176" w:hanging="176"/>
              <w:contextualSpacing/>
              <w:jc w:val="both"/>
              <w:rPr>
                <w:rStyle w:val="lev"/>
                <w:rFonts w:ascii="Times New Roman" w:hAnsi="Times New Roman" w:cs="Times New Roman"/>
                <w:b w:val="0"/>
                <w:sz w:val="20"/>
                <w:szCs w:val="20"/>
              </w:rPr>
            </w:pPr>
            <w:r w:rsidRPr="00056A36">
              <w:rPr>
                <w:rStyle w:val="lev"/>
                <w:rFonts w:ascii="Times New Roman" w:hAnsi="Times New Roman" w:cs="Times New Roman"/>
                <w:b w:val="0"/>
                <w:sz w:val="20"/>
                <w:szCs w:val="20"/>
              </w:rPr>
              <w:t>Comme vous le savez peut-être, la journée internationale du pull de Noël se déroulera le 16 décembre prochain. C’est le moment ou jamais de ressortir de vos placards vos pires pulls moches (bonhommes de neige, sapins, rennes, …) ou mieux encore de customiser un vieux pull !!</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
                <w:bCs/>
                <w:sz w:val="20"/>
                <w:szCs w:val="20"/>
              </w:rPr>
            </w:pPr>
            <w:r w:rsidRPr="00056A36">
              <w:rPr>
                <w:rFonts w:ascii="Times New Roman" w:hAnsi="Times New Roman" w:cs="Times New Roman"/>
                <w:b/>
                <w:bCs/>
                <w:sz w:val="20"/>
                <w:szCs w:val="20"/>
              </w:rPr>
              <w:t xml:space="preserve">L’idée ? </w:t>
            </w:r>
          </w:p>
          <w:p w:rsidR="00F3486B" w:rsidRPr="00056A36" w:rsidRDefault="000A430A" w:rsidP="00056A36">
            <w:pPr>
              <w:numPr>
                <w:ilvl w:val="1"/>
                <w:numId w:val="5"/>
              </w:numPr>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 xml:space="preserve">Vous venez avec votre pull le plus moche (sont également acceptés les costumes moches de Noël et robes moches de Noël...). </w:t>
            </w:r>
          </w:p>
          <w:p w:rsidR="00F3486B" w:rsidRPr="00056A36" w:rsidRDefault="000A430A" w:rsidP="00056A36">
            <w:pPr>
              <w:numPr>
                <w:ilvl w:val="1"/>
                <w:numId w:val="5"/>
              </w:numPr>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 xml:space="preserve">Vous prenez une photo de toute votre équipe, chacun vêtu de son fameux pull. </w:t>
            </w:r>
          </w:p>
          <w:p w:rsidR="00F3486B" w:rsidRPr="00056A36" w:rsidRDefault="000A430A" w:rsidP="00056A36">
            <w:pPr>
              <w:numPr>
                <w:ilvl w:val="1"/>
                <w:numId w:val="5"/>
              </w:numPr>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 xml:space="preserve">Vous la postez sur la page YAMMER du concours. </w:t>
            </w:r>
          </w:p>
          <w:p w:rsidR="00F3486B" w:rsidRPr="00056A36" w:rsidRDefault="000A430A" w:rsidP="00056A36">
            <w:pPr>
              <w:numPr>
                <w:ilvl w:val="1"/>
                <w:numId w:val="5"/>
              </w:numPr>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Vous faites liker vos collègues !!</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
                <w:bCs/>
                <w:sz w:val="20"/>
                <w:szCs w:val="20"/>
              </w:rPr>
            </w:pPr>
            <w:r w:rsidRPr="00056A36">
              <w:rPr>
                <w:rFonts w:ascii="Times New Roman" w:hAnsi="Times New Roman" w:cs="Times New Roman"/>
                <w:b/>
                <w:bCs/>
                <w:sz w:val="20"/>
                <w:szCs w:val="20"/>
              </w:rPr>
              <w:t>Le 17 décembre au soir, les 3 photos qui auront obtenu le plus de « J’aime » seront gagnantes !!</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Cs/>
                <w:sz w:val="20"/>
                <w:szCs w:val="20"/>
              </w:rPr>
            </w:pPr>
            <w:r w:rsidRPr="00056A36">
              <w:rPr>
                <w:rFonts w:ascii="Times New Roman" w:hAnsi="Times New Roman" w:cs="Times New Roman"/>
                <w:b/>
                <w:bCs/>
                <w:sz w:val="20"/>
                <w:szCs w:val="20"/>
              </w:rPr>
              <w:t xml:space="preserve">A gagner ? </w:t>
            </w:r>
            <w:r w:rsidRPr="00056A36">
              <w:rPr>
                <w:rFonts w:ascii="Times New Roman" w:hAnsi="Times New Roman" w:cs="Times New Roman"/>
                <w:bCs/>
                <w:sz w:val="20"/>
                <w:szCs w:val="20"/>
              </w:rPr>
              <w:t>Un repas de Noel pour toute l’équipe à l’occasion des fêtes d’année (d’une valeur de 25€ par collaborateur présent dans l’agence).</w:t>
            </w:r>
          </w:p>
          <w:p w:rsidR="00056A36" w:rsidRPr="00056A36" w:rsidRDefault="00056A36" w:rsidP="00056A36">
            <w:pPr>
              <w:numPr>
                <w:ilvl w:val="0"/>
                <w:numId w:val="5"/>
              </w:numPr>
              <w:tabs>
                <w:tab w:val="num" w:pos="720"/>
              </w:tabs>
              <w:ind w:left="176" w:hanging="176"/>
              <w:contextualSpacing/>
              <w:jc w:val="both"/>
              <w:rPr>
                <w:rFonts w:ascii="Times New Roman" w:hAnsi="Times New Roman" w:cs="Times New Roman"/>
                <w:bCs/>
                <w:sz w:val="20"/>
                <w:szCs w:val="20"/>
              </w:rPr>
            </w:pPr>
            <w:r w:rsidRPr="00056A36">
              <w:rPr>
                <w:rFonts w:ascii="Times New Roman" w:hAnsi="Times New Roman" w:cs="Times New Roman"/>
                <w:b/>
                <w:bCs/>
                <w:sz w:val="20"/>
                <w:szCs w:val="20"/>
              </w:rPr>
              <w:t xml:space="preserve">Envie de concourir à la première édition du concours photo de pull moche de Noël ? </w:t>
            </w:r>
            <w:r w:rsidRPr="00056A36">
              <w:rPr>
                <w:rFonts w:ascii="Times New Roman" w:hAnsi="Times New Roman" w:cs="Times New Roman"/>
                <w:bCs/>
                <w:sz w:val="20"/>
                <w:szCs w:val="20"/>
              </w:rPr>
              <w:t>Alors on se donne rendez-vous la page YAMMER du concours pour poster votre plus beau cliché !!</w:t>
            </w:r>
          </w:p>
          <w:p w:rsidR="00056A36" w:rsidRPr="00056A36" w:rsidRDefault="00D7721F" w:rsidP="00056A36">
            <w:pPr>
              <w:numPr>
                <w:ilvl w:val="0"/>
                <w:numId w:val="5"/>
              </w:numPr>
              <w:tabs>
                <w:tab w:val="num" w:pos="720"/>
              </w:tabs>
              <w:ind w:left="176" w:hanging="176"/>
              <w:contextualSpacing/>
              <w:jc w:val="both"/>
              <w:rPr>
                <w:rFonts w:ascii="Times New Roman" w:hAnsi="Times New Roman" w:cs="Times New Roman"/>
                <w:bCs/>
                <w:sz w:val="20"/>
                <w:szCs w:val="20"/>
              </w:rPr>
            </w:pPr>
            <w:hyperlink r:id="rId31" w:history="1">
              <w:r w:rsidR="00056A36" w:rsidRPr="00056A36">
                <w:rPr>
                  <w:rStyle w:val="Lienhypertexte"/>
                  <w:rFonts w:ascii="Times New Roman" w:hAnsi="Times New Roman" w:cs="Times New Roman"/>
                  <w:bCs/>
                  <w:sz w:val="20"/>
                  <w:szCs w:val="20"/>
                </w:rPr>
                <w:t>Cliquez ici</w:t>
              </w:r>
            </w:hyperlink>
            <w:r w:rsidR="00056A36" w:rsidRPr="00056A36">
              <w:rPr>
                <w:rFonts w:ascii="Times New Roman" w:hAnsi="Times New Roman" w:cs="Times New Roman"/>
                <w:bCs/>
                <w:sz w:val="20"/>
                <w:szCs w:val="20"/>
              </w:rPr>
              <w:t xml:space="preserve"> pour accéder au règlement détaillé. </w:t>
            </w:r>
          </w:p>
          <w:p w:rsidR="00056A36" w:rsidRPr="00056A36" w:rsidRDefault="00056A36" w:rsidP="00056A36">
            <w:pPr>
              <w:ind w:left="176"/>
              <w:contextualSpacing/>
              <w:jc w:val="both"/>
              <w:rPr>
                <w:rStyle w:val="lev"/>
                <w:rFonts w:ascii="Times New Roman" w:hAnsi="Times New Roman" w:cs="Times New Roman"/>
                <w:sz w:val="20"/>
                <w:szCs w:val="20"/>
              </w:rPr>
            </w:pPr>
          </w:p>
        </w:tc>
      </w:tr>
    </w:tbl>
    <w:p w:rsidR="00EF1178" w:rsidRDefault="00EF1178" w:rsidP="00E971C7">
      <w:pPr>
        <w:rPr>
          <w:rFonts w:ascii="Times New Roman" w:hAnsi="Times New Roman" w:cs="Times New Roman"/>
          <w:strike/>
          <w:sz w:val="20"/>
          <w:szCs w:val="20"/>
        </w:rPr>
      </w:pPr>
    </w:p>
    <w:sectPr w:rsidR="00EF1178" w:rsidSect="00421843">
      <w:footerReference w:type="default" r:id="rId32"/>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21F" w:rsidRDefault="00D7721F" w:rsidP="0035465A">
      <w:pPr>
        <w:spacing w:after="0" w:line="240" w:lineRule="auto"/>
      </w:pPr>
      <w:r>
        <w:separator/>
      </w:r>
    </w:p>
  </w:endnote>
  <w:endnote w:type="continuationSeparator" w:id="0">
    <w:p w:rsidR="00D7721F" w:rsidRDefault="00D7721F"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ritannic Bold">
    <w:panose1 w:val="020B090306070302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21F" w:rsidRDefault="00D7721F" w:rsidP="0035465A">
      <w:pPr>
        <w:spacing w:after="0" w:line="240" w:lineRule="auto"/>
      </w:pPr>
      <w:r>
        <w:separator/>
      </w:r>
    </w:p>
  </w:footnote>
  <w:footnote w:type="continuationSeparator" w:id="0">
    <w:p w:rsidR="00D7721F" w:rsidRDefault="00D7721F"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
    <w:nsid w:val="18AF16AF"/>
    <w:multiLevelType w:val="hybridMultilevel"/>
    <w:tmpl w:val="7EC82930"/>
    <w:lvl w:ilvl="0" w:tplc="F75C1C94">
      <w:start w:val="1"/>
      <w:numFmt w:val="bullet"/>
      <w:lvlText w:val="−"/>
      <w:lvlJc w:val="left"/>
      <w:pPr>
        <w:tabs>
          <w:tab w:val="num" w:pos="1788"/>
        </w:tabs>
        <w:ind w:left="1788"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1CCF7A24"/>
    <w:multiLevelType w:val="hybridMultilevel"/>
    <w:tmpl w:val="848C81E2"/>
    <w:lvl w:ilvl="0" w:tplc="F75C1C94">
      <w:start w:val="1"/>
      <w:numFmt w:val="bullet"/>
      <w:lvlText w:val="−"/>
      <w:lvlJc w:val="left"/>
      <w:pPr>
        <w:tabs>
          <w:tab w:val="num" w:pos="720"/>
        </w:tabs>
        <w:ind w:left="720" w:hanging="360"/>
      </w:pPr>
      <w:rPr>
        <w:rFonts w:ascii="Times New Roman" w:hAnsi="Times New Roman" w:cs="Times New Roman" w:hint="default"/>
      </w:rPr>
    </w:lvl>
    <w:lvl w:ilvl="1" w:tplc="71343E72" w:tentative="1">
      <w:start w:val="1"/>
      <w:numFmt w:val="bullet"/>
      <w:lvlText w:val="&gt;"/>
      <w:lvlJc w:val="left"/>
      <w:pPr>
        <w:tabs>
          <w:tab w:val="num" w:pos="1440"/>
        </w:tabs>
        <w:ind w:left="1440" w:hanging="360"/>
      </w:pPr>
      <w:rPr>
        <w:rFonts w:ascii="Britannic Bold" w:hAnsi="Britannic Bold" w:hint="default"/>
      </w:rPr>
    </w:lvl>
    <w:lvl w:ilvl="2" w:tplc="1EC0F536" w:tentative="1">
      <w:start w:val="1"/>
      <w:numFmt w:val="bullet"/>
      <w:lvlText w:val="&gt;"/>
      <w:lvlJc w:val="left"/>
      <w:pPr>
        <w:tabs>
          <w:tab w:val="num" w:pos="2160"/>
        </w:tabs>
        <w:ind w:left="2160" w:hanging="360"/>
      </w:pPr>
      <w:rPr>
        <w:rFonts w:ascii="Britannic Bold" w:hAnsi="Britannic Bold" w:hint="default"/>
      </w:rPr>
    </w:lvl>
    <w:lvl w:ilvl="3" w:tplc="CA6C3F4A" w:tentative="1">
      <w:start w:val="1"/>
      <w:numFmt w:val="bullet"/>
      <w:lvlText w:val="&gt;"/>
      <w:lvlJc w:val="left"/>
      <w:pPr>
        <w:tabs>
          <w:tab w:val="num" w:pos="2880"/>
        </w:tabs>
        <w:ind w:left="2880" w:hanging="360"/>
      </w:pPr>
      <w:rPr>
        <w:rFonts w:ascii="Britannic Bold" w:hAnsi="Britannic Bold" w:hint="default"/>
      </w:rPr>
    </w:lvl>
    <w:lvl w:ilvl="4" w:tplc="7376DED0" w:tentative="1">
      <w:start w:val="1"/>
      <w:numFmt w:val="bullet"/>
      <w:lvlText w:val="&gt;"/>
      <w:lvlJc w:val="left"/>
      <w:pPr>
        <w:tabs>
          <w:tab w:val="num" w:pos="3600"/>
        </w:tabs>
        <w:ind w:left="3600" w:hanging="360"/>
      </w:pPr>
      <w:rPr>
        <w:rFonts w:ascii="Britannic Bold" w:hAnsi="Britannic Bold" w:hint="default"/>
      </w:rPr>
    </w:lvl>
    <w:lvl w:ilvl="5" w:tplc="619C253E" w:tentative="1">
      <w:start w:val="1"/>
      <w:numFmt w:val="bullet"/>
      <w:lvlText w:val="&gt;"/>
      <w:lvlJc w:val="left"/>
      <w:pPr>
        <w:tabs>
          <w:tab w:val="num" w:pos="4320"/>
        </w:tabs>
        <w:ind w:left="4320" w:hanging="360"/>
      </w:pPr>
      <w:rPr>
        <w:rFonts w:ascii="Britannic Bold" w:hAnsi="Britannic Bold" w:hint="default"/>
      </w:rPr>
    </w:lvl>
    <w:lvl w:ilvl="6" w:tplc="066CB712" w:tentative="1">
      <w:start w:val="1"/>
      <w:numFmt w:val="bullet"/>
      <w:lvlText w:val="&gt;"/>
      <w:lvlJc w:val="left"/>
      <w:pPr>
        <w:tabs>
          <w:tab w:val="num" w:pos="5040"/>
        </w:tabs>
        <w:ind w:left="5040" w:hanging="360"/>
      </w:pPr>
      <w:rPr>
        <w:rFonts w:ascii="Britannic Bold" w:hAnsi="Britannic Bold" w:hint="default"/>
      </w:rPr>
    </w:lvl>
    <w:lvl w:ilvl="7" w:tplc="A3A6AB06" w:tentative="1">
      <w:start w:val="1"/>
      <w:numFmt w:val="bullet"/>
      <w:lvlText w:val="&gt;"/>
      <w:lvlJc w:val="left"/>
      <w:pPr>
        <w:tabs>
          <w:tab w:val="num" w:pos="5760"/>
        </w:tabs>
        <w:ind w:left="5760" w:hanging="360"/>
      </w:pPr>
      <w:rPr>
        <w:rFonts w:ascii="Britannic Bold" w:hAnsi="Britannic Bold" w:hint="default"/>
      </w:rPr>
    </w:lvl>
    <w:lvl w:ilvl="8" w:tplc="7FB819B4" w:tentative="1">
      <w:start w:val="1"/>
      <w:numFmt w:val="bullet"/>
      <w:lvlText w:val="&gt;"/>
      <w:lvlJc w:val="left"/>
      <w:pPr>
        <w:tabs>
          <w:tab w:val="num" w:pos="6480"/>
        </w:tabs>
        <w:ind w:left="6480" w:hanging="360"/>
      </w:pPr>
      <w:rPr>
        <w:rFonts w:ascii="Britannic Bold" w:hAnsi="Britannic Bold" w:hint="default"/>
      </w:rPr>
    </w:lvl>
  </w:abstractNum>
  <w:abstractNum w:abstractNumId="5">
    <w:nsid w:val="25072AD7"/>
    <w:multiLevelType w:val="hybridMultilevel"/>
    <w:tmpl w:val="4CF24C74"/>
    <w:lvl w:ilvl="0" w:tplc="681A06E8">
      <w:start w:val="1"/>
      <w:numFmt w:val="bullet"/>
      <w:lvlText w:val=""/>
      <w:lvlJc w:val="left"/>
      <w:pPr>
        <w:tabs>
          <w:tab w:val="num" w:pos="720"/>
        </w:tabs>
        <w:ind w:left="720" w:hanging="360"/>
      </w:pPr>
      <w:rPr>
        <w:rFonts w:ascii="Wingdings" w:hAnsi="Wingdings" w:hint="default"/>
      </w:rPr>
    </w:lvl>
    <w:lvl w:ilvl="1" w:tplc="2B1C165C">
      <w:start w:val="840"/>
      <w:numFmt w:val="bullet"/>
      <w:lvlText w:val=""/>
      <w:lvlJc w:val="left"/>
      <w:pPr>
        <w:tabs>
          <w:tab w:val="num" w:pos="1440"/>
        </w:tabs>
        <w:ind w:left="1440" w:hanging="360"/>
      </w:pPr>
      <w:rPr>
        <w:rFonts w:ascii="Wingdings" w:hAnsi="Wingdings" w:hint="default"/>
      </w:rPr>
    </w:lvl>
    <w:lvl w:ilvl="2" w:tplc="4C3C2B96" w:tentative="1">
      <w:start w:val="1"/>
      <w:numFmt w:val="bullet"/>
      <w:lvlText w:val=""/>
      <w:lvlJc w:val="left"/>
      <w:pPr>
        <w:tabs>
          <w:tab w:val="num" w:pos="2160"/>
        </w:tabs>
        <w:ind w:left="2160" w:hanging="360"/>
      </w:pPr>
      <w:rPr>
        <w:rFonts w:ascii="Wingdings" w:hAnsi="Wingdings" w:hint="default"/>
      </w:rPr>
    </w:lvl>
    <w:lvl w:ilvl="3" w:tplc="9E06FA86" w:tentative="1">
      <w:start w:val="1"/>
      <w:numFmt w:val="bullet"/>
      <w:lvlText w:val=""/>
      <w:lvlJc w:val="left"/>
      <w:pPr>
        <w:tabs>
          <w:tab w:val="num" w:pos="2880"/>
        </w:tabs>
        <w:ind w:left="2880" w:hanging="360"/>
      </w:pPr>
      <w:rPr>
        <w:rFonts w:ascii="Wingdings" w:hAnsi="Wingdings" w:hint="default"/>
      </w:rPr>
    </w:lvl>
    <w:lvl w:ilvl="4" w:tplc="7DE43422" w:tentative="1">
      <w:start w:val="1"/>
      <w:numFmt w:val="bullet"/>
      <w:lvlText w:val=""/>
      <w:lvlJc w:val="left"/>
      <w:pPr>
        <w:tabs>
          <w:tab w:val="num" w:pos="3600"/>
        </w:tabs>
        <w:ind w:left="3600" w:hanging="360"/>
      </w:pPr>
      <w:rPr>
        <w:rFonts w:ascii="Wingdings" w:hAnsi="Wingdings" w:hint="default"/>
      </w:rPr>
    </w:lvl>
    <w:lvl w:ilvl="5" w:tplc="570AA5D8" w:tentative="1">
      <w:start w:val="1"/>
      <w:numFmt w:val="bullet"/>
      <w:lvlText w:val=""/>
      <w:lvlJc w:val="left"/>
      <w:pPr>
        <w:tabs>
          <w:tab w:val="num" w:pos="4320"/>
        </w:tabs>
        <w:ind w:left="4320" w:hanging="360"/>
      </w:pPr>
      <w:rPr>
        <w:rFonts w:ascii="Wingdings" w:hAnsi="Wingdings" w:hint="default"/>
      </w:rPr>
    </w:lvl>
    <w:lvl w:ilvl="6" w:tplc="D14CE02E" w:tentative="1">
      <w:start w:val="1"/>
      <w:numFmt w:val="bullet"/>
      <w:lvlText w:val=""/>
      <w:lvlJc w:val="left"/>
      <w:pPr>
        <w:tabs>
          <w:tab w:val="num" w:pos="5040"/>
        </w:tabs>
        <w:ind w:left="5040" w:hanging="360"/>
      </w:pPr>
      <w:rPr>
        <w:rFonts w:ascii="Wingdings" w:hAnsi="Wingdings" w:hint="default"/>
      </w:rPr>
    </w:lvl>
    <w:lvl w:ilvl="7" w:tplc="E668ADD0" w:tentative="1">
      <w:start w:val="1"/>
      <w:numFmt w:val="bullet"/>
      <w:lvlText w:val=""/>
      <w:lvlJc w:val="left"/>
      <w:pPr>
        <w:tabs>
          <w:tab w:val="num" w:pos="5760"/>
        </w:tabs>
        <w:ind w:left="5760" w:hanging="360"/>
      </w:pPr>
      <w:rPr>
        <w:rFonts w:ascii="Wingdings" w:hAnsi="Wingdings" w:hint="default"/>
      </w:rPr>
    </w:lvl>
    <w:lvl w:ilvl="8" w:tplc="82FED62A" w:tentative="1">
      <w:start w:val="1"/>
      <w:numFmt w:val="bullet"/>
      <w:lvlText w:val=""/>
      <w:lvlJc w:val="left"/>
      <w:pPr>
        <w:tabs>
          <w:tab w:val="num" w:pos="6480"/>
        </w:tabs>
        <w:ind w:left="6480" w:hanging="360"/>
      </w:pPr>
      <w:rPr>
        <w:rFonts w:ascii="Wingdings" w:hAnsi="Wingdings" w:hint="default"/>
      </w:rPr>
    </w:lvl>
  </w:abstractNum>
  <w:abstractNum w:abstractNumId="6">
    <w:nsid w:val="26456767"/>
    <w:multiLevelType w:val="hybridMultilevel"/>
    <w:tmpl w:val="F2288C14"/>
    <w:lvl w:ilvl="0" w:tplc="4E00E840">
      <w:start w:val="1"/>
      <w:numFmt w:val="bullet"/>
      <w:lvlText w:val=""/>
      <w:lvlJc w:val="left"/>
      <w:pPr>
        <w:ind w:left="1068" w:hanging="360"/>
      </w:pPr>
      <w:rPr>
        <w:rFonts w:ascii="Symbol" w:hAnsi="Symbol" w:hint="default"/>
        <w:color w:val="002060"/>
      </w:rPr>
    </w:lvl>
    <w:lvl w:ilvl="1" w:tplc="F75C1C94">
      <w:start w:val="1"/>
      <w:numFmt w:val="bullet"/>
      <w:lvlText w:val="−"/>
      <w:lvlJc w:val="left"/>
      <w:pPr>
        <w:tabs>
          <w:tab w:val="num" w:pos="1788"/>
        </w:tabs>
        <w:ind w:left="1788" w:hanging="360"/>
      </w:pPr>
      <w:rPr>
        <w:rFonts w:ascii="Times New Roman" w:hAnsi="Times New Roman" w:cs="Times New Roman" w:hint="default"/>
      </w:rPr>
    </w:lvl>
    <w:lvl w:ilvl="2" w:tplc="040C0005">
      <w:start w:val="1"/>
      <w:numFmt w:val="decimal"/>
      <w:lvlText w:val="%3."/>
      <w:lvlJc w:val="left"/>
      <w:pPr>
        <w:tabs>
          <w:tab w:val="num" w:pos="2508"/>
        </w:tabs>
        <w:ind w:left="2508" w:hanging="360"/>
      </w:pPr>
    </w:lvl>
    <w:lvl w:ilvl="3" w:tplc="040C0001">
      <w:start w:val="1"/>
      <w:numFmt w:val="decimal"/>
      <w:lvlText w:val="%4."/>
      <w:lvlJc w:val="left"/>
      <w:pPr>
        <w:tabs>
          <w:tab w:val="num" w:pos="3228"/>
        </w:tabs>
        <w:ind w:left="3228" w:hanging="360"/>
      </w:pPr>
    </w:lvl>
    <w:lvl w:ilvl="4" w:tplc="040C0003">
      <w:start w:val="1"/>
      <w:numFmt w:val="decimal"/>
      <w:lvlText w:val="%5."/>
      <w:lvlJc w:val="left"/>
      <w:pPr>
        <w:tabs>
          <w:tab w:val="num" w:pos="3948"/>
        </w:tabs>
        <w:ind w:left="3948" w:hanging="360"/>
      </w:pPr>
    </w:lvl>
    <w:lvl w:ilvl="5" w:tplc="040C0005">
      <w:start w:val="1"/>
      <w:numFmt w:val="decimal"/>
      <w:lvlText w:val="%6."/>
      <w:lvlJc w:val="left"/>
      <w:pPr>
        <w:tabs>
          <w:tab w:val="num" w:pos="4668"/>
        </w:tabs>
        <w:ind w:left="4668" w:hanging="360"/>
      </w:pPr>
    </w:lvl>
    <w:lvl w:ilvl="6" w:tplc="040C0001">
      <w:start w:val="1"/>
      <w:numFmt w:val="decimal"/>
      <w:lvlText w:val="%7."/>
      <w:lvlJc w:val="left"/>
      <w:pPr>
        <w:tabs>
          <w:tab w:val="num" w:pos="5388"/>
        </w:tabs>
        <w:ind w:left="5388" w:hanging="360"/>
      </w:pPr>
    </w:lvl>
    <w:lvl w:ilvl="7" w:tplc="040C0003">
      <w:start w:val="1"/>
      <w:numFmt w:val="decimal"/>
      <w:lvlText w:val="%8."/>
      <w:lvlJc w:val="left"/>
      <w:pPr>
        <w:tabs>
          <w:tab w:val="num" w:pos="6108"/>
        </w:tabs>
        <w:ind w:left="6108" w:hanging="360"/>
      </w:pPr>
    </w:lvl>
    <w:lvl w:ilvl="8" w:tplc="040C0005">
      <w:start w:val="1"/>
      <w:numFmt w:val="decimal"/>
      <w:lvlText w:val="%9."/>
      <w:lvlJc w:val="left"/>
      <w:pPr>
        <w:tabs>
          <w:tab w:val="num" w:pos="6828"/>
        </w:tabs>
        <w:ind w:left="6828" w:hanging="360"/>
      </w:pPr>
    </w:lvl>
  </w:abstractNum>
  <w:abstractNum w:abstractNumId="7">
    <w:nsid w:val="27EB1070"/>
    <w:multiLevelType w:val="hybridMultilevel"/>
    <w:tmpl w:val="863E56F0"/>
    <w:lvl w:ilvl="0" w:tplc="F75C1C94">
      <w:start w:val="1"/>
      <w:numFmt w:val="bullet"/>
      <w:lvlText w:val="−"/>
      <w:lvlJc w:val="left"/>
      <w:pPr>
        <w:tabs>
          <w:tab w:val="num" w:pos="720"/>
        </w:tabs>
        <w:ind w:left="720" w:hanging="360"/>
      </w:pPr>
      <w:rPr>
        <w:rFonts w:ascii="Times New Roman" w:hAnsi="Times New Roman" w:cs="Times New Roman" w:hint="default"/>
      </w:rPr>
    </w:lvl>
    <w:lvl w:ilvl="1" w:tplc="F5A8EAB0">
      <w:start w:val="1"/>
      <w:numFmt w:val="bullet"/>
      <w:lvlText w:val=""/>
      <w:lvlJc w:val="left"/>
      <w:pPr>
        <w:tabs>
          <w:tab w:val="num" w:pos="1440"/>
        </w:tabs>
        <w:ind w:left="1440" w:hanging="360"/>
      </w:pPr>
      <w:rPr>
        <w:rFonts w:ascii="Wingdings" w:hAnsi="Wingdings" w:hint="default"/>
      </w:rPr>
    </w:lvl>
    <w:lvl w:ilvl="2" w:tplc="1F78AE2C" w:tentative="1">
      <w:start w:val="1"/>
      <w:numFmt w:val="bullet"/>
      <w:lvlText w:val=""/>
      <w:lvlJc w:val="left"/>
      <w:pPr>
        <w:tabs>
          <w:tab w:val="num" w:pos="2160"/>
        </w:tabs>
        <w:ind w:left="2160" w:hanging="360"/>
      </w:pPr>
      <w:rPr>
        <w:rFonts w:ascii="Wingdings" w:hAnsi="Wingdings" w:hint="default"/>
      </w:rPr>
    </w:lvl>
    <w:lvl w:ilvl="3" w:tplc="3920CB9A" w:tentative="1">
      <w:start w:val="1"/>
      <w:numFmt w:val="bullet"/>
      <w:lvlText w:val=""/>
      <w:lvlJc w:val="left"/>
      <w:pPr>
        <w:tabs>
          <w:tab w:val="num" w:pos="2880"/>
        </w:tabs>
        <w:ind w:left="2880" w:hanging="360"/>
      </w:pPr>
      <w:rPr>
        <w:rFonts w:ascii="Wingdings" w:hAnsi="Wingdings" w:hint="default"/>
      </w:rPr>
    </w:lvl>
    <w:lvl w:ilvl="4" w:tplc="54B0578C" w:tentative="1">
      <w:start w:val="1"/>
      <w:numFmt w:val="bullet"/>
      <w:lvlText w:val=""/>
      <w:lvlJc w:val="left"/>
      <w:pPr>
        <w:tabs>
          <w:tab w:val="num" w:pos="3600"/>
        </w:tabs>
        <w:ind w:left="3600" w:hanging="360"/>
      </w:pPr>
      <w:rPr>
        <w:rFonts w:ascii="Wingdings" w:hAnsi="Wingdings" w:hint="default"/>
      </w:rPr>
    </w:lvl>
    <w:lvl w:ilvl="5" w:tplc="F3A81A0A" w:tentative="1">
      <w:start w:val="1"/>
      <w:numFmt w:val="bullet"/>
      <w:lvlText w:val=""/>
      <w:lvlJc w:val="left"/>
      <w:pPr>
        <w:tabs>
          <w:tab w:val="num" w:pos="4320"/>
        </w:tabs>
        <w:ind w:left="4320" w:hanging="360"/>
      </w:pPr>
      <w:rPr>
        <w:rFonts w:ascii="Wingdings" w:hAnsi="Wingdings" w:hint="default"/>
      </w:rPr>
    </w:lvl>
    <w:lvl w:ilvl="6" w:tplc="495A80AC" w:tentative="1">
      <w:start w:val="1"/>
      <w:numFmt w:val="bullet"/>
      <w:lvlText w:val=""/>
      <w:lvlJc w:val="left"/>
      <w:pPr>
        <w:tabs>
          <w:tab w:val="num" w:pos="5040"/>
        </w:tabs>
        <w:ind w:left="5040" w:hanging="360"/>
      </w:pPr>
      <w:rPr>
        <w:rFonts w:ascii="Wingdings" w:hAnsi="Wingdings" w:hint="default"/>
      </w:rPr>
    </w:lvl>
    <w:lvl w:ilvl="7" w:tplc="B750278E" w:tentative="1">
      <w:start w:val="1"/>
      <w:numFmt w:val="bullet"/>
      <w:lvlText w:val=""/>
      <w:lvlJc w:val="left"/>
      <w:pPr>
        <w:tabs>
          <w:tab w:val="num" w:pos="5760"/>
        </w:tabs>
        <w:ind w:left="5760" w:hanging="360"/>
      </w:pPr>
      <w:rPr>
        <w:rFonts w:ascii="Wingdings" w:hAnsi="Wingdings" w:hint="default"/>
      </w:rPr>
    </w:lvl>
    <w:lvl w:ilvl="8" w:tplc="FB2C65F6" w:tentative="1">
      <w:start w:val="1"/>
      <w:numFmt w:val="bullet"/>
      <w:lvlText w:val=""/>
      <w:lvlJc w:val="left"/>
      <w:pPr>
        <w:tabs>
          <w:tab w:val="num" w:pos="6480"/>
        </w:tabs>
        <w:ind w:left="6480" w:hanging="360"/>
      </w:pPr>
      <w:rPr>
        <w:rFonts w:ascii="Wingdings" w:hAnsi="Wingdings" w:hint="default"/>
      </w:rPr>
    </w:lvl>
  </w:abstractNum>
  <w:abstractNum w:abstractNumId="8">
    <w:nsid w:val="31B53B57"/>
    <w:multiLevelType w:val="hybridMultilevel"/>
    <w:tmpl w:val="65B8C8C8"/>
    <w:lvl w:ilvl="0" w:tplc="50A4FE4A">
      <w:start w:val="1"/>
      <w:numFmt w:val="bullet"/>
      <w:lvlText w:val=""/>
      <w:lvlJc w:val="left"/>
      <w:pPr>
        <w:tabs>
          <w:tab w:val="num" w:pos="720"/>
        </w:tabs>
        <w:ind w:left="720" w:hanging="360"/>
      </w:pPr>
      <w:rPr>
        <w:rFonts w:ascii="Wingdings" w:hAnsi="Wingdings" w:hint="default"/>
      </w:rPr>
    </w:lvl>
    <w:lvl w:ilvl="1" w:tplc="F5A8EAB0">
      <w:start w:val="1"/>
      <w:numFmt w:val="bullet"/>
      <w:lvlText w:val=""/>
      <w:lvlJc w:val="left"/>
      <w:pPr>
        <w:tabs>
          <w:tab w:val="num" w:pos="1440"/>
        </w:tabs>
        <w:ind w:left="1440" w:hanging="360"/>
      </w:pPr>
      <w:rPr>
        <w:rFonts w:ascii="Wingdings" w:hAnsi="Wingdings" w:hint="default"/>
      </w:rPr>
    </w:lvl>
    <w:lvl w:ilvl="2" w:tplc="1F78AE2C" w:tentative="1">
      <w:start w:val="1"/>
      <w:numFmt w:val="bullet"/>
      <w:lvlText w:val=""/>
      <w:lvlJc w:val="left"/>
      <w:pPr>
        <w:tabs>
          <w:tab w:val="num" w:pos="2160"/>
        </w:tabs>
        <w:ind w:left="2160" w:hanging="360"/>
      </w:pPr>
      <w:rPr>
        <w:rFonts w:ascii="Wingdings" w:hAnsi="Wingdings" w:hint="default"/>
      </w:rPr>
    </w:lvl>
    <w:lvl w:ilvl="3" w:tplc="3920CB9A" w:tentative="1">
      <w:start w:val="1"/>
      <w:numFmt w:val="bullet"/>
      <w:lvlText w:val=""/>
      <w:lvlJc w:val="left"/>
      <w:pPr>
        <w:tabs>
          <w:tab w:val="num" w:pos="2880"/>
        </w:tabs>
        <w:ind w:left="2880" w:hanging="360"/>
      </w:pPr>
      <w:rPr>
        <w:rFonts w:ascii="Wingdings" w:hAnsi="Wingdings" w:hint="default"/>
      </w:rPr>
    </w:lvl>
    <w:lvl w:ilvl="4" w:tplc="54B0578C" w:tentative="1">
      <w:start w:val="1"/>
      <w:numFmt w:val="bullet"/>
      <w:lvlText w:val=""/>
      <w:lvlJc w:val="left"/>
      <w:pPr>
        <w:tabs>
          <w:tab w:val="num" w:pos="3600"/>
        </w:tabs>
        <w:ind w:left="3600" w:hanging="360"/>
      </w:pPr>
      <w:rPr>
        <w:rFonts w:ascii="Wingdings" w:hAnsi="Wingdings" w:hint="default"/>
      </w:rPr>
    </w:lvl>
    <w:lvl w:ilvl="5" w:tplc="F3A81A0A" w:tentative="1">
      <w:start w:val="1"/>
      <w:numFmt w:val="bullet"/>
      <w:lvlText w:val=""/>
      <w:lvlJc w:val="left"/>
      <w:pPr>
        <w:tabs>
          <w:tab w:val="num" w:pos="4320"/>
        </w:tabs>
        <w:ind w:left="4320" w:hanging="360"/>
      </w:pPr>
      <w:rPr>
        <w:rFonts w:ascii="Wingdings" w:hAnsi="Wingdings" w:hint="default"/>
      </w:rPr>
    </w:lvl>
    <w:lvl w:ilvl="6" w:tplc="495A80AC" w:tentative="1">
      <w:start w:val="1"/>
      <w:numFmt w:val="bullet"/>
      <w:lvlText w:val=""/>
      <w:lvlJc w:val="left"/>
      <w:pPr>
        <w:tabs>
          <w:tab w:val="num" w:pos="5040"/>
        </w:tabs>
        <w:ind w:left="5040" w:hanging="360"/>
      </w:pPr>
      <w:rPr>
        <w:rFonts w:ascii="Wingdings" w:hAnsi="Wingdings" w:hint="default"/>
      </w:rPr>
    </w:lvl>
    <w:lvl w:ilvl="7" w:tplc="B750278E" w:tentative="1">
      <w:start w:val="1"/>
      <w:numFmt w:val="bullet"/>
      <w:lvlText w:val=""/>
      <w:lvlJc w:val="left"/>
      <w:pPr>
        <w:tabs>
          <w:tab w:val="num" w:pos="5760"/>
        </w:tabs>
        <w:ind w:left="5760" w:hanging="360"/>
      </w:pPr>
      <w:rPr>
        <w:rFonts w:ascii="Wingdings" w:hAnsi="Wingdings" w:hint="default"/>
      </w:rPr>
    </w:lvl>
    <w:lvl w:ilvl="8" w:tplc="FB2C65F6" w:tentative="1">
      <w:start w:val="1"/>
      <w:numFmt w:val="bullet"/>
      <w:lvlText w:val=""/>
      <w:lvlJc w:val="left"/>
      <w:pPr>
        <w:tabs>
          <w:tab w:val="num" w:pos="6480"/>
        </w:tabs>
        <w:ind w:left="6480" w:hanging="360"/>
      </w:pPr>
      <w:rPr>
        <w:rFonts w:ascii="Wingdings" w:hAnsi="Wingdings" w:hint="default"/>
      </w:rPr>
    </w:lvl>
  </w:abstractNum>
  <w:abstractNum w:abstractNumId="9">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3BAC0160"/>
    <w:multiLevelType w:val="hybridMultilevel"/>
    <w:tmpl w:val="0F64E450"/>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1">
    <w:nsid w:val="3EE06A60"/>
    <w:multiLevelType w:val="hybridMultilevel"/>
    <w:tmpl w:val="49C0B24A"/>
    <w:lvl w:ilvl="0" w:tplc="F75C1C94">
      <w:start w:val="1"/>
      <w:numFmt w:val="bullet"/>
      <w:lvlText w:val="−"/>
      <w:lvlJc w:val="left"/>
      <w:pPr>
        <w:tabs>
          <w:tab w:val="num" w:pos="720"/>
        </w:tabs>
        <w:ind w:left="720" w:hanging="360"/>
      </w:pPr>
      <w:rPr>
        <w:rFonts w:ascii="Times New Roman" w:hAnsi="Times New Roman" w:cs="Times New Roman" w:hint="default"/>
      </w:rPr>
    </w:lvl>
    <w:lvl w:ilvl="1" w:tplc="F5A8EAB0">
      <w:start w:val="1"/>
      <w:numFmt w:val="bullet"/>
      <w:lvlText w:val=""/>
      <w:lvlJc w:val="left"/>
      <w:pPr>
        <w:tabs>
          <w:tab w:val="num" w:pos="1440"/>
        </w:tabs>
        <w:ind w:left="1440" w:hanging="360"/>
      </w:pPr>
      <w:rPr>
        <w:rFonts w:ascii="Wingdings" w:hAnsi="Wingdings" w:hint="default"/>
      </w:rPr>
    </w:lvl>
    <w:lvl w:ilvl="2" w:tplc="1F78AE2C" w:tentative="1">
      <w:start w:val="1"/>
      <w:numFmt w:val="bullet"/>
      <w:lvlText w:val=""/>
      <w:lvlJc w:val="left"/>
      <w:pPr>
        <w:tabs>
          <w:tab w:val="num" w:pos="2160"/>
        </w:tabs>
        <w:ind w:left="2160" w:hanging="360"/>
      </w:pPr>
      <w:rPr>
        <w:rFonts w:ascii="Wingdings" w:hAnsi="Wingdings" w:hint="default"/>
      </w:rPr>
    </w:lvl>
    <w:lvl w:ilvl="3" w:tplc="3920CB9A" w:tentative="1">
      <w:start w:val="1"/>
      <w:numFmt w:val="bullet"/>
      <w:lvlText w:val=""/>
      <w:lvlJc w:val="left"/>
      <w:pPr>
        <w:tabs>
          <w:tab w:val="num" w:pos="2880"/>
        </w:tabs>
        <w:ind w:left="2880" w:hanging="360"/>
      </w:pPr>
      <w:rPr>
        <w:rFonts w:ascii="Wingdings" w:hAnsi="Wingdings" w:hint="default"/>
      </w:rPr>
    </w:lvl>
    <w:lvl w:ilvl="4" w:tplc="54B0578C" w:tentative="1">
      <w:start w:val="1"/>
      <w:numFmt w:val="bullet"/>
      <w:lvlText w:val=""/>
      <w:lvlJc w:val="left"/>
      <w:pPr>
        <w:tabs>
          <w:tab w:val="num" w:pos="3600"/>
        </w:tabs>
        <w:ind w:left="3600" w:hanging="360"/>
      </w:pPr>
      <w:rPr>
        <w:rFonts w:ascii="Wingdings" w:hAnsi="Wingdings" w:hint="default"/>
      </w:rPr>
    </w:lvl>
    <w:lvl w:ilvl="5" w:tplc="F3A81A0A" w:tentative="1">
      <w:start w:val="1"/>
      <w:numFmt w:val="bullet"/>
      <w:lvlText w:val=""/>
      <w:lvlJc w:val="left"/>
      <w:pPr>
        <w:tabs>
          <w:tab w:val="num" w:pos="4320"/>
        </w:tabs>
        <w:ind w:left="4320" w:hanging="360"/>
      </w:pPr>
      <w:rPr>
        <w:rFonts w:ascii="Wingdings" w:hAnsi="Wingdings" w:hint="default"/>
      </w:rPr>
    </w:lvl>
    <w:lvl w:ilvl="6" w:tplc="495A80AC" w:tentative="1">
      <w:start w:val="1"/>
      <w:numFmt w:val="bullet"/>
      <w:lvlText w:val=""/>
      <w:lvlJc w:val="left"/>
      <w:pPr>
        <w:tabs>
          <w:tab w:val="num" w:pos="5040"/>
        </w:tabs>
        <w:ind w:left="5040" w:hanging="360"/>
      </w:pPr>
      <w:rPr>
        <w:rFonts w:ascii="Wingdings" w:hAnsi="Wingdings" w:hint="default"/>
      </w:rPr>
    </w:lvl>
    <w:lvl w:ilvl="7" w:tplc="B750278E" w:tentative="1">
      <w:start w:val="1"/>
      <w:numFmt w:val="bullet"/>
      <w:lvlText w:val=""/>
      <w:lvlJc w:val="left"/>
      <w:pPr>
        <w:tabs>
          <w:tab w:val="num" w:pos="5760"/>
        </w:tabs>
        <w:ind w:left="5760" w:hanging="360"/>
      </w:pPr>
      <w:rPr>
        <w:rFonts w:ascii="Wingdings" w:hAnsi="Wingdings" w:hint="default"/>
      </w:rPr>
    </w:lvl>
    <w:lvl w:ilvl="8" w:tplc="FB2C65F6" w:tentative="1">
      <w:start w:val="1"/>
      <w:numFmt w:val="bullet"/>
      <w:lvlText w:val=""/>
      <w:lvlJc w:val="left"/>
      <w:pPr>
        <w:tabs>
          <w:tab w:val="num" w:pos="6480"/>
        </w:tabs>
        <w:ind w:left="6480" w:hanging="360"/>
      </w:pPr>
      <w:rPr>
        <w:rFonts w:ascii="Wingdings" w:hAnsi="Wingdings" w:hint="default"/>
      </w:rPr>
    </w:lvl>
  </w:abstractNum>
  <w:abstractNum w:abstractNumId="12">
    <w:nsid w:val="48C02D2F"/>
    <w:multiLevelType w:val="hybridMultilevel"/>
    <w:tmpl w:val="523C31EC"/>
    <w:lvl w:ilvl="0" w:tplc="AD006526">
      <w:start w:val="1"/>
      <w:numFmt w:val="bullet"/>
      <w:lvlText w:val=""/>
      <w:lvlJc w:val="left"/>
      <w:pPr>
        <w:tabs>
          <w:tab w:val="num" w:pos="720"/>
        </w:tabs>
        <w:ind w:left="720" w:hanging="360"/>
      </w:pPr>
      <w:rPr>
        <w:rFonts w:ascii="Wingdings" w:hAnsi="Wingdings" w:hint="default"/>
      </w:rPr>
    </w:lvl>
    <w:lvl w:ilvl="1" w:tplc="CE82076A">
      <w:start w:val="1"/>
      <w:numFmt w:val="bullet"/>
      <w:lvlText w:val=""/>
      <w:lvlJc w:val="left"/>
      <w:pPr>
        <w:tabs>
          <w:tab w:val="num" w:pos="1440"/>
        </w:tabs>
        <w:ind w:left="1440" w:hanging="360"/>
      </w:pPr>
      <w:rPr>
        <w:rFonts w:ascii="Wingdings" w:hAnsi="Wingdings" w:hint="default"/>
      </w:rPr>
    </w:lvl>
    <w:lvl w:ilvl="2" w:tplc="B13CB984" w:tentative="1">
      <w:start w:val="1"/>
      <w:numFmt w:val="bullet"/>
      <w:lvlText w:val=""/>
      <w:lvlJc w:val="left"/>
      <w:pPr>
        <w:tabs>
          <w:tab w:val="num" w:pos="2160"/>
        </w:tabs>
        <w:ind w:left="2160" w:hanging="360"/>
      </w:pPr>
      <w:rPr>
        <w:rFonts w:ascii="Wingdings" w:hAnsi="Wingdings" w:hint="default"/>
      </w:rPr>
    </w:lvl>
    <w:lvl w:ilvl="3" w:tplc="A28C4006" w:tentative="1">
      <w:start w:val="1"/>
      <w:numFmt w:val="bullet"/>
      <w:lvlText w:val=""/>
      <w:lvlJc w:val="left"/>
      <w:pPr>
        <w:tabs>
          <w:tab w:val="num" w:pos="2880"/>
        </w:tabs>
        <w:ind w:left="2880" w:hanging="360"/>
      </w:pPr>
      <w:rPr>
        <w:rFonts w:ascii="Wingdings" w:hAnsi="Wingdings" w:hint="default"/>
      </w:rPr>
    </w:lvl>
    <w:lvl w:ilvl="4" w:tplc="950C703A" w:tentative="1">
      <w:start w:val="1"/>
      <w:numFmt w:val="bullet"/>
      <w:lvlText w:val=""/>
      <w:lvlJc w:val="left"/>
      <w:pPr>
        <w:tabs>
          <w:tab w:val="num" w:pos="3600"/>
        </w:tabs>
        <w:ind w:left="3600" w:hanging="360"/>
      </w:pPr>
      <w:rPr>
        <w:rFonts w:ascii="Wingdings" w:hAnsi="Wingdings" w:hint="default"/>
      </w:rPr>
    </w:lvl>
    <w:lvl w:ilvl="5" w:tplc="C1AA3868" w:tentative="1">
      <w:start w:val="1"/>
      <w:numFmt w:val="bullet"/>
      <w:lvlText w:val=""/>
      <w:lvlJc w:val="left"/>
      <w:pPr>
        <w:tabs>
          <w:tab w:val="num" w:pos="4320"/>
        </w:tabs>
        <w:ind w:left="4320" w:hanging="360"/>
      </w:pPr>
      <w:rPr>
        <w:rFonts w:ascii="Wingdings" w:hAnsi="Wingdings" w:hint="default"/>
      </w:rPr>
    </w:lvl>
    <w:lvl w:ilvl="6" w:tplc="70FAA5F4" w:tentative="1">
      <w:start w:val="1"/>
      <w:numFmt w:val="bullet"/>
      <w:lvlText w:val=""/>
      <w:lvlJc w:val="left"/>
      <w:pPr>
        <w:tabs>
          <w:tab w:val="num" w:pos="5040"/>
        </w:tabs>
        <w:ind w:left="5040" w:hanging="360"/>
      </w:pPr>
      <w:rPr>
        <w:rFonts w:ascii="Wingdings" w:hAnsi="Wingdings" w:hint="default"/>
      </w:rPr>
    </w:lvl>
    <w:lvl w:ilvl="7" w:tplc="0BFC447C" w:tentative="1">
      <w:start w:val="1"/>
      <w:numFmt w:val="bullet"/>
      <w:lvlText w:val=""/>
      <w:lvlJc w:val="left"/>
      <w:pPr>
        <w:tabs>
          <w:tab w:val="num" w:pos="5760"/>
        </w:tabs>
        <w:ind w:left="5760" w:hanging="360"/>
      </w:pPr>
      <w:rPr>
        <w:rFonts w:ascii="Wingdings" w:hAnsi="Wingdings" w:hint="default"/>
      </w:rPr>
    </w:lvl>
    <w:lvl w:ilvl="8" w:tplc="A574E0A8" w:tentative="1">
      <w:start w:val="1"/>
      <w:numFmt w:val="bullet"/>
      <w:lvlText w:val=""/>
      <w:lvlJc w:val="left"/>
      <w:pPr>
        <w:tabs>
          <w:tab w:val="num" w:pos="6480"/>
        </w:tabs>
        <w:ind w:left="6480" w:hanging="360"/>
      </w:pPr>
      <w:rPr>
        <w:rFonts w:ascii="Wingdings" w:hAnsi="Wingdings" w:hint="default"/>
      </w:rPr>
    </w:lvl>
  </w:abstractNum>
  <w:abstractNum w:abstractNumId="13">
    <w:nsid w:val="49772DDF"/>
    <w:multiLevelType w:val="hybridMultilevel"/>
    <w:tmpl w:val="C37CE862"/>
    <w:lvl w:ilvl="0" w:tplc="F75C1C94">
      <w:start w:val="1"/>
      <w:numFmt w:val="bullet"/>
      <w:lvlText w:val="−"/>
      <w:lvlJc w:val="left"/>
      <w:pPr>
        <w:tabs>
          <w:tab w:val="num" w:pos="720"/>
        </w:tabs>
        <w:ind w:left="720" w:hanging="360"/>
      </w:pPr>
      <w:rPr>
        <w:rFonts w:ascii="Times New Roman" w:hAnsi="Times New Roman" w:cs="Times New Roman" w:hint="default"/>
      </w:rPr>
    </w:lvl>
    <w:lvl w:ilvl="1" w:tplc="9594D1AE" w:tentative="1">
      <w:start w:val="1"/>
      <w:numFmt w:val="bullet"/>
      <w:lvlText w:val="&gt;"/>
      <w:lvlJc w:val="left"/>
      <w:pPr>
        <w:tabs>
          <w:tab w:val="num" w:pos="1440"/>
        </w:tabs>
        <w:ind w:left="1440" w:hanging="360"/>
      </w:pPr>
      <w:rPr>
        <w:rFonts w:ascii="Britannic Bold" w:hAnsi="Britannic Bold" w:hint="default"/>
      </w:rPr>
    </w:lvl>
    <w:lvl w:ilvl="2" w:tplc="8DA45242" w:tentative="1">
      <w:start w:val="1"/>
      <w:numFmt w:val="bullet"/>
      <w:lvlText w:val="&gt;"/>
      <w:lvlJc w:val="left"/>
      <w:pPr>
        <w:tabs>
          <w:tab w:val="num" w:pos="2160"/>
        </w:tabs>
        <w:ind w:left="2160" w:hanging="360"/>
      </w:pPr>
      <w:rPr>
        <w:rFonts w:ascii="Britannic Bold" w:hAnsi="Britannic Bold" w:hint="default"/>
      </w:rPr>
    </w:lvl>
    <w:lvl w:ilvl="3" w:tplc="3C12EFB6" w:tentative="1">
      <w:start w:val="1"/>
      <w:numFmt w:val="bullet"/>
      <w:lvlText w:val="&gt;"/>
      <w:lvlJc w:val="left"/>
      <w:pPr>
        <w:tabs>
          <w:tab w:val="num" w:pos="2880"/>
        </w:tabs>
        <w:ind w:left="2880" w:hanging="360"/>
      </w:pPr>
      <w:rPr>
        <w:rFonts w:ascii="Britannic Bold" w:hAnsi="Britannic Bold" w:hint="default"/>
      </w:rPr>
    </w:lvl>
    <w:lvl w:ilvl="4" w:tplc="CDB2C68E" w:tentative="1">
      <w:start w:val="1"/>
      <w:numFmt w:val="bullet"/>
      <w:lvlText w:val="&gt;"/>
      <w:lvlJc w:val="left"/>
      <w:pPr>
        <w:tabs>
          <w:tab w:val="num" w:pos="3600"/>
        </w:tabs>
        <w:ind w:left="3600" w:hanging="360"/>
      </w:pPr>
      <w:rPr>
        <w:rFonts w:ascii="Britannic Bold" w:hAnsi="Britannic Bold" w:hint="default"/>
      </w:rPr>
    </w:lvl>
    <w:lvl w:ilvl="5" w:tplc="BDF88662" w:tentative="1">
      <w:start w:val="1"/>
      <w:numFmt w:val="bullet"/>
      <w:lvlText w:val="&gt;"/>
      <w:lvlJc w:val="left"/>
      <w:pPr>
        <w:tabs>
          <w:tab w:val="num" w:pos="4320"/>
        </w:tabs>
        <w:ind w:left="4320" w:hanging="360"/>
      </w:pPr>
      <w:rPr>
        <w:rFonts w:ascii="Britannic Bold" w:hAnsi="Britannic Bold" w:hint="default"/>
      </w:rPr>
    </w:lvl>
    <w:lvl w:ilvl="6" w:tplc="CC64AD72" w:tentative="1">
      <w:start w:val="1"/>
      <w:numFmt w:val="bullet"/>
      <w:lvlText w:val="&gt;"/>
      <w:lvlJc w:val="left"/>
      <w:pPr>
        <w:tabs>
          <w:tab w:val="num" w:pos="5040"/>
        </w:tabs>
        <w:ind w:left="5040" w:hanging="360"/>
      </w:pPr>
      <w:rPr>
        <w:rFonts w:ascii="Britannic Bold" w:hAnsi="Britannic Bold" w:hint="default"/>
      </w:rPr>
    </w:lvl>
    <w:lvl w:ilvl="7" w:tplc="99C24A8A" w:tentative="1">
      <w:start w:val="1"/>
      <w:numFmt w:val="bullet"/>
      <w:lvlText w:val="&gt;"/>
      <w:lvlJc w:val="left"/>
      <w:pPr>
        <w:tabs>
          <w:tab w:val="num" w:pos="5760"/>
        </w:tabs>
        <w:ind w:left="5760" w:hanging="360"/>
      </w:pPr>
      <w:rPr>
        <w:rFonts w:ascii="Britannic Bold" w:hAnsi="Britannic Bold" w:hint="default"/>
      </w:rPr>
    </w:lvl>
    <w:lvl w:ilvl="8" w:tplc="01B01EAC" w:tentative="1">
      <w:start w:val="1"/>
      <w:numFmt w:val="bullet"/>
      <w:lvlText w:val="&gt;"/>
      <w:lvlJc w:val="left"/>
      <w:pPr>
        <w:tabs>
          <w:tab w:val="num" w:pos="6480"/>
        </w:tabs>
        <w:ind w:left="6480" w:hanging="360"/>
      </w:pPr>
      <w:rPr>
        <w:rFonts w:ascii="Britannic Bold" w:hAnsi="Britannic Bold" w:hint="default"/>
      </w:rPr>
    </w:lvl>
  </w:abstractNum>
  <w:abstractNum w:abstractNumId="14">
    <w:nsid w:val="64060FA1"/>
    <w:multiLevelType w:val="hybridMultilevel"/>
    <w:tmpl w:val="6E38BE42"/>
    <w:lvl w:ilvl="0" w:tplc="89724A82">
      <w:start w:val="1"/>
      <w:numFmt w:val="bullet"/>
      <w:lvlText w:val=""/>
      <w:lvlJc w:val="left"/>
      <w:pPr>
        <w:tabs>
          <w:tab w:val="num" w:pos="720"/>
        </w:tabs>
        <w:ind w:left="720" w:hanging="360"/>
      </w:pPr>
      <w:rPr>
        <w:rFonts w:ascii="Wingdings" w:hAnsi="Wingdings" w:hint="default"/>
      </w:rPr>
    </w:lvl>
    <w:lvl w:ilvl="1" w:tplc="EE302AB0" w:tentative="1">
      <w:start w:val="1"/>
      <w:numFmt w:val="bullet"/>
      <w:lvlText w:val=""/>
      <w:lvlJc w:val="left"/>
      <w:pPr>
        <w:tabs>
          <w:tab w:val="num" w:pos="1440"/>
        </w:tabs>
        <w:ind w:left="1440" w:hanging="360"/>
      </w:pPr>
      <w:rPr>
        <w:rFonts w:ascii="Wingdings" w:hAnsi="Wingdings" w:hint="default"/>
      </w:rPr>
    </w:lvl>
    <w:lvl w:ilvl="2" w:tplc="0BF6382A" w:tentative="1">
      <w:start w:val="1"/>
      <w:numFmt w:val="bullet"/>
      <w:lvlText w:val=""/>
      <w:lvlJc w:val="left"/>
      <w:pPr>
        <w:tabs>
          <w:tab w:val="num" w:pos="2160"/>
        </w:tabs>
        <w:ind w:left="2160" w:hanging="360"/>
      </w:pPr>
      <w:rPr>
        <w:rFonts w:ascii="Wingdings" w:hAnsi="Wingdings" w:hint="default"/>
      </w:rPr>
    </w:lvl>
    <w:lvl w:ilvl="3" w:tplc="038E9D38" w:tentative="1">
      <w:start w:val="1"/>
      <w:numFmt w:val="bullet"/>
      <w:lvlText w:val=""/>
      <w:lvlJc w:val="left"/>
      <w:pPr>
        <w:tabs>
          <w:tab w:val="num" w:pos="2880"/>
        </w:tabs>
        <w:ind w:left="2880" w:hanging="360"/>
      </w:pPr>
      <w:rPr>
        <w:rFonts w:ascii="Wingdings" w:hAnsi="Wingdings" w:hint="default"/>
      </w:rPr>
    </w:lvl>
    <w:lvl w:ilvl="4" w:tplc="E25C8F54" w:tentative="1">
      <w:start w:val="1"/>
      <w:numFmt w:val="bullet"/>
      <w:lvlText w:val=""/>
      <w:lvlJc w:val="left"/>
      <w:pPr>
        <w:tabs>
          <w:tab w:val="num" w:pos="3600"/>
        </w:tabs>
        <w:ind w:left="3600" w:hanging="360"/>
      </w:pPr>
      <w:rPr>
        <w:rFonts w:ascii="Wingdings" w:hAnsi="Wingdings" w:hint="default"/>
      </w:rPr>
    </w:lvl>
    <w:lvl w:ilvl="5" w:tplc="01C6593A" w:tentative="1">
      <w:start w:val="1"/>
      <w:numFmt w:val="bullet"/>
      <w:lvlText w:val=""/>
      <w:lvlJc w:val="left"/>
      <w:pPr>
        <w:tabs>
          <w:tab w:val="num" w:pos="4320"/>
        </w:tabs>
        <w:ind w:left="4320" w:hanging="360"/>
      </w:pPr>
      <w:rPr>
        <w:rFonts w:ascii="Wingdings" w:hAnsi="Wingdings" w:hint="default"/>
      </w:rPr>
    </w:lvl>
    <w:lvl w:ilvl="6" w:tplc="9F88934E" w:tentative="1">
      <w:start w:val="1"/>
      <w:numFmt w:val="bullet"/>
      <w:lvlText w:val=""/>
      <w:lvlJc w:val="left"/>
      <w:pPr>
        <w:tabs>
          <w:tab w:val="num" w:pos="5040"/>
        </w:tabs>
        <w:ind w:left="5040" w:hanging="360"/>
      </w:pPr>
      <w:rPr>
        <w:rFonts w:ascii="Wingdings" w:hAnsi="Wingdings" w:hint="default"/>
      </w:rPr>
    </w:lvl>
    <w:lvl w:ilvl="7" w:tplc="942496B2" w:tentative="1">
      <w:start w:val="1"/>
      <w:numFmt w:val="bullet"/>
      <w:lvlText w:val=""/>
      <w:lvlJc w:val="left"/>
      <w:pPr>
        <w:tabs>
          <w:tab w:val="num" w:pos="5760"/>
        </w:tabs>
        <w:ind w:left="5760" w:hanging="360"/>
      </w:pPr>
      <w:rPr>
        <w:rFonts w:ascii="Wingdings" w:hAnsi="Wingdings" w:hint="default"/>
      </w:rPr>
    </w:lvl>
    <w:lvl w:ilvl="8" w:tplc="BF3A88B4" w:tentative="1">
      <w:start w:val="1"/>
      <w:numFmt w:val="bullet"/>
      <w:lvlText w:val=""/>
      <w:lvlJc w:val="left"/>
      <w:pPr>
        <w:tabs>
          <w:tab w:val="num" w:pos="6480"/>
        </w:tabs>
        <w:ind w:left="6480" w:hanging="360"/>
      </w:pPr>
      <w:rPr>
        <w:rFonts w:ascii="Wingdings" w:hAnsi="Wingdings" w:hint="default"/>
      </w:rPr>
    </w:lvl>
  </w:abstractNum>
  <w:abstractNum w:abstractNumId="15">
    <w:nsid w:val="65507F36"/>
    <w:multiLevelType w:val="hybridMultilevel"/>
    <w:tmpl w:val="33FEFBBE"/>
    <w:lvl w:ilvl="0" w:tplc="681A06E8">
      <w:start w:val="1"/>
      <w:numFmt w:val="bullet"/>
      <w:lvlText w:val=""/>
      <w:lvlJc w:val="left"/>
      <w:pPr>
        <w:tabs>
          <w:tab w:val="num" w:pos="720"/>
        </w:tabs>
        <w:ind w:left="720" w:hanging="360"/>
      </w:pPr>
      <w:rPr>
        <w:rFonts w:ascii="Wingdings" w:hAnsi="Wingdings" w:hint="default"/>
      </w:rPr>
    </w:lvl>
    <w:lvl w:ilvl="1" w:tplc="F75C1C94">
      <w:start w:val="1"/>
      <w:numFmt w:val="bullet"/>
      <w:lvlText w:val="−"/>
      <w:lvlJc w:val="left"/>
      <w:pPr>
        <w:tabs>
          <w:tab w:val="num" w:pos="1440"/>
        </w:tabs>
        <w:ind w:left="1440" w:hanging="360"/>
      </w:pPr>
      <w:rPr>
        <w:rFonts w:ascii="Times New Roman" w:hAnsi="Times New Roman" w:cs="Times New Roman" w:hint="default"/>
      </w:rPr>
    </w:lvl>
    <w:lvl w:ilvl="2" w:tplc="4C3C2B96" w:tentative="1">
      <w:start w:val="1"/>
      <w:numFmt w:val="bullet"/>
      <w:lvlText w:val=""/>
      <w:lvlJc w:val="left"/>
      <w:pPr>
        <w:tabs>
          <w:tab w:val="num" w:pos="2160"/>
        </w:tabs>
        <w:ind w:left="2160" w:hanging="360"/>
      </w:pPr>
      <w:rPr>
        <w:rFonts w:ascii="Wingdings" w:hAnsi="Wingdings" w:hint="default"/>
      </w:rPr>
    </w:lvl>
    <w:lvl w:ilvl="3" w:tplc="9E06FA86" w:tentative="1">
      <w:start w:val="1"/>
      <w:numFmt w:val="bullet"/>
      <w:lvlText w:val=""/>
      <w:lvlJc w:val="left"/>
      <w:pPr>
        <w:tabs>
          <w:tab w:val="num" w:pos="2880"/>
        </w:tabs>
        <w:ind w:left="2880" w:hanging="360"/>
      </w:pPr>
      <w:rPr>
        <w:rFonts w:ascii="Wingdings" w:hAnsi="Wingdings" w:hint="default"/>
      </w:rPr>
    </w:lvl>
    <w:lvl w:ilvl="4" w:tplc="7DE43422" w:tentative="1">
      <w:start w:val="1"/>
      <w:numFmt w:val="bullet"/>
      <w:lvlText w:val=""/>
      <w:lvlJc w:val="left"/>
      <w:pPr>
        <w:tabs>
          <w:tab w:val="num" w:pos="3600"/>
        </w:tabs>
        <w:ind w:left="3600" w:hanging="360"/>
      </w:pPr>
      <w:rPr>
        <w:rFonts w:ascii="Wingdings" w:hAnsi="Wingdings" w:hint="default"/>
      </w:rPr>
    </w:lvl>
    <w:lvl w:ilvl="5" w:tplc="570AA5D8" w:tentative="1">
      <w:start w:val="1"/>
      <w:numFmt w:val="bullet"/>
      <w:lvlText w:val=""/>
      <w:lvlJc w:val="left"/>
      <w:pPr>
        <w:tabs>
          <w:tab w:val="num" w:pos="4320"/>
        </w:tabs>
        <w:ind w:left="4320" w:hanging="360"/>
      </w:pPr>
      <w:rPr>
        <w:rFonts w:ascii="Wingdings" w:hAnsi="Wingdings" w:hint="default"/>
      </w:rPr>
    </w:lvl>
    <w:lvl w:ilvl="6" w:tplc="D14CE02E" w:tentative="1">
      <w:start w:val="1"/>
      <w:numFmt w:val="bullet"/>
      <w:lvlText w:val=""/>
      <w:lvlJc w:val="left"/>
      <w:pPr>
        <w:tabs>
          <w:tab w:val="num" w:pos="5040"/>
        </w:tabs>
        <w:ind w:left="5040" w:hanging="360"/>
      </w:pPr>
      <w:rPr>
        <w:rFonts w:ascii="Wingdings" w:hAnsi="Wingdings" w:hint="default"/>
      </w:rPr>
    </w:lvl>
    <w:lvl w:ilvl="7" w:tplc="E668ADD0" w:tentative="1">
      <w:start w:val="1"/>
      <w:numFmt w:val="bullet"/>
      <w:lvlText w:val=""/>
      <w:lvlJc w:val="left"/>
      <w:pPr>
        <w:tabs>
          <w:tab w:val="num" w:pos="5760"/>
        </w:tabs>
        <w:ind w:left="5760" w:hanging="360"/>
      </w:pPr>
      <w:rPr>
        <w:rFonts w:ascii="Wingdings" w:hAnsi="Wingdings" w:hint="default"/>
      </w:rPr>
    </w:lvl>
    <w:lvl w:ilvl="8" w:tplc="82FED62A" w:tentative="1">
      <w:start w:val="1"/>
      <w:numFmt w:val="bullet"/>
      <w:lvlText w:val=""/>
      <w:lvlJc w:val="left"/>
      <w:pPr>
        <w:tabs>
          <w:tab w:val="num" w:pos="6480"/>
        </w:tabs>
        <w:ind w:left="6480" w:hanging="360"/>
      </w:pPr>
      <w:rPr>
        <w:rFonts w:ascii="Wingdings" w:hAnsi="Wingdings" w:hint="default"/>
      </w:rPr>
    </w:lvl>
  </w:abstractNum>
  <w:abstractNum w:abstractNumId="16">
    <w:nsid w:val="74912751"/>
    <w:multiLevelType w:val="hybridMultilevel"/>
    <w:tmpl w:val="F7C6F894"/>
    <w:lvl w:ilvl="0" w:tplc="108068E6">
      <w:start w:val="1"/>
      <w:numFmt w:val="bullet"/>
      <w:lvlText w:val=""/>
      <w:lvlJc w:val="left"/>
      <w:pPr>
        <w:tabs>
          <w:tab w:val="num" w:pos="720"/>
        </w:tabs>
        <w:ind w:left="720" w:hanging="360"/>
      </w:pPr>
      <w:rPr>
        <w:rFonts w:ascii="Wingdings" w:hAnsi="Wingdings" w:hint="default"/>
      </w:rPr>
    </w:lvl>
    <w:lvl w:ilvl="1" w:tplc="B8D682B8" w:tentative="1">
      <w:start w:val="1"/>
      <w:numFmt w:val="bullet"/>
      <w:lvlText w:val=""/>
      <w:lvlJc w:val="left"/>
      <w:pPr>
        <w:tabs>
          <w:tab w:val="num" w:pos="1440"/>
        </w:tabs>
        <w:ind w:left="1440" w:hanging="360"/>
      </w:pPr>
      <w:rPr>
        <w:rFonts w:ascii="Wingdings" w:hAnsi="Wingdings" w:hint="default"/>
      </w:rPr>
    </w:lvl>
    <w:lvl w:ilvl="2" w:tplc="5D74B7EE" w:tentative="1">
      <w:start w:val="1"/>
      <w:numFmt w:val="bullet"/>
      <w:lvlText w:val=""/>
      <w:lvlJc w:val="left"/>
      <w:pPr>
        <w:tabs>
          <w:tab w:val="num" w:pos="2160"/>
        </w:tabs>
        <w:ind w:left="2160" w:hanging="360"/>
      </w:pPr>
      <w:rPr>
        <w:rFonts w:ascii="Wingdings" w:hAnsi="Wingdings" w:hint="default"/>
      </w:rPr>
    </w:lvl>
    <w:lvl w:ilvl="3" w:tplc="C5944804" w:tentative="1">
      <w:start w:val="1"/>
      <w:numFmt w:val="bullet"/>
      <w:lvlText w:val=""/>
      <w:lvlJc w:val="left"/>
      <w:pPr>
        <w:tabs>
          <w:tab w:val="num" w:pos="2880"/>
        </w:tabs>
        <w:ind w:left="2880" w:hanging="360"/>
      </w:pPr>
      <w:rPr>
        <w:rFonts w:ascii="Wingdings" w:hAnsi="Wingdings" w:hint="default"/>
      </w:rPr>
    </w:lvl>
    <w:lvl w:ilvl="4" w:tplc="4CC6D85E" w:tentative="1">
      <w:start w:val="1"/>
      <w:numFmt w:val="bullet"/>
      <w:lvlText w:val=""/>
      <w:lvlJc w:val="left"/>
      <w:pPr>
        <w:tabs>
          <w:tab w:val="num" w:pos="3600"/>
        </w:tabs>
        <w:ind w:left="3600" w:hanging="360"/>
      </w:pPr>
      <w:rPr>
        <w:rFonts w:ascii="Wingdings" w:hAnsi="Wingdings" w:hint="default"/>
      </w:rPr>
    </w:lvl>
    <w:lvl w:ilvl="5" w:tplc="27E273F4" w:tentative="1">
      <w:start w:val="1"/>
      <w:numFmt w:val="bullet"/>
      <w:lvlText w:val=""/>
      <w:lvlJc w:val="left"/>
      <w:pPr>
        <w:tabs>
          <w:tab w:val="num" w:pos="4320"/>
        </w:tabs>
        <w:ind w:left="4320" w:hanging="360"/>
      </w:pPr>
      <w:rPr>
        <w:rFonts w:ascii="Wingdings" w:hAnsi="Wingdings" w:hint="default"/>
      </w:rPr>
    </w:lvl>
    <w:lvl w:ilvl="6" w:tplc="FBB4E258" w:tentative="1">
      <w:start w:val="1"/>
      <w:numFmt w:val="bullet"/>
      <w:lvlText w:val=""/>
      <w:lvlJc w:val="left"/>
      <w:pPr>
        <w:tabs>
          <w:tab w:val="num" w:pos="5040"/>
        </w:tabs>
        <w:ind w:left="5040" w:hanging="360"/>
      </w:pPr>
      <w:rPr>
        <w:rFonts w:ascii="Wingdings" w:hAnsi="Wingdings" w:hint="default"/>
      </w:rPr>
    </w:lvl>
    <w:lvl w:ilvl="7" w:tplc="EA848DA2" w:tentative="1">
      <w:start w:val="1"/>
      <w:numFmt w:val="bullet"/>
      <w:lvlText w:val=""/>
      <w:lvlJc w:val="left"/>
      <w:pPr>
        <w:tabs>
          <w:tab w:val="num" w:pos="5760"/>
        </w:tabs>
        <w:ind w:left="5760" w:hanging="360"/>
      </w:pPr>
      <w:rPr>
        <w:rFonts w:ascii="Wingdings" w:hAnsi="Wingdings" w:hint="default"/>
      </w:rPr>
    </w:lvl>
    <w:lvl w:ilvl="8" w:tplc="286ADE10" w:tentative="1">
      <w:start w:val="1"/>
      <w:numFmt w:val="bullet"/>
      <w:lvlText w:val=""/>
      <w:lvlJc w:val="left"/>
      <w:pPr>
        <w:tabs>
          <w:tab w:val="num" w:pos="6480"/>
        </w:tabs>
        <w:ind w:left="6480" w:hanging="360"/>
      </w:pPr>
      <w:rPr>
        <w:rFonts w:ascii="Wingdings" w:hAnsi="Wingdings" w:hint="default"/>
      </w:rPr>
    </w:lvl>
  </w:abstractNum>
  <w:abstractNum w:abstractNumId="17">
    <w:nsid w:val="78022464"/>
    <w:multiLevelType w:val="hybridMultilevel"/>
    <w:tmpl w:val="9C001F94"/>
    <w:lvl w:ilvl="0" w:tplc="F75C1C94">
      <w:start w:val="1"/>
      <w:numFmt w:val="bullet"/>
      <w:lvlText w:val="−"/>
      <w:lvlJc w:val="left"/>
      <w:pPr>
        <w:tabs>
          <w:tab w:val="num" w:pos="720"/>
        </w:tabs>
        <w:ind w:left="720" w:hanging="360"/>
      </w:pPr>
      <w:rPr>
        <w:rFonts w:ascii="Times New Roman" w:hAnsi="Times New Roman" w:cs="Times New Roman" w:hint="default"/>
      </w:rPr>
    </w:lvl>
    <w:lvl w:ilvl="1" w:tplc="EE302AB0" w:tentative="1">
      <w:start w:val="1"/>
      <w:numFmt w:val="bullet"/>
      <w:lvlText w:val=""/>
      <w:lvlJc w:val="left"/>
      <w:pPr>
        <w:tabs>
          <w:tab w:val="num" w:pos="1440"/>
        </w:tabs>
        <w:ind w:left="1440" w:hanging="360"/>
      </w:pPr>
      <w:rPr>
        <w:rFonts w:ascii="Wingdings" w:hAnsi="Wingdings" w:hint="default"/>
      </w:rPr>
    </w:lvl>
    <w:lvl w:ilvl="2" w:tplc="0BF6382A" w:tentative="1">
      <w:start w:val="1"/>
      <w:numFmt w:val="bullet"/>
      <w:lvlText w:val=""/>
      <w:lvlJc w:val="left"/>
      <w:pPr>
        <w:tabs>
          <w:tab w:val="num" w:pos="2160"/>
        </w:tabs>
        <w:ind w:left="2160" w:hanging="360"/>
      </w:pPr>
      <w:rPr>
        <w:rFonts w:ascii="Wingdings" w:hAnsi="Wingdings" w:hint="default"/>
      </w:rPr>
    </w:lvl>
    <w:lvl w:ilvl="3" w:tplc="038E9D38" w:tentative="1">
      <w:start w:val="1"/>
      <w:numFmt w:val="bullet"/>
      <w:lvlText w:val=""/>
      <w:lvlJc w:val="left"/>
      <w:pPr>
        <w:tabs>
          <w:tab w:val="num" w:pos="2880"/>
        </w:tabs>
        <w:ind w:left="2880" w:hanging="360"/>
      </w:pPr>
      <w:rPr>
        <w:rFonts w:ascii="Wingdings" w:hAnsi="Wingdings" w:hint="default"/>
      </w:rPr>
    </w:lvl>
    <w:lvl w:ilvl="4" w:tplc="E25C8F54" w:tentative="1">
      <w:start w:val="1"/>
      <w:numFmt w:val="bullet"/>
      <w:lvlText w:val=""/>
      <w:lvlJc w:val="left"/>
      <w:pPr>
        <w:tabs>
          <w:tab w:val="num" w:pos="3600"/>
        </w:tabs>
        <w:ind w:left="3600" w:hanging="360"/>
      </w:pPr>
      <w:rPr>
        <w:rFonts w:ascii="Wingdings" w:hAnsi="Wingdings" w:hint="default"/>
      </w:rPr>
    </w:lvl>
    <w:lvl w:ilvl="5" w:tplc="01C6593A" w:tentative="1">
      <w:start w:val="1"/>
      <w:numFmt w:val="bullet"/>
      <w:lvlText w:val=""/>
      <w:lvlJc w:val="left"/>
      <w:pPr>
        <w:tabs>
          <w:tab w:val="num" w:pos="4320"/>
        </w:tabs>
        <w:ind w:left="4320" w:hanging="360"/>
      </w:pPr>
      <w:rPr>
        <w:rFonts w:ascii="Wingdings" w:hAnsi="Wingdings" w:hint="default"/>
      </w:rPr>
    </w:lvl>
    <w:lvl w:ilvl="6" w:tplc="9F88934E" w:tentative="1">
      <w:start w:val="1"/>
      <w:numFmt w:val="bullet"/>
      <w:lvlText w:val=""/>
      <w:lvlJc w:val="left"/>
      <w:pPr>
        <w:tabs>
          <w:tab w:val="num" w:pos="5040"/>
        </w:tabs>
        <w:ind w:left="5040" w:hanging="360"/>
      </w:pPr>
      <w:rPr>
        <w:rFonts w:ascii="Wingdings" w:hAnsi="Wingdings" w:hint="default"/>
      </w:rPr>
    </w:lvl>
    <w:lvl w:ilvl="7" w:tplc="942496B2" w:tentative="1">
      <w:start w:val="1"/>
      <w:numFmt w:val="bullet"/>
      <w:lvlText w:val=""/>
      <w:lvlJc w:val="left"/>
      <w:pPr>
        <w:tabs>
          <w:tab w:val="num" w:pos="5760"/>
        </w:tabs>
        <w:ind w:left="5760" w:hanging="360"/>
      </w:pPr>
      <w:rPr>
        <w:rFonts w:ascii="Wingdings" w:hAnsi="Wingdings" w:hint="default"/>
      </w:rPr>
    </w:lvl>
    <w:lvl w:ilvl="8" w:tplc="BF3A88B4"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10"/>
  </w:num>
  <w:num w:numId="6">
    <w:abstractNumId w:val="13"/>
  </w:num>
  <w:num w:numId="7">
    <w:abstractNumId w:val="4"/>
  </w:num>
  <w:num w:numId="8">
    <w:abstractNumId w:val="8"/>
  </w:num>
  <w:num w:numId="9">
    <w:abstractNumId w:val="12"/>
  </w:num>
  <w:num w:numId="10">
    <w:abstractNumId w:val="14"/>
  </w:num>
  <w:num w:numId="11">
    <w:abstractNumId w:val="6"/>
  </w:num>
  <w:num w:numId="12">
    <w:abstractNumId w:val="5"/>
  </w:num>
  <w:num w:numId="13">
    <w:abstractNumId w:val="16"/>
  </w:num>
  <w:num w:numId="14">
    <w:abstractNumId w:val="2"/>
  </w:num>
  <w:num w:numId="15">
    <w:abstractNumId w:val="11"/>
  </w:num>
  <w:num w:numId="16">
    <w:abstractNumId w:val="17"/>
  </w:num>
  <w:num w:numId="17">
    <w:abstractNumId w:val="7"/>
  </w:num>
  <w:num w:numId="18">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07E29"/>
    <w:rsid w:val="000103F6"/>
    <w:rsid w:val="000115E3"/>
    <w:rsid w:val="00011C2E"/>
    <w:rsid w:val="00011DEB"/>
    <w:rsid w:val="000124A1"/>
    <w:rsid w:val="0001280D"/>
    <w:rsid w:val="00012E0F"/>
    <w:rsid w:val="00012FDD"/>
    <w:rsid w:val="000132BC"/>
    <w:rsid w:val="000143D5"/>
    <w:rsid w:val="00014B9D"/>
    <w:rsid w:val="00014BC9"/>
    <w:rsid w:val="000150B5"/>
    <w:rsid w:val="0001612E"/>
    <w:rsid w:val="00016343"/>
    <w:rsid w:val="0001634A"/>
    <w:rsid w:val="00016476"/>
    <w:rsid w:val="0001704C"/>
    <w:rsid w:val="000207B2"/>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1B"/>
    <w:rsid w:val="000338B6"/>
    <w:rsid w:val="0003432F"/>
    <w:rsid w:val="000346E4"/>
    <w:rsid w:val="000348A8"/>
    <w:rsid w:val="00034A91"/>
    <w:rsid w:val="00035187"/>
    <w:rsid w:val="00035237"/>
    <w:rsid w:val="000354BE"/>
    <w:rsid w:val="00035733"/>
    <w:rsid w:val="00035BB4"/>
    <w:rsid w:val="00036420"/>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363"/>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4D88"/>
    <w:rsid w:val="0005503E"/>
    <w:rsid w:val="000555CA"/>
    <w:rsid w:val="00055AF9"/>
    <w:rsid w:val="000562E5"/>
    <w:rsid w:val="00056A0C"/>
    <w:rsid w:val="00056A36"/>
    <w:rsid w:val="000572E6"/>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52E"/>
    <w:rsid w:val="0008263A"/>
    <w:rsid w:val="00082B1F"/>
    <w:rsid w:val="000830E4"/>
    <w:rsid w:val="000831DD"/>
    <w:rsid w:val="000833B2"/>
    <w:rsid w:val="00083DBC"/>
    <w:rsid w:val="00083E5D"/>
    <w:rsid w:val="00084343"/>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021"/>
    <w:rsid w:val="000A2570"/>
    <w:rsid w:val="000A315D"/>
    <w:rsid w:val="000A36D9"/>
    <w:rsid w:val="000A3EF5"/>
    <w:rsid w:val="000A3F12"/>
    <w:rsid w:val="000A3F24"/>
    <w:rsid w:val="000A430A"/>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B76"/>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1673"/>
    <w:rsid w:val="000F1AD6"/>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5FEB"/>
    <w:rsid w:val="001160AE"/>
    <w:rsid w:val="00117AF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4F3"/>
    <w:rsid w:val="00131D67"/>
    <w:rsid w:val="00132B23"/>
    <w:rsid w:val="00132DE0"/>
    <w:rsid w:val="00133AD8"/>
    <w:rsid w:val="00134107"/>
    <w:rsid w:val="001347C1"/>
    <w:rsid w:val="00134CB8"/>
    <w:rsid w:val="00134D23"/>
    <w:rsid w:val="00135693"/>
    <w:rsid w:val="00135D2B"/>
    <w:rsid w:val="001360FA"/>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89E"/>
    <w:rsid w:val="00163C5C"/>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2DF"/>
    <w:rsid w:val="00191525"/>
    <w:rsid w:val="00191CC7"/>
    <w:rsid w:val="001922AC"/>
    <w:rsid w:val="00192633"/>
    <w:rsid w:val="00192A1F"/>
    <w:rsid w:val="00192F7A"/>
    <w:rsid w:val="00193537"/>
    <w:rsid w:val="00193A6E"/>
    <w:rsid w:val="0019437F"/>
    <w:rsid w:val="0019556C"/>
    <w:rsid w:val="00195DDE"/>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687"/>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C7B43"/>
    <w:rsid w:val="001D02B5"/>
    <w:rsid w:val="001D0328"/>
    <w:rsid w:val="001D03BD"/>
    <w:rsid w:val="001D0707"/>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3A9B"/>
    <w:rsid w:val="002046A2"/>
    <w:rsid w:val="00204871"/>
    <w:rsid w:val="0020547C"/>
    <w:rsid w:val="0020574F"/>
    <w:rsid w:val="00205DD4"/>
    <w:rsid w:val="00205F95"/>
    <w:rsid w:val="00206A86"/>
    <w:rsid w:val="00206ABC"/>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D8F"/>
    <w:rsid w:val="00215F40"/>
    <w:rsid w:val="00216199"/>
    <w:rsid w:val="002164C6"/>
    <w:rsid w:val="00216743"/>
    <w:rsid w:val="002171A9"/>
    <w:rsid w:val="002171DC"/>
    <w:rsid w:val="002172FF"/>
    <w:rsid w:val="002173E8"/>
    <w:rsid w:val="0021749C"/>
    <w:rsid w:val="002178CB"/>
    <w:rsid w:val="00217A78"/>
    <w:rsid w:val="00217AF5"/>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03"/>
    <w:rsid w:val="00225A89"/>
    <w:rsid w:val="00225FED"/>
    <w:rsid w:val="00226343"/>
    <w:rsid w:val="002265ED"/>
    <w:rsid w:val="00227070"/>
    <w:rsid w:val="00227C3A"/>
    <w:rsid w:val="00230323"/>
    <w:rsid w:val="00230C16"/>
    <w:rsid w:val="0023278E"/>
    <w:rsid w:val="00232CAD"/>
    <w:rsid w:val="002332B5"/>
    <w:rsid w:val="002332BD"/>
    <w:rsid w:val="00233A29"/>
    <w:rsid w:val="00233BD8"/>
    <w:rsid w:val="00233E4D"/>
    <w:rsid w:val="002341E0"/>
    <w:rsid w:val="0023569A"/>
    <w:rsid w:val="00237381"/>
    <w:rsid w:val="0023747F"/>
    <w:rsid w:val="002376D6"/>
    <w:rsid w:val="00237744"/>
    <w:rsid w:val="00237A1D"/>
    <w:rsid w:val="00237C64"/>
    <w:rsid w:val="00237CAC"/>
    <w:rsid w:val="002403C8"/>
    <w:rsid w:val="00240468"/>
    <w:rsid w:val="00240FC0"/>
    <w:rsid w:val="00241963"/>
    <w:rsid w:val="00241BD7"/>
    <w:rsid w:val="00241E45"/>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9C7"/>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7BE"/>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559E"/>
    <w:rsid w:val="00266531"/>
    <w:rsid w:val="00266F1C"/>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2A0"/>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2C1D"/>
    <w:rsid w:val="002C35EE"/>
    <w:rsid w:val="002C37EE"/>
    <w:rsid w:val="002C3937"/>
    <w:rsid w:val="002C39C2"/>
    <w:rsid w:val="002C3A0B"/>
    <w:rsid w:val="002C404D"/>
    <w:rsid w:val="002C41E1"/>
    <w:rsid w:val="002C44D2"/>
    <w:rsid w:val="002C4E27"/>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5AE"/>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970"/>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1FA7"/>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752"/>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41F"/>
    <w:rsid w:val="00380853"/>
    <w:rsid w:val="00380B58"/>
    <w:rsid w:val="00380E41"/>
    <w:rsid w:val="00380FBB"/>
    <w:rsid w:val="003812B7"/>
    <w:rsid w:val="00381AEE"/>
    <w:rsid w:val="00382665"/>
    <w:rsid w:val="00383A5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C9"/>
    <w:rsid w:val="003A1ADE"/>
    <w:rsid w:val="003A312D"/>
    <w:rsid w:val="003A37E4"/>
    <w:rsid w:val="003A4383"/>
    <w:rsid w:val="003A4A1A"/>
    <w:rsid w:val="003A4E7F"/>
    <w:rsid w:val="003A4FD5"/>
    <w:rsid w:val="003A5157"/>
    <w:rsid w:val="003A5B85"/>
    <w:rsid w:val="003A657B"/>
    <w:rsid w:val="003A6804"/>
    <w:rsid w:val="003A7106"/>
    <w:rsid w:val="003A728B"/>
    <w:rsid w:val="003A75FB"/>
    <w:rsid w:val="003B12D1"/>
    <w:rsid w:val="003B14EB"/>
    <w:rsid w:val="003B1FFE"/>
    <w:rsid w:val="003B21C9"/>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003"/>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802"/>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723"/>
    <w:rsid w:val="00450AC9"/>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6BE9"/>
    <w:rsid w:val="0046716D"/>
    <w:rsid w:val="0046760B"/>
    <w:rsid w:val="00467629"/>
    <w:rsid w:val="00467DCB"/>
    <w:rsid w:val="004705DE"/>
    <w:rsid w:val="004708D9"/>
    <w:rsid w:val="00470CF2"/>
    <w:rsid w:val="004711C6"/>
    <w:rsid w:val="00471381"/>
    <w:rsid w:val="00471C97"/>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2E62"/>
    <w:rsid w:val="004932C6"/>
    <w:rsid w:val="004934AA"/>
    <w:rsid w:val="00493D77"/>
    <w:rsid w:val="00493D8B"/>
    <w:rsid w:val="00493FD5"/>
    <w:rsid w:val="004943BF"/>
    <w:rsid w:val="004953D4"/>
    <w:rsid w:val="00495E8E"/>
    <w:rsid w:val="00495EE9"/>
    <w:rsid w:val="0049673E"/>
    <w:rsid w:val="00497021"/>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5C66"/>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666"/>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4508"/>
    <w:rsid w:val="004C4C7C"/>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370"/>
    <w:rsid w:val="004F28E0"/>
    <w:rsid w:val="004F35E7"/>
    <w:rsid w:val="004F3C8A"/>
    <w:rsid w:val="004F4377"/>
    <w:rsid w:val="004F487D"/>
    <w:rsid w:val="004F49EE"/>
    <w:rsid w:val="004F4D62"/>
    <w:rsid w:val="004F4FE1"/>
    <w:rsid w:val="004F5021"/>
    <w:rsid w:val="004F53D2"/>
    <w:rsid w:val="004F55F9"/>
    <w:rsid w:val="004F5BCC"/>
    <w:rsid w:val="004F6C40"/>
    <w:rsid w:val="004F6C7C"/>
    <w:rsid w:val="004F7A06"/>
    <w:rsid w:val="00500A0F"/>
    <w:rsid w:val="005014B5"/>
    <w:rsid w:val="00501974"/>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34E"/>
    <w:rsid w:val="005175B8"/>
    <w:rsid w:val="00520515"/>
    <w:rsid w:val="00520A44"/>
    <w:rsid w:val="0052109F"/>
    <w:rsid w:val="0052155A"/>
    <w:rsid w:val="00521690"/>
    <w:rsid w:val="00522486"/>
    <w:rsid w:val="005229FE"/>
    <w:rsid w:val="00522AF2"/>
    <w:rsid w:val="00522F3A"/>
    <w:rsid w:val="005233A6"/>
    <w:rsid w:val="0052402D"/>
    <w:rsid w:val="005245FC"/>
    <w:rsid w:val="00524794"/>
    <w:rsid w:val="005248FB"/>
    <w:rsid w:val="00524DFF"/>
    <w:rsid w:val="00525208"/>
    <w:rsid w:val="005253B3"/>
    <w:rsid w:val="00525D9C"/>
    <w:rsid w:val="00525EC2"/>
    <w:rsid w:val="00526375"/>
    <w:rsid w:val="005264B2"/>
    <w:rsid w:val="00527384"/>
    <w:rsid w:val="00527CF2"/>
    <w:rsid w:val="00531097"/>
    <w:rsid w:val="00531458"/>
    <w:rsid w:val="005329F3"/>
    <w:rsid w:val="005331A5"/>
    <w:rsid w:val="0053511E"/>
    <w:rsid w:val="0053512B"/>
    <w:rsid w:val="00535300"/>
    <w:rsid w:val="0053585F"/>
    <w:rsid w:val="00535921"/>
    <w:rsid w:val="00535E1E"/>
    <w:rsid w:val="00536110"/>
    <w:rsid w:val="0053629E"/>
    <w:rsid w:val="005367C5"/>
    <w:rsid w:val="005369B7"/>
    <w:rsid w:val="00536A15"/>
    <w:rsid w:val="00536BC2"/>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87E"/>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49BA"/>
    <w:rsid w:val="005855C5"/>
    <w:rsid w:val="00585F87"/>
    <w:rsid w:val="00586053"/>
    <w:rsid w:val="005867D6"/>
    <w:rsid w:val="00586A7E"/>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4C78"/>
    <w:rsid w:val="005A64BE"/>
    <w:rsid w:val="005A7FC0"/>
    <w:rsid w:val="005B00BA"/>
    <w:rsid w:val="005B02B8"/>
    <w:rsid w:val="005B02DE"/>
    <w:rsid w:val="005B0ABF"/>
    <w:rsid w:val="005B0ACE"/>
    <w:rsid w:val="005B0D2C"/>
    <w:rsid w:val="005B10E8"/>
    <w:rsid w:val="005B17F4"/>
    <w:rsid w:val="005B183B"/>
    <w:rsid w:val="005B201F"/>
    <w:rsid w:val="005B2324"/>
    <w:rsid w:val="005B2A0A"/>
    <w:rsid w:val="005B2FC9"/>
    <w:rsid w:val="005B3E84"/>
    <w:rsid w:val="005B426D"/>
    <w:rsid w:val="005B4591"/>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C7DEB"/>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1FDC"/>
    <w:rsid w:val="005F25D2"/>
    <w:rsid w:val="005F279C"/>
    <w:rsid w:val="005F2C99"/>
    <w:rsid w:val="005F2D0A"/>
    <w:rsid w:val="005F2E6D"/>
    <w:rsid w:val="005F2EB8"/>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3E22"/>
    <w:rsid w:val="00613F47"/>
    <w:rsid w:val="006140E5"/>
    <w:rsid w:val="006145EC"/>
    <w:rsid w:val="0061538D"/>
    <w:rsid w:val="00616B4E"/>
    <w:rsid w:val="0062067D"/>
    <w:rsid w:val="00620C4E"/>
    <w:rsid w:val="00620F48"/>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9D1"/>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0E8"/>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22"/>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775"/>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B779D"/>
    <w:rsid w:val="006C02A9"/>
    <w:rsid w:val="006C0344"/>
    <w:rsid w:val="006C21CE"/>
    <w:rsid w:val="006C2292"/>
    <w:rsid w:val="006C2515"/>
    <w:rsid w:val="006C253F"/>
    <w:rsid w:val="006C25EA"/>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E790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859"/>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15B2"/>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211"/>
    <w:rsid w:val="00736965"/>
    <w:rsid w:val="00736AD7"/>
    <w:rsid w:val="00737604"/>
    <w:rsid w:val="00740F69"/>
    <w:rsid w:val="0074101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57C05"/>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6D4"/>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96"/>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3A0"/>
    <w:rsid w:val="007D0AE2"/>
    <w:rsid w:val="007D0E9F"/>
    <w:rsid w:val="007D10AA"/>
    <w:rsid w:val="007D13B6"/>
    <w:rsid w:val="007D17A9"/>
    <w:rsid w:val="007D21F7"/>
    <w:rsid w:val="007D322E"/>
    <w:rsid w:val="007D39BE"/>
    <w:rsid w:val="007D3A93"/>
    <w:rsid w:val="007D434C"/>
    <w:rsid w:val="007D475E"/>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DB6"/>
    <w:rsid w:val="007E7F42"/>
    <w:rsid w:val="007F022E"/>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222"/>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CA7"/>
    <w:rsid w:val="00836F37"/>
    <w:rsid w:val="00837011"/>
    <w:rsid w:val="008377EF"/>
    <w:rsid w:val="00837D0D"/>
    <w:rsid w:val="00837DE0"/>
    <w:rsid w:val="00837E48"/>
    <w:rsid w:val="00837E9D"/>
    <w:rsid w:val="0084021F"/>
    <w:rsid w:val="0084060A"/>
    <w:rsid w:val="00841A93"/>
    <w:rsid w:val="00841CAA"/>
    <w:rsid w:val="00842B2F"/>
    <w:rsid w:val="00842C4A"/>
    <w:rsid w:val="00842C8F"/>
    <w:rsid w:val="00842D0C"/>
    <w:rsid w:val="00842E69"/>
    <w:rsid w:val="00843483"/>
    <w:rsid w:val="008436D2"/>
    <w:rsid w:val="00843C9C"/>
    <w:rsid w:val="008452AB"/>
    <w:rsid w:val="008453B2"/>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3FC0"/>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2EC1"/>
    <w:rsid w:val="0087368F"/>
    <w:rsid w:val="008737E8"/>
    <w:rsid w:val="00873F11"/>
    <w:rsid w:val="008741B4"/>
    <w:rsid w:val="00874FF5"/>
    <w:rsid w:val="00875102"/>
    <w:rsid w:val="00875323"/>
    <w:rsid w:val="00875800"/>
    <w:rsid w:val="00875814"/>
    <w:rsid w:val="008758E9"/>
    <w:rsid w:val="00876927"/>
    <w:rsid w:val="00876DF2"/>
    <w:rsid w:val="00876E78"/>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917"/>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AFC"/>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E7E18"/>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653"/>
    <w:rsid w:val="009338C0"/>
    <w:rsid w:val="00933BAA"/>
    <w:rsid w:val="00933CE4"/>
    <w:rsid w:val="0093463D"/>
    <w:rsid w:val="009349B2"/>
    <w:rsid w:val="00934A3F"/>
    <w:rsid w:val="00934F09"/>
    <w:rsid w:val="00935032"/>
    <w:rsid w:val="00935B2D"/>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4E3C"/>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2FC9"/>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3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366"/>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378F"/>
    <w:rsid w:val="00A0491C"/>
    <w:rsid w:val="00A05AC5"/>
    <w:rsid w:val="00A05CFC"/>
    <w:rsid w:val="00A05DB9"/>
    <w:rsid w:val="00A060D3"/>
    <w:rsid w:val="00A0682A"/>
    <w:rsid w:val="00A06972"/>
    <w:rsid w:val="00A0729F"/>
    <w:rsid w:val="00A07A7A"/>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513"/>
    <w:rsid w:val="00A2574B"/>
    <w:rsid w:val="00A267E9"/>
    <w:rsid w:val="00A27BAE"/>
    <w:rsid w:val="00A27F5C"/>
    <w:rsid w:val="00A30270"/>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1B3"/>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78A"/>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2D21"/>
    <w:rsid w:val="00AA404A"/>
    <w:rsid w:val="00AA40A6"/>
    <w:rsid w:val="00AA44F9"/>
    <w:rsid w:val="00AA4621"/>
    <w:rsid w:val="00AA4852"/>
    <w:rsid w:val="00AA4923"/>
    <w:rsid w:val="00AA4E27"/>
    <w:rsid w:val="00AA4F0F"/>
    <w:rsid w:val="00AA5370"/>
    <w:rsid w:val="00AA577C"/>
    <w:rsid w:val="00AA5845"/>
    <w:rsid w:val="00AA5B73"/>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1319"/>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78F"/>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584D"/>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0FDA"/>
    <w:rsid w:val="00B0125D"/>
    <w:rsid w:val="00B02B0F"/>
    <w:rsid w:val="00B03718"/>
    <w:rsid w:val="00B03C70"/>
    <w:rsid w:val="00B042B0"/>
    <w:rsid w:val="00B04829"/>
    <w:rsid w:val="00B04CC1"/>
    <w:rsid w:val="00B0679C"/>
    <w:rsid w:val="00B068EE"/>
    <w:rsid w:val="00B06C23"/>
    <w:rsid w:val="00B06D29"/>
    <w:rsid w:val="00B10853"/>
    <w:rsid w:val="00B10DAD"/>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1A"/>
    <w:rsid w:val="00B237F0"/>
    <w:rsid w:val="00B24419"/>
    <w:rsid w:val="00B24624"/>
    <w:rsid w:val="00B246E3"/>
    <w:rsid w:val="00B247AC"/>
    <w:rsid w:val="00B251B1"/>
    <w:rsid w:val="00B25225"/>
    <w:rsid w:val="00B25605"/>
    <w:rsid w:val="00B256E3"/>
    <w:rsid w:val="00B256E4"/>
    <w:rsid w:val="00B2652F"/>
    <w:rsid w:val="00B265D0"/>
    <w:rsid w:val="00B266E1"/>
    <w:rsid w:val="00B26E18"/>
    <w:rsid w:val="00B26EA4"/>
    <w:rsid w:val="00B27C03"/>
    <w:rsid w:val="00B30170"/>
    <w:rsid w:val="00B304B6"/>
    <w:rsid w:val="00B30B6F"/>
    <w:rsid w:val="00B30EF3"/>
    <w:rsid w:val="00B31347"/>
    <w:rsid w:val="00B31539"/>
    <w:rsid w:val="00B3167A"/>
    <w:rsid w:val="00B3274E"/>
    <w:rsid w:val="00B3329F"/>
    <w:rsid w:val="00B332E2"/>
    <w:rsid w:val="00B3423F"/>
    <w:rsid w:val="00B34CAA"/>
    <w:rsid w:val="00B359BB"/>
    <w:rsid w:val="00B363CA"/>
    <w:rsid w:val="00B364F9"/>
    <w:rsid w:val="00B36A08"/>
    <w:rsid w:val="00B40603"/>
    <w:rsid w:val="00B40A8D"/>
    <w:rsid w:val="00B40DB3"/>
    <w:rsid w:val="00B414D5"/>
    <w:rsid w:val="00B42058"/>
    <w:rsid w:val="00B42F36"/>
    <w:rsid w:val="00B431EC"/>
    <w:rsid w:val="00B43345"/>
    <w:rsid w:val="00B433F9"/>
    <w:rsid w:val="00B4400D"/>
    <w:rsid w:val="00B4475F"/>
    <w:rsid w:val="00B44953"/>
    <w:rsid w:val="00B4519E"/>
    <w:rsid w:val="00B458BF"/>
    <w:rsid w:val="00B458FA"/>
    <w:rsid w:val="00B45D99"/>
    <w:rsid w:val="00B46099"/>
    <w:rsid w:val="00B4615D"/>
    <w:rsid w:val="00B4635F"/>
    <w:rsid w:val="00B46710"/>
    <w:rsid w:val="00B46731"/>
    <w:rsid w:val="00B4695E"/>
    <w:rsid w:val="00B46B8B"/>
    <w:rsid w:val="00B46EA3"/>
    <w:rsid w:val="00B4749B"/>
    <w:rsid w:val="00B47989"/>
    <w:rsid w:val="00B50685"/>
    <w:rsid w:val="00B5097F"/>
    <w:rsid w:val="00B50E33"/>
    <w:rsid w:val="00B51121"/>
    <w:rsid w:val="00B5239F"/>
    <w:rsid w:val="00B52652"/>
    <w:rsid w:val="00B526A2"/>
    <w:rsid w:val="00B54011"/>
    <w:rsid w:val="00B5455F"/>
    <w:rsid w:val="00B5523A"/>
    <w:rsid w:val="00B55274"/>
    <w:rsid w:val="00B554CD"/>
    <w:rsid w:val="00B5575E"/>
    <w:rsid w:val="00B55F08"/>
    <w:rsid w:val="00B55F0B"/>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5E79"/>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352"/>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31"/>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0F9F"/>
    <w:rsid w:val="00BC111E"/>
    <w:rsid w:val="00BC1B45"/>
    <w:rsid w:val="00BC289E"/>
    <w:rsid w:val="00BC394D"/>
    <w:rsid w:val="00BC4FBC"/>
    <w:rsid w:val="00BC4FFC"/>
    <w:rsid w:val="00BC4FFD"/>
    <w:rsid w:val="00BC518A"/>
    <w:rsid w:val="00BC53CF"/>
    <w:rsid w:val="00BC57FA"/>
    <w:rsid w:val="00BC642E"/>
    <w:rsid w:val="00BC65AA"/>
    <w:rsid w:val="00BC6673"/>
    <w:rsid w:val="00BC7284"/>
    <w:rsid w:val="00BC7423"/>
    <w:rsid w:val="00BC7852"/>
    <w:rsid w:val="00BC78AF"/>
    <w:rsid w:val="00BC7DD3"/>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5D69"/>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0B7"/>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ED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523"/>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8FA"/>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453"/>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1A4"/>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3C8"/>
    <w:rsid w:val="00D116E6"/>
    <w:rsid w:val="00D11C70"/>
    <w:rsid w:val="00D12217"/>
    <w:rsid w:val="00D1337F"/>
    <w:rsid w:val="00D13C60"/>
    <w:rsid w:val="00D14480"/>
    <w:rsid w:val="00D14515"/>
    <w:rsid w:val="00D15008"/>
    <w:rsid w:val="00D154F1"/>
    <w:rsid w:val="00D15545"/>
    <w:rsid w:val="00D156E4"/>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52FE"/>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667"/>
    <w:rsid w:val="00D53B4E"/>
    <w:rsid w:val="00D540CE"/>
    <w:rsid w:val="00D54229"/>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21F"/>
    <w:rsid w:val="00D77957"/>
    <w:rsid w:val="00D779A3"/>
    <w:rsid w:val="00D77D1B"/>
    <w:rsid w:val="00D77DC0"/>
    <w:rsid w:val="00D80270"/>
    <w:rsid w:val="00D80360"/>
    <w:rsid w:val="00D814FD"/>
    <w:rsid w:val="00D81636"/>
    <w:rsid w:val="00D818A8"/>
    <w:rsid w:val="00D81B1D"/>
    <w:rsid w:val="00D82F4E"/>
    <w:rsid w:val="00D82F8B"/>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1884"/>
    <w:rsid w:val="00D92EC6"/>
    <w:rsid w:val="00D92F75"/>
    <w:rsid w:val="00D96BC3"/>
    <w:rsid w:val="00D96E8C"/>
    <w:rsid w:val="00D97178"/>
    <w:rsid w:val="00D973AA"/>
    <w:rsid w:val="00D9777D"/>
    <w:rsid w:val="00D97A14"/>
    <w:rsid w:val="00D97A40"/>
    <w:rsid w:val="00DA032C"/>
    <w:rsid w:val="00DA039A"/>
    <w:rsid w:val="00DA09CE"/>
    <w:rsid w:val="00DA156E"/>
    <w:rsid w:val="00DA1D5C"/>
    <w:rsid w:val="00DA1EF5"/>
    <w:rsid w:val="00DA21AC"/>
    <w:rsid w:val="00DA2A09"/>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AEA"/>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5C99"/>
    <w:rsid w:val="00DD62C0"/>
    <w:rsid w:val="00DD6560"/>
    <w:rsid w:val="00DD680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BD5"/>
    <w:rsid w:val="00E05F00"/>
    <w:rsid w:val="00E0701B"/>
    <w:rsid w:val="00E072DF"/>
    <w:rsid w:val="00E073A1"/>
    <w:rsid w:val="00E0745D"/>
    <w:rsid w:val="00E10235"/>
    <w:rsid w:val="00E104EC"/>
    <w:rsid w:val="00E1076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4FF"/>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5ED3"/>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37EB5"/>
    <w:rsid w:val="00E40541"/>
    <w:rsid w:val="00E4087F"/>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696C"/>
    <w:rsid w:val="00E578D3"/>
    <w:rsid w:val="00E57FAD"/>
    <w:rsid w:val="00E604F4"/>
    <w:rsid w:val="00E60BCC"/>
    <w:rsid w:val="00E60D00"/>
    <w:rsid w:val="00E61017"/>
    <w:rsid w:val="00E61107"/>
    <w:rsid w:val="00E615E1"/>
    <w:rsid w:val="00E62461"/>
    <w:rsid w:val="00E6288A"/>
    <w:rsid w:val="00E63479"/>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1DE"/>
    <w:rsid w:val="00E8124A"/>
    <w:rsid w:val="00E81DF8"/>
    <w:rsid w:val="00E81F6E"/>
    <w:rsid w:val="00E82FB1"/>
    <w:rsid w:val="00E840AB"/>
    <w:rsid w:val="00E84167"/>
    <w:rsid w:val="00E84AD4"/>
    <w:rsid w:val="00E8526A"/>
    <w:rsid w:val="00E85491"/>
    <w:rsid w:val="00E854A7"/>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B7D"/>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2E44"/>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C5"/>
    <w:rsid w:val="00EE03E5"/>
    <w:rsid w:val="00EE0495"/>
    <w:rsid w:val="00EE1169"/>
    <w:rsid w:val="00EE1677"/>
    <w:rsid w:val="00EE1FD0"/>
    <w:rsid w:val="00EE25C4"/>
    <w:rsid w:val="00EE2DD1"/>
    <w:rsid w:val="00EE304D"/>
    <w:rsid w:val="00EE3219"/>
    <w:rsid w:val="00EE3937"/>
    <w:rsid w:val="00EE3C25"/>
    <w:rsid w:val="00EE4ADC"/>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3A6"/>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051"/>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58F"/>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0F4C"/>
    <w:rsid w:val="00F31FFE"/>
    <w:rsid w:val="00F32933"/>
    <w:rsid w:val="00F33286"/>
    <w:rsid w:val="00F33921"/>
    <w:rsid w:val="00F33BDB"/>
    <w:rsid w:val="00F33E77"/>
    <w:rsid w:val="00F34299"/>
    <w:rsid w:val="00F3486B"/>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91A"/>
    <w:rsid w:val="00F6430C"/>
    <w:rsid w:val="00F645C7"/>
    <w:rsid w:val="00F6495F"/>
    <w:rsid w:val="00F64FB4"/>
    <w:rsid w:val="00F65059"/>
    <w:rsid w:val="00F6513A"/>
    <w:rsid w:val="00F654E4"/>
    <w:rsid w:val="00F657F0"/>
    <w:rsid w:val="00F6649A"/>
    <w:rsid w:val="00F66796"/>
    <w:rsid w:val="00F6690E"/>
    <w:rsid w:val="00F6691B"/>
    <w:rsid w:val="00F66F36"/>
    <w:rsid w:val="00F6744B"/>
    <w:rsid w:val="00F6777A"/>
    <w:rsid w:val="00F67BAF"/>
    <w:rsid w:val="00F67F05"/>
    <w:rsid w:val="00F703A2"/>
    <w:rsid w:val="00F70EB8"/>
    <w:rsid w:val="00F711BB"/>
    <w:rsid w:val="00F719B0"/>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093"/>
    <w:rsid w:val="00F85237"/>
    <w:rsid w:val="00F855A6"/>
    <w:rsid w:val="00F864AD"/>
    <w:rsid w:val="00F8730B"/>
    <w:rsid w:val="00F87A07"/>
    <w:rsid w:val="00F87D8E"/>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7A"/>
    <w:rsid w:val="00FB05D9"/>
    <w:rsid w:val="00FB0ADD"/>
    <w:rsid w:val="00FB0E62"/>
    <w:rsid w:val="00FB126B"/>
    <w:rsid w:val="00FB12C6"/>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0712"/>
    <w:rsid w:val="00FC100B"/>
    <w:rsid w:val="00FC10BC"/>
    <w:rsid w:val="00FC2B1C"/>
    <w:rsid w:val="00FC2BCA"/>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1FE8"/>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1277386">
      <w:bodyDiv w:val="1"/>
      <w:marLeft w:val="0"/>
      <w:marRight w:val="0"/>
      <w:marTop w:val="0"/>
      <w:marBottom w:val="0"/>
      <w:divBdr>
        <w:top w:val="none" w:sz="0" w:space="0" w:color="auto"/>
        <w:left w:val="none" w:sz="0" w:space="0" w:color="auto"/>
        <w:bottom w:val="none" w:sz="0" w:space="0" w:color="auto"/>
        <w:right w:val="none" w:sz="0" w:space="0" w:color="auto"/>
      </w:divBdr>
      <w:divsChild>
        <w:div w:id="94905327">
          <w:marLeft w:val="360"/>
          <w:marRight w:val="0"/>
          <w:marTop w:val="0"/>
          <w:marBottom w:val="0"/>
          <w:divBdr>
            <w:top w:val="none" w:sz="0" w:space="0" w:color="auto"/>
            <w:left w:val="none" w:sz="0" w:space="0" w:color="auto"/>
            <w:bottom w:val="none" w:sz="0" w:space="0" w:color="auto"/>
            <w:right w:val="none" w:sz="0" w:space="0" w:color="auto"/>
          </w:divBdr>
        </w:div>
        <w:div w:id="685256961">
          <w:marLeft w:val="360"/>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79475108">
      <w:bodyDiv w:val="1"/>
      <w:marLeft w:val="0"/>
      <w:marRight w:val="0"/>
      <w:marTop w:val="0"/>
      <w:marBottom w:val="0"/>
      <w:divBdr>
        <w:top w:val="none" w:sz="0" w:space="0" w:color="auto"/>
        <w:left w:val="none" w:sz="0" w:space="0" w:color="auto"/>
        <w:bottom w:val="none" w:sz="0" w:space="0" w:color="auto"/>
        <w:right w:val="none" w:sz="0" w:space="0" w:color="auto"/>
      </w:divBdr>
      <w:divsChild>
        <w:div w:id="607809744">
          <w:marLeft w:val="720"/>
          <w:marRight w:val="0"/>
          <w:marTop w:val="0"/>
          <w:marBottom w:val="0"/>
          <w:divBdr>
            <w:top w:val="none" w:sz="0" w:space="0" w:color="auto"/>
            <w:left w:val="none" w:sz="0" w:space="0" w:color="auto"/>
            <w:bottom w:val="none" w:sz="0" w:space="0" w:color="auto"/>
            <w:right w:val="none" w:sz="0" w:space="0" w:color="auto"/>
          </w:divBdr>
        </w:div>
      </w:divsChild>
    </w:div>
    <w:div w:id="389352473">
      <w:bodyDiv w:val="1"/>
      <w:marLeft w:val="0"/>
      <w:marRight w:val="0"/>
      <w:marTop w:val="0"/>
      <w:marBottom w:val="0"/>
      <w:divBdr>
        <w:top w:val="none" w:sz="0" w:space="0" w:color="auto"/>
        <w:left w:val="none" w:sz="0" w:space="0" w:color="auto"/>
        <w:bottom w:val="none" w:sz="0" w:space="0" w:color="auto"/>
        <w:right w:val="none" w:sz="0" w:space="0" w:color="auto"/>
      </w:divBdr>
    </w:div>
    <w:div w:id="39289377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3406743">
      <w:bodyDiv w:val="1"/>
      <w:marLeft w:val="0"/>
      <w:marRight w:val="0"/>
      <w:marTop w:val="0"/>
      <w:marBottom w:val="0"/>
      <w:divBdr>
        <w:top w:val="none" w:sz="0" w:space="0" w:color="auto"/>
        <w:left w:val="none" w:sz="0" w:space="0" w:color="auto"/>
        <w:bottom w:val="none" w:sz="0" w:space="0" w:color="auto"/>
        <w:right w:val="none" w:sz="0" w:space="0" w:color="auto"/>
      </w:divBdr>
      <w:divsChild>
        <w:div w:id="4131900">
          <w:marLeft w:val="446"/>
          <w:marRight w:val="0"/>
          <w:marTop w:val="0"/>
          <w:marBottom w:val="0"/>
          <w:divBdr>
            <w:top w:val="none" w:sz="0" w:space="0" w:color="auto"/>
            <w:left w:val="none" w:sz="0" w:space="0" w:color="auto"/>
            <w:bottom w:val="none" w:sz="0" w:space="0" w:color="auto"/>
            <w:right w:val="none" w:sz="0" w:space="0" w:color="auto"/>
          </w:divBdr>
        </w:div>
        <w:div w:id="305598065">
          <w:marLeft w:val="446"/>
          <w:marRight w:val="0"/>
          <w:marTop w:val="0"/>
          <w:marBottom w:val="0"/>
          <w:divBdr>
            <w:top w:val="none" w:sz="0" w:space="0" w:color="auto"/>
            <w:left w:val="none" w:sz="0" w:space="0" w:color="auto"/>
            <w:bottom w:val="none" w:sz="0" w:space="0" w:color="auto"/>
            <w:right w:val="none" w:sz="0" w:space="0" w:color="auto"/>
          </w:divBdr>
        </w:div>
      </w:divsChild>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66702122">
      <w:bodyDiv w:val="1"/>
      <w:marLeft w:val="0"/>
      <w:marRight w:val="0"/>
      <w:marTop w:val="0"/>
      <w:marBottom w:val="0"/>
      <w:divBdr>
        <w:top w:val="none" w:sz="0" w:space="0" w:color="auto"/>
        <w:left w:val="none" w:sz="0" w:space="0" w:color="auto"/>
        <w:bottom w:val="none" w:sz="0" w:space="0" w:color="auto"/>
        <w:right w:val="none" w:sz="0" w:space="0" w:color="auto"/>
      </w:divBdr>
      <w:divsChild>
        <w:div w:id="1596867523">
          <w:marLeft w:val="720"/>
          <w:marRight w:val="0"/>
          <w:marTop w:val="0"/>
          <w:marBottom w:val="0"/>
          <w:divBdr>
            <w:top w:val="none" w:sz="0" w:space="0" w:color="auto"/>
            <w:left w:val="none" w:sz="0" w:space="0" w:color="auto"/>
            <w:bottom w:val="none" w:sz="0" w:space="0" w:color="auto"/>
            <w:right w:val="none" w:sz="0" w:space="0" w:color="auto"/>
          </w:divBdr>
        </w:div>
      </w:divsChild>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06024326">
      <w:bodyDiv w:val="1"/>
      <w:marLeft w:val="0"/>
      <w:marRight w:val="0"/>
      <w:marTop w:val="0"/>
      <w:marBottom w:val="0"/>
      <w:divBdr>
        <w:top w:val="none" w:sz="0" w:space="0" w:color="auto"/>
        <w:left w:val="none" w:sz="0" w:space="0" w:color="auto"/>
        <w:bottom w:val="none" w:sz="0" w:space="0" w:color="auto"/>
        <w:right w:val="none" w:sz="0" w:space="0" w:color="auto"/>
      </w:divBdr>
      <w:divsChild>
        <w:div w:id="965550049">
          <w:marLeft w:val="720"/>
          <w:marRight w:val="0"/>
          <w:marTop w:val="0"/>
          <w:marBottom w:val="0"/>
          <w:divBdr>
            <w:top w:val="none" w:sz="0" w:space="0" w:color="auto"/>
            <w:left w:val="none" w:sz="0" w:space="0" w:color="auto"/>
            <w:bottom w:val="none" w:sz="0" w:space="0" w:color="auto"/>
            <w:right w:val="none" w:sz="0" w:space="0" w:color="auto"/>
          </w:divBdr>
        </w:div>
      </w:divsChild>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2089603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74626325">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59716009">
      <w:bodyDiv w:val="1"/>
      <w:marLeft w:val="0"/>
      <w:marRight w:val="0"/>
      <w:marTop w:val="0"/>
      <w:marBottom w:val="0"/>
      <w:divBdr>
        <w:top w:val="none" w:sz="0" w:space="0" w:color="auto"/>
        <w:left w:val="none" w:sz="0" w:space="0" w:color="auto"/>
        <w:bottom w:val="none" w:sz="0" w:space="0" w:color="auto"/>
        <w:right w:val="none" w:sz="0" w:space="0" w:color="auto"/>
      </w:divBdr>
      <w:divsChild>
        <w:div w:id="1082333657">
          <w:marLeft w:val="446"/>
          <w:marRight w:val="0"/>
          <w:marTop w:val="0"/>
          <w:marBottom w:val="0"/>
          <w:divBdr>
            <w:top w:val="none" w:sz="0" w:space="0" w:color="auto"/>
            <w:left w:val="none" w:sz="0" w:space="0" w:color="auto"/>
            <w:bottom w:val="none" w:sz="0" w:space="0" w:color="auto"/>
            <w:right w:val="none" w:sz="0" w:space="0" w:color="auto"/>
          </w:divBdr>
        </w:div>
        <w:div w:id="975373035">
          <w:marLeft w:val="446"/>
          <w:marRight w:val="0"/>
          <w:marTop w:val="0"/>
          <w:marBottom w:val="0"/>
          <w:divBdr>
            <w:top w:val="none" w:sz="0" w:space="0" w:color="auto"/>
            <w:left w:val="none" w:sz="0" w:space="0" w:color="auto"/>
            <w:bottom w:val="none" w:sz="0" w:space="0" w:color="auto"/>
            <w:right w:val="none" w:sz="0" w:space="0" w:color="auto"/>
          </w:divBdr>
        </w:div>
        <w:div w:id="821773835">
          <w:marLeft w:val="446"/>
          <w:marRight w:val="0"/>
          <w:marTop w:val="0"/>
          <w:marBottom w:val="0"/>
          <w:divBdr>
            <w:top w:val="none" w:sz="0" w:space="0" w:color="auto"/>
            <w:left w:val="none" w:sz="0" w:space="0" w:color="auto"/>
            <w:bottom w:val="none" w:sz="0" w:space="0" w:color="auto"/>
            <w:right w:val="none" w:sz="0" w:space="0" w:color="auto"/>
          </w:divBdr>
        </w:div>
        <w:div w:id="896285488">
          <w:marLeft w:val="446"/>
          <w:marRight w:val="0"/>
          <w:marTop w:val="0"/>
          <w:marBottom w:val="0"/>
          <w:divBdr>
            <w:top w:val="none" w:sz="0" w:space="0" w:color="auto"/>
            <w:left w:val="none" w:sz="0" w:space="0" w:color="auto"/>
            <w:bottom w:val="none" w:sz="0" w:space="0" w:color="auto"/>
            <w:right w:val="none" w:sz="0" w:space="0" w:color="auto"/>
          </w:divBdr>
        </w:div>
        <w:div w:id="932591557">
          <w:marLeft w:val="1627"/>
          <w:marRight w:val="0"/>
          <w:marTop w:val="0"/>
          <w:marBottom w:val="0"/>
          <w:divBdr>
            <w:top w:val="none" w:sz="0" w:space="0" w:color="auto"/>
            <w:left w:val="none" w:sz="0" w:space="0" w:color="auto"/>
            <w:bottom w:val="none" w:sz="0" w:space="0" w:color="auto"/>
            <w:right w:val="none" w:sz="0" w:space="0" w:color="auto"/>
          </w:divBdr>
        </w:div>
        <w:div w:id="1439721192">
          <w:marLeft w:val="1627"/>
          <w:marRight w:val="0"/>
          <w:marTop w:val="0"/>
          <w:marBottom w:val="0"/>
          <w:divBdr>
            <w:top w:val="none" w:sz="0" w:space="0" w:color="auto"/>
            <w:left w:val="none" w:sz="0" w:space="0" w:color="auto"/>
            <w:bottom w:val="none" w:sz="0" w:space="0" w:color="auto"/>
            <w:right w:val="none" w:sz="0" w:space="0" w:color="auto"/>
          </w:divBdr>
        </w:div>
        <w:div w:id="421033022">
          <w:marLeft w:val="1627"/>
          <w:marRight w:val="0"/>
          <w:marTop w:val="0"/>
          <w:marBottom w:val="0"/>
          <w:divBdr>
            <w:top w:val="none" w:sz="0" w:space="0" w:color="auto"/>
            <w:left w:val="none" w:sz="0" w:space="0" w:color="auto"/>
            <w:bottom w:val="none" w:sz="0" w:space="0" w:color="auto"/>
            <w:right w:val="none" w:sz="0" w:space="0" w:color="auto"/>
          </w:divBdr>
        </w:div>
        <w:div w:id="1986275202">
          <w:marLeft w:val="446"/>
          <w:marRight w:val="0"/>
          <w:marTop w:val="0"/>
          <w:marBottom w:val="0"/>
          <w:divBdr>
            <w:top w:val="none" w:sz="0" w:space="0" w:color="auto"/>
            <w:left w:val="none" w:sz="0" w:space="0" w:color="auto"/>
            <w:bottom w:val="none" w:sz="0" w:space="0" w:color="auto"/>
            <w:right w:val="none" w:sz="0" w:space="0" w:color="auto"/>
          </w:divBdr>
        </w:div>
      </w:divsChild>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2658491">
      <w:bodyDiv w:val="1"/>
      <w:marLeft w:val="0"/>
      <w:marRight w:val="0"/>
      <w:marTop w:val="0"/>
      <w:marBottom w:val="0"/>
      <w:divBdr>
        <w:top w:val="none" w:sz="0" w:space="0" w:color="auto"/>
        <w:left w:val="none" w:sz="0" w:space="0" w:color="auto"/>
        <w:bottom w:val="none" w:sz="0" w:space="0" w:color="auto"/>
        <w:right w:val="none" w:sz="0" w:space="0" w:color="auto"/>
      </w:divBdr>
      <w:divsChild>
        <w:div w:id="1043137008">
          <w:marLeft w:val="446"/>
          <w:marRight w:val="0"/>
          <w:marTop w:val="0"/>
          <w:marBottom w:val="200"/>
          <w:divBdr>
            <w:top w:val="none" w:sz="0" w:space="0" w:color="auto"/>
            <w:left w:val="none" w:sz="0" w:space="0" w:color="auto"/>
            <w:bottom w:val="none" w:sz="0" w:space="0" w:color="auto"/>
            <w:right w:val="none" w:sz="0" w:space="0" w:color="auto"/>
          </w:divBdr>
        </w:div>
        <w:div w:id="1905678097">
          <w:marLeft w:val="446"/>
          <w:marRight w:val="0"/>
          <w:marTop w:val="0"/>
          <w:marBottom w:val="200"/>
          <w:divBdr>
            <w:top w:val="none" w:sz="0" w:space="0" w:color="auto"/>
            <w:left w:val="none" w:sz="0" w:space="0" w:color="auto"/>
            <w:bottom w:val="none" w:sz="0" w:space="0" w:color="auto"/>
            <w:right w:val="none" w:sz="0" w:space="0" w:color="auto"/>
          </w:divBdr>
        </w:div>
      </w:divsChild>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8167800">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5740338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4898149">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07780839">
      <w:bodyDiv w:val="1"/>
      <w:marLeft w:val="0"/>
      <w:marRight w:val="0"/>
      <w:marTop w:val="0"/>
      <w:marBottom w:val="0"/>
      <w:divBdr>
        <w:top w:val="none" w:sz="0" w:space="0" w:color="auto"/>
        <w:left w:val="none" w:sz="0" w:space="0" w:color="auto"/>
        <w:bottom w:val="none" w:sz="0" w:space="0" w:color="auto"/>
        <w:right w:val="none" w:sz="0" w:space="0" w:color="auto"/>
      </w:divBdr>
      <w:divsChild>
        <w:div w:id="859127321">
          <w:marLeft w:val="720"/>
          <w:marRight w:val="0"/>
          <w:marTop w:val="0"/>
          <w:marBottom w:val="0"/>
          <w:divBdr>
            <w:top w:val="none" w:sz="0" w:space="0" w:color="auto"/>
            <w:left w:val="none" w:sz="0" w:space="0" w:color="auto"/>
            <w:bottom w:val="none" w:sz="0" w:space="0" w:color="auto"/>
            <w:right w:val="none" w:sz="0" w:space="0" w:color="auto"/>
          </w:divBdr>
        </w:div>
        <w:div w:id="1623147144">
          <w:marLeft w:val="720"/>
          <w:marRight w:val="0"/>
          <w:marTop w:val="0"/>
          <w:marBottom w:val="0"/>
          <w:divBdr>
            <w:top w:val="none" w:sz="0" w:space="0" w:color="auto"/>
            <w:left w:val="none" w:sz="0" w:space="0" w:color="auto"/>
            <w:bottom w:val="none" w:sz="0" w:space="0" w:color="auto"/>
            <w:right w:val="none" w:sz="0" w:space="0" w:color="auto"/>
          </w:divBdr>
        </w:div>
        <w:div w:id="971251533">
          <w:marLeft w:val="720"/>
          <w:marRight w:val="0"/>
          <w:marTop w:val="0"/>
          <w:marBottom w:val="0"/>
          <w:divBdr>
            <w:top w:val="none" w:sz="0" w:space="0" w:color="auto"/>
            <w:left w:val="none" w:sz="0" w:space="0" w:color="auto"/>
            <w:bottom w:val="none" w:sz="0" w:space="0" w:color="auto"/>
            <w:right w:val="none" w:sz="0" w:space="0" w:color="auto"/>
          </w:divBdr>
        </w:div>
        <w:div w:id="236325694">
          <w:marLeft w:val="720"/>
          <w:marRight w:val="0"/>
          <w:marTop w:val="0"/>
          <w:marBottom w:val="0"/>
          <w:divBdr>
            <w:top w:val="none" w:sz="0" w:space="0" w:color="auto"/>
            <w:left w:val="none" w:sz="0" w:space="0" w:color="auto"/>
            <w:bottom w:val="none" w:sz="0" w:space="0" w:color="auto"/>
            <w:right w:val="none" w:sz="0" w:space="0" w:color="auto"/>
          </w:divBdr>
        </w:div>
      </w:divsChild>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1738352">
      <w:bodyDiv w:val="1"/>
      <w:marLeft w:val="0"/>
      <w:marRight w:val="0"/>
      <w:marTop w:val="0"/>
      <w:marBottom w:val="0"/>
      <w:divBdr>
        <w:top w:val="none" w:sz="0" w:space="0" w:color="auto"/>
        <w:left w:val="none" w:sz="0" w:space="0" w:color="auto"/>
        <w:bottom w:val="none" w:sz="0" w:space="0" w:color="auto"/>
        <w:right w:val="none" w:sz="0" w:space="0" w:color="auto"/>
      </w:divBdr>
      <w:divsChild>
        <w:div w:id="405998268">
          <w:marLeft w:val="720"/>
          <w:marRight w:val="0"/>
          <w:marTop w:val="0"/>
          <w:marBottom w:val="0"/>
          <w:divBdr>
            <w:top w:val="none" w:sz="0" w:space="0" w:color="auto"/>
            <w:left w:val="none" w:sz="0" w:space="0" w:color="auto"/>
            <w:bottom w:val="none" w:sz="0" w:space="0" w:color="auto"/>
            <w:right w:val="none" w:sz="0" w:space="0" w:color="auto"/>
          </w:divBdr>
        </w:div>
      </w:divsChild>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2039709">
      <w:bodyDiv w:val="1"/>
      <w:marLeft w:val="0"/>
      <w:marRight w:val="0"/>
      <w:marTop w:val="0"/>
      <w:marBottom w:val="0"/>
      <w:divBdr>
        <w:top w:val="none" w:sz="0" w:space="0" w:color="auto"/>
        <w:left w:val="none" w:sz="0" w:space="0" w:color="auto"/>
        <w:bottom w:val="none" w:sz="0" w:space="0" w:color="auto"/>
        <w:right w:val="none" w:sz="0" w:space="0" w:color="auto"/>
      </w:divBdr>
      <w:divsChild>
        <w:div w:id="1841237976">
          <w:marLeft w:val="0"/>
          <w:marRight w:val="0"/>
          <w:marTop w:val="0"/>
          <w:marBottom w:val="0"/>
          <w:divBdr>
            <w:top w:val="none" w:sz="0" w:space="0" w:color="auto"/>
            <w:left w:val="none" w:sz="0" w:space="0" w:color="auto"/>
            <w:bottom w:val="none" w:sz="0" w:space="0" w:color="auto"/>
            <w:right w:val="none" w:sz="0" w:space="0" w:color="auto"/>
          </w:divBdr>
          <w:divsChild>
            <w:div w:id="405298155">
              <w:marLeft w:val="0"/>
              <w:marRight w:val="0"/>
              <w:marTop w:val="0"/>
              <w:marBottom w:val="0"/>
              <w:divBdr>
                <w:top w:val="none" w:sz="0" w:space="0" w:color="auto"/>
                <w:left w:val="none" w:sz="0" w:space="0" w:color="auto"/>
                <w:bottom w:val="none" w:sz="0" w:space="0" w:color="auto"/>
                <w:right w:val="none" w:sz="0" w:space="0" w:color="auto"/>
              </w:divBdr>
              <w:divsChild>
                <w:div w:id="1729376276">
                  <w:marLeft w:val="0"/>
                  <w:marRight w:val="0"/>
                  <w:marTop w:val="0"/>
                  <w:marBottom w:val="0"/>
                  <w:divBdr>
                    <w:top w:val="none" w:sz="0" w:space="0" w:color="auto"/>
                    <w:left w:val="none" w:sz="0" w:space="0" w:color="auto"/>
                    <w:bottom w:val="none" w:sz="0" w:space="0" w:color="auto"/>
                    <w:right w:val="none" w:sz="0" w:space="0" w:color="auto"/>
                  </w:divBdr>
                  <w:divsChild>
                    <w:div w:id="725419298">
                      <w:marLeft w:val="0"/>
                      <w:marRight w:val="0"/>
                      <w:marTop w:val="0"/>
                      <w:marBottom w:val="0"/>
                      <w:divBdr>
                        <w:top w:val="none" w:sz="0" w:space="0" w:color="auto"/>
                        <w:left w:val="none" w:sz="0" w:space="0" w:color="auto"/>
                        <w:bottom w:val="none" w:sz="0" w:space="0" w:color="auto"/>
                        <w:right w:val="none" w:sz="0" w:space="0" w:color="auto"/>
                      </w:divBdr>
                      <w:divsChild>
                        <w:div w:id="610821849">
                          <w:marLeft w:val="0"/>
                          <w:marRight w:val="0"/>
                          <w:marTop w:val="0"/>
                          <w:marBottom w:val="0"/>
                          <w:divBdr>
                            <w:top w:val="none" w:sz="0" w:space="0" w:color="auto"/>
                            <w:left w:val="none" w:sz="0" w:space="0" w:color="auto"/>
                            <w:bottom w:val="none" w:sz="0" w:space="0" w:color="auto"/>
                            <w:right w:val="none" w:sz="0" w:space="0" w:color="auto"/>
                          </w:divBdr>
                          <w:divsChild>
                            <w:div w:id="403455131">
                              <w:marLeft w:val="0"/>
                              <w:marRight w:val="0"/>
                              <w:marTop w:val="0"/>
                              <w:marBottom w:val="0"/>
                              <w:divBdr>
                                <w:top w:val="none" w:sz="0" w:space="0" w:color="auto"/>
                                <w:left w:val="none" w:sz="0" w:space="0" w:color="auto"/>
                                <w:bottom w:val="none" w:sz="0" w:space="0" w:color="auto"/>
                                <w:right w:val="none" w:sz="0" w:space="0" w:color="auto"/>
                              </w:divBdr>
                              <w:divsChild>
                                <w:div w:id="1376195953">
                                  <w:marLeft w:val="-225"/>
                                  <w:marRight w:val="-225"/>
                                  <w:marTop w:val="0"/>
                                  <w:marBottom w:val="0"/>
                                  <w:divBdr>
                                    <w:top w:val="none" w:sz="0" w:space="0" w:color="auto"/>
                                    <w:left w:val="none" w:sz="0" w:space="0" w:color="auto"/>
                                    <w:bottom w:val="none" w:sz="0" w:space="0" w:color="auto"/>
                                    <w:right w:val="none" w:sz="0" w:space="0" w:color="auto"/>
                                  </w:divBdr>
                                  <w:divsChild>
                                    <w:div w:id="1059981395">
                                      <w:marLeft w:val="0"/>
                                      <w:marRight w:val="0"/>
                                      <w:marTop w:val="0"/>
                                      <w:marBottom w:val="0"/>
                                      <w:divBdr>
                                        <w:top w:val="none" w:sz="0" w:space="0" w:color="auto"/>
                                        <w:left w:val="none" w:sz="0" w:space="0" w:color="auto"/>
                                        <w:bottom w:val="none" w:sz="0" w:space="0" w:color="auto"/>
                                        <w:right w:val="none" w:sz="0" w:space="0" w:color="auto"/>
                                      </w:divBdr>
                                      <w:divsChild>
                                        <w:div w:id="1506283546">
                                          <w:marLeft w:val="0"/>
                                          <w:marRight w:val="0"/>
                                          <w:marTop w:val="0"/>
                                          <w:marBottom w:val="0"/>
                                          <w:divBdr>
                                            <w:top w:val="none" w:sz="0" w:space="0" w:color="auto"/>
                                            <w:left w:val="none" w:sz="0" w:space="0" w:color="auto"/>
                                            <w:bottom w:val="none" w:sz="0" w:space="0" w:color="auto"/>
                                            <w:right w:val="none" w:sz="0" w:space="0" w:color="auto"/>
                                          </w:divBdr>
                                          <w:divsChild>
                                            <w:div w:id="483162296">
                                              <w:marLeft w:val="0"/>
                                              <w:marRight w:val="0"/>
                                              <w:marTop w:val="0"/>
                                              <w:marBottom w:val="0"/>
                                              <w:divBdr>
                                                <w:top w:val="none" w:sz="0" w:space="0" w:color="auto"/>
                                                <w:left w:val="none" w:sz="0" w:space="0" w:color="auto"/>
                                                <w:bottom w:val="none" w:sz="0" w:space="0" w:color="auto"/>
                                                <w:right w:val="none" w:sz="0" w:space="0" w:color="auto"/>
                                              </w:divBdr>
                                              <w:divsChild>
                                                <w:div w:id="1809206521">
                                                  <w:marLeft w:val="0"/>
                                                  <w:marRight w:val="0"/>
                                                  <w:marTop w:val="0"/>
                                                  <w:marBottom w:val="0"/>
                                                  <w:divBdr>
                                                    <w:top w:val="none" w:sz="0" w:space="0" w:color="auto"/>
                                                    <w:left w:val="none" w:sz="0" w:space="0" w:color="auto"/>
                                                    <w:bottom w:val="none" w:sz="0" w:space="0" w:color="auto"/>
                                                    <w:right w:val="none" w:sz="0" w:space="0" w:color="auto"/>
                                                  </w:divBdr>
                                                  <w:divsChild>
                                                    <w:div w:id="202801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46793418">
      <w:bodyDiv w:val="1"/>
      <w:marLeft w:val="0"/>
      <w:marRight w:val="0"/>
      <w:marTop w:val="0"/>
      <w:marBottom w:val="0"/>
      <w:divBdr>
        <w:top w:val="none" w:sz="0" w:space="0" w:color="auto"/>
        <w:left w:val="none" w:sz="0" w:space="0" w:color="auto"/>
        <w:bottom w:val="none" w:sz="0" w:space="0" w:color="auto"/>
        <w:right w:val="none" w:sz="0" w:space="0" w:color="auto"/>
      </w:divBdr>
      <w:divsChild>
        <w:div w:id="1974166594">
          <w:marLeft w:val="1440"/>
          <w:marRight w:val="0"/>
          <w:marTop w:val="0"/>
          <w:marBottom w:val="0"/>
          <w:divBdr>
            <w:top w:val="none" w:sz="0" w:space="0" w:color="auto"/>
            <w:left w:val="none" w:sz="0" w:space="0" w:color="auto"/>
            <w:bottom w:val="none" w:sz="0" w:space="0" w:color="auto"/>
            <w:right w:val="none" w:sz="0" w:space="0" w:color="auto"/>
          </w:divBdr>
        </w:div>
      </w:divsChild>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0166480">
      <w:bodyDiv w:val="1"/>
      <w:marLeft w:val="0"/>
      <w:marRight w:val="0"/>
      <w:marTop w:val="0"/>
      <w:marBottom w:val="0"/>
      <w:divBdr>
        <w:top w:val="none" w:sz="0" w:space="0" w:color="auto"/>
        <w:left w:val="none" w:sz="0" w:space="0" w:color="auto"/>
        <w:bottom w:val="none" w:sz="0" w:space="0" w:color="auto"/>
        <w:right w:val="none" w:sz="0" w:space="0" w:color="auto"/>
      </w:divBdr>
      <w:divsChild>
        <w:div w:id="1960791472">
          <w:marLeft w:val="720"/>
          <w:marRight w:val="0"/>
          <w:marTop w:val="0"/>
          <w:marBottom w:val="0"/>
          <w:divBdr>
            <w:top w:val="none" w:sz="0" w:space="0" w:color="auto"/>
            <w:left w:val="none" w:sz="0" w:space="0" w:color="auto"/>
            <w:bottom w:val="none" w:sz="0" w:space="0" w:color="auto"/>
            <w:right w:val="none" w:sz="0" w:space="0" w:color="auto"/>
          </w:divBdr>
        </w:div>
        <w:div w:id="1936477274">
          <w:marLeft w:val="1440"/>
          <w:marRight w:val="0"/>
          <w:marTop w:val="0"/>
          <w:marBottom w:val="0"/>
          <w:divBdr>
            <w:top w:val="none" w:sz="0" w:space="0" w:color="auto"/>
            <w:left w:val="none" w:sz="0" w:space="0" w:color="auto"/>
            <w:bottom w:val="none" w:sz="0" w:space="0" w:color="auto"/>
            <w:right w:val="none" w:sz="0" w:space="0" w:color="auto"/>
          </w:divBdr>
        </w:div>
        <w:div w:id="2046177856">
          <w:marLeft w:val="1440"/>
          <w:marRight w:val="0"/>
          <w:marTop w:val="0"/>
          <w:marBottom w:val="0"/>
          <w:divBdr>
            <w:top w:val="none" w:sz="0" w:space="0" w:color="auto"/>
            <w:left w:val="none" w:sz="0" w:space="0" w:color="auto"/>
            <w:bottom w:val="none" w:sz="0" w:space="0" w:color="auto"/>
            <w:right w:val="none" w:sz="0" w:space="0" w:color="auto"/>
          </w:divBdr>
        </w:div>
      </w:divsChild>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79946738">
      <w:bodyDiv w:val="1"/>
      <w:marLeft w:val="0"/>
      <w:marRight w:val="0"/>
      <w:marTop w:val="0"/>
      <w:marBottom w:val="0"/>
      <w:divBdr>
        <w:top w:val="none" w:sz="0" w:space="0" w:color="auto"/>
        <w:left w:val="none" w:sz="0" w:space="0" w:color="auto"/>
        <w:bottom w:val="none" w:sz="0" w:space="0" w:color="auto"/>
        <w:right w:val="none" w:sz="0" w:space="0" w:color="auto"/>
      </w:divBdr>
    </w:div>
    <w:div w:id="1585643738">
      <w:bodyDiv w:val="1"/>
      <w:marLeft w:val="0"/>
      <w:marRight w:val="0"/>
      <w:marTop w:val="0"/>
      <w:marBottom w:val="0"/>
      <w:divBdr>
        <w:top w:val="none" w:sz="0" w:space="0" w:color="auto"/>
        <w:left w:val="none" w:sz="0" w:space="0" w:color="auto"/>
        <w:bottom w:val="none" w:sz="0" w:space="0" w:color="auto"/>
        <w:right w:val="none" w:sz="0" w:space="0" w:color="auto"/>
      </w:divBdr>
      <w:divsChild>
        <w:div w:id="1444610304">
          <w:marLeft w:val="720"/>
          <w:marRight w:val="0"/>
          <w:marTop w:val="0"/>
          <w:marBottom w:val="0"/>
          <w:divBdr>
            <w:top w:val="none" w:sz="0" w:space="0" w:color="auto"/>
            <w:left w:val="none" w:sz="0" w:space="0" w:color="auto"/>
            <w:bottom w:val="none" w:sz="0" w:space="0" w:color="auto"/>
            <w:right w:val="none" w:sz="0" w:space="0" w:color="auto"/>
          </w:divBdr>
        </w:div>
        <w:div w:id="1675495303">
          <w:marLeft w:val="720"/>
          <w:marRight w:val="0"/>
          <w:marTop w:val="0"/>
          <w:marBottom w:val="0"/>
          <w:divBdr>
            <w:top w:val="none" w:sz="0" w:space="0" w:color="auto"/>
            <w:left w:val="none" w:sz="0" w:space="0" w:color="auto"/>
            <w:bottom w:val="none" w:sz="0" w:space="0" w:color="auto"/>
            <w:right w:val="none" w:sz="0" w:space="0" w:color="auto"/>
          </w:divBdr>
        </w:div>
      </w:divsChild>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4695478">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278190">
      <w:bodyDiv w:val="1"/>
      <w:marLeft w:val="0"/>
      <w:marRight w:val="0"/>
      <w:marTop w:val="0"/>
      <w:marBottom w:val="0"/>
      <w:divBdr>
        <w:top w:val="none" w:sz="0" w:space="0" w:color="auto"/>
        <w:left w:val="none" w:sz="0" w:space="0" w:color="auto"/>
        <w:bottom w:val="none" w:sz="0" w:space="0" w:color="auto"/>
        <w:right w:val="none" w:sz="0" w:space="0" w:color="auto"/>
      </w:divBdr>
      <w:divsChild>
        <w:div w:id="207299971">
          <w:marLeft w:val="720"/>
          <w:marRight w:val="0"/>
          <w:marTop w:val="0"/>
          <w:marBottom w:val="0"/>
          <w:divBdr>
            <w:top w:val="none" w:sz="0" w:space="0" w:color="auto"/>
            <w:left w:val="none" w:sz="0" w:space="0" w:color="auto"/>
            <w:bottom w:val="none" w:sz="0" w:space="0" w:color="auto"/>
            <w:right w:val="none" w:sz="0" w:space="0" w:color="auto"/>
          </w:divBdr>
        </w:div>
        <w:div w:id="1310666531">
          <w:marLeft w:val="720"/>
          <w:marRight w:val="0"/>
          <w:marTop w:val="0"/>
          <w:marBottom w:val="0"/>
          <w:divBdr>
            <w:top w:val="none" w:sz="0" w:space="0" w:color="auto"/>
            <w:left w:val="none" w:sz="0" w:space="0" w:color="auto"/>
            <w:bottom w:val="none" w:sz="0" w:space="0" w:color="auto"/>
            <w:right w:val="none" w:sz="0" w:space="0" w:color="auto"/>
          </w:divBdr>
        </w:div>
      </w:divsChild>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3918685">
      <w:bodyDiv w:val="1"/>
      <w:marLeft w:val="0"/>
      <w:marRight w:val="0"/>
      <w:marTop w:val="0"/>
      <w:marBottom w:val="0"/>
      <w:divBdr>
        <w:top w:val="none" w:sz="0" w:space="0" w:color="auto"/>
        <w:left w:val="none" w:sz="0" w:space="0" w:color="auto"/>
        <w:bottom w:val="none" w:sz="0" w:space="0" w:color="auto"/>
        <w:right w:val="none" w:sz="0" w:space="0" w:color="auto"/>
      </w:divBdr>
      <w:divsChild>
        <w:div w:id="1233462874">
          <w:marLeft w:val="720"/>
          <w:marRight w:val="0"/>
          <w:marTop w:val="0"/>
          <w:marBottom w:val="0"/>
          <w:divBdr>
            <w:top w:val="none" w:sz="0" w:space="0" w:color="auto"/>
            <w:left w:val="none" w:sz="0" w:space="0" w:color="auto"/>
            <w:bottom w:val="none" w:sz="0" w:space="0" w:color="auto"/>
            <w:right w:val="none" w:sz="0" w:space="0" w:color="auto"/>
          </w:divBdr>
        </w:div>
        <w:div w:id="729885015">
          <w:marLeft w:val="1440"/>
          <w:marRight w:val="0"/>
          <w:marTop w:val="0"/>
          <w:marBottom w:val="0"/>
          <w:divBdr>
            <w:top w:val="none" w:sz="0" w:space="0" w:color="auto"/>
            <w:left w:val="none" w:sz="0" w:space="0" w:color="auto"/>
            <w:bottom w:val="none" w:sz="0" w:space="0" w:color="auto"/>
            <w:right w:val="none" w:sz="0" w:space="0" w:color="auto"/>
          </w:divBdr>
        </w:div>
        <w:div w:id="817498879">
          <w:marLeft w:val="1440"/>
          <w:marRight w:val="0"/>
          <w:marTop w:val="0"/>
          <w:marBottom w:val="0"/>
          <w:divBdr>
            <w:top w:val="none" w:sz="0" w:space="0" w:color="auto"/>
            <w:left w:val="none" w:sz="0" w:space="0" w:color="auto"/>
            <w:bottom w:val="none" w:sz="0" w:space="0" w:color="auto"/>
            <w:right w:val="none" w:sz="0" w:space="0" w:color="auto"/>
          </w:divBdr>
        </w:div>
      </w:divsChild>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557614">
      <w:bodyDiv w:val="1"/>
      <w:marLeft w:val="0"/>
      <w:marRight w:val="0"/>
      <w:marTop w:val="0"/>
      <w:marBottom w:val="0"/>
      <w:divBdr>
        <w:top w:val="none" w:sz="0" w:space="0" w:color="auto"/>
        <w:left w:val="none" w:sz="0" w:space="0" w:color="auto"/>
        <w:bottom w:val="none" w:sz="0" w:space="0" w:color="auto"/>
        <w:right w:val="none" w:sz="0" w:space="0" w:color="auto"/>
      </w:divBdr>
      <w:divsChild>
        <w:div w:id="1780300182">
          <w:marLeft w:val="994"/>
          <w:marRight w:val="0"/>
          <w:marTop w:val="0"/>
          <w:marBottom w:val="0"/>
          <w:divBdr>
            <w:top w:val="none" w:sz="0" w:space="0" w:color="auto"/>
            <w:left w:val="none" w:sz="0" w:space="0" w:color="auto"/>
            <w:bottom w:val="none" w:sz="0" w:space="0" w:color="auto"/>
            <w:right w:val="none" w:sz="0" w:space="0" w:color="auto"/>
          </w:divBdr>
        </w:div>
        <w:div w:id="2006206994">
          <w:marLeft w:val="994"/>
          <w:marRight w:val="0"/>
          <w:marTop w:val="0"/>
          <w:marBottom w:val="0"/>
          <w:divBdr>
            <w:top w:val="none" w:sz="0" w:space="0" w:color="auto"/>
            <w:left w:val="none" w:sz="0" w:space="0" w:color="auto"/>
            <w:bottom w:val="none" w:sz="0" w:space="0" w:color="auto"/>
            <w:right w:val="none" w:sz="0" w:space="0" w:color="auto"/>
          </w:divBdr>
        </w:div>
        <w:div w:id="1686711827">
          <w:marLeft w:val="446"/>
          <w:marRight w:val="0"/>
          <w:marTop w:val="0"/>
          <w:marBottom w:val="60"/>
          <w:divBdr>
            <w:top w:val="none" w:sz="0" w:space="0" w:color="auto"/>
            <w:left w:val="none" w:sz="0" w:space="0" w:color="auto"/>
            <w:bottom w:val="none" w:sz="0" w:space="0" w:color="auto"/>
            <w:right w:val="none" w:sz="0" w:space="0" w:color="auto"/>
          </w:divBdr>
        </w:div>
      </w:divsChild>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6416370">
      <w:bodyDiv w:val="1"/>
      <w:marLeft w:val="0"/>
      <w:marRight w:val="0"/>
      <w:marTop w:val="0"/>
      <w:marBottom w:val="0"/>
      <w:divBdr>
        <w:top w:val="none" w:sz="0" w:space="0" w:color="auto"/>
        <w:left w:val="none" w:sz="0" w:space="0" w:color="auto"/>
        <w:bottom w:val="none" w:sz="0" w:space="0" w:color="auto"/>
        <w:right w:val="none" w:sz="0" w:space="0" w:color="auto"/>
      </w:divBdr>
      <w:divsChild>
        <w:div w:id="262037335">
          <w:marLeft w:val="446"/>
          <w:marRight w:val="0"/>
          <w:marTop w:val="0"/>
          <w:marBottom w:val="0"/>
          <w:divBdr>
            <w:top w:val="none" w:sz="0" w:space="0" w:color="auto"/>
            <w:left w:val="none" w:sz="0" w:space="0" w:color="auto"/>
            <w:bottom w:val="none" w:sz="0" w:space="0" w:color="auto"/>
            <w:right w:val="none" w:sz="0" w:space="0" w:color="auto"/>
          </w:divBdr>
        </w:div>
        <w:div w:id="1212696280">
          <w:marLeft w:val="446"/>
          <w:marRight w:val="0"/>
          <w:marTop w:val="0"/>
          <w:marBottom w:val="0"/>
          <w:divBdr>
            <w:top w:val="none" w:sz="0" w:space="0" w:color="auto"/>
            <w:left w:val="none" w:sz="0" w:space="0" w:color="auto"/>
            <w:bottom w:val="none" w:sz="0" w:space="0" w:color="auto"/>
            <w:right w:val="none" w:sz="0" w:space="0" w:color="auto"/>
          </w:divBdr>
        </w:div>
        <w:div w:id="1810320609">
          <w:marLeft w:val="446"/>
          <w:marRight w:val="0"/>
          <w:marTop w:val="0"/>
          <w:marBottom w:val="0"/>
          <w:divBdr>
            <w:top w:val="none" w:sz="0" w:space="0" w:color="auto"/>
            <w:left w:val="none" w:sz="0" w:space="0" w:color="auto"/>
            <w:bottom w:val="none" w:sz="0" w:space="0" w:color="auto"/>
            <w:right w:val="none" w:sz="0" w:space="0" w:color="auto"/>
          </w:divBdr>
        </w:div>
      </w:divsChild>
    </w:div>
    <w:div w:id="1837498972">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59654252">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1553839">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67797691">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081631491">
      <w:bodyDiv w:val="1"/>
      <w:marLeft w:val="0"/>
      <w:marRight w:val="0"/>
      <w:marTop w:val="0"/>
      <w:marBottom w:val="0"/>
      <w:divBdr>
        <w:top w:val="none" w:sz="0" w:space="0" w:color="auto"/>
        <w:left w:val="none" w:sz="0" w:space="0" w:color="auto"/>
        <w:bottom w:val="none" w:sz="0" w:space="0" w:color="auto"/>
        <w:right w:val="none" w:sz="0" w:space="0" w:color="auto"/>
      </w:divBdr>
      <w:divsChild>
        <w:div w:id="548221972">
          <w:marLeft w:val="720"/>
          <w:marRight w:val="0"/>
          <w:marTop w:val="0"/>
          <w:marBottom w:val="0"/>
          <w:divBdr>
            <w:top w:val="none" w:sz="0" w:space="0" w:color="auto"/>
            <w:left w:val="none" w:sz="0" w:space="0" w:color="auto"/>
            <w:bottom w:val="none" w:sz="0" w:space="0" w:color="auto"/>
            <w:right w:val="none" w:sz="0" w:space="0" w:color="auto"/>
          </w:divBdr>
        </w:div>
        <w:div w:id="71975658">
          <w:marLeft w:val="720"/>
          <w:marRight w:val="0"/>
          <w:marTop w:val="0"/>
          <w:marBottom w:val="0"/>
          <w:divBdr>
            <w:top w:val="none" w:sz="0" w:space="0" w:color="auto"/>
            <w:left w:val="none" w:sz="0" w:space="0" w:color="auto"/>
            <w:bottom w:val="none" w:sz="0" w:space="0" w:color="auto"/>
            <w:right w:val="none" w:sz="0" w:space="0" w:color="auto"/>
          </w:divBdr>
        </w:div>
        <w:div w:id="207837401">
          <w:marLeft w:val="720"/>
          <w:marRight w:val="0"/>
          <w:marTop w:val="0"/>
          <w:marBottom w:val="0"/>
          <w:divBdr>
            <w:top w:val="none" w:sz="0" w:space="0" w:color="auto"/>
            <w:left w:val="none" w:sz="0" w:space="0" w:color="auto"/>
            <w:bottom w:val="none" w:sz="0" w:space="0" w:color="auto"/>
            <w:right w:val="none" w:sz="0" w:space="0" w:color="auto"/>
          </w:divBdr>
        </w:div>
        <w:div w:id="877856772">
          <w:marLeft w:val="720"/>
          <w:marRight w:val="0"/>
          <w:marTop w:val="0"/>
          <w:marBottom w:val="0"/>
          <w:divBdr>
            <w:top w:val="none" w:sz="0" w:space="0" w:color="auto"/>
            <w:left w:val="none" w:sz="0" w:space="0" w:color="auto"/>
            <w:bottom w:val="none" w:sz="0" w:space="0" w:color="auto"/>
            <w:right w:val="none" w:sz="0" w:space="0" w:color="auto"/>
          </w:divBdr>
        </w:div>
      </w:divsChild>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openxmlformats.org/officeDocument/2006/relationships/hyperlink" Target="http://www.caisse-epargne.fr/" TargetMode="External"/><Relationship Id="rId26" Type="http://schemas.openxmlformats.org/officeDocument/2006/relationships/hyperlink" Target="http://commerciaux.celca.caisse-epargne.fr/download/1212/brief-hebdo-ex-celca/11152/brief-des-actualites-2018-semaine-48.docx" TargetMode="External"/><Relationship Id="rId3" Type="http://schemas.openxmlformats.org/officeDocument/2006/relationships/styles" Target="styles.xml"/><Relationship Id="rId21" Type="http://schemas.openxmlformats.org/officeDocument/2006/relationships/hyperlink" Target="https://www.dnca-investments.com/funds/dnca-invest-alpha-bonds/parts/a-lu1694789451/KIID-a-lu1694789451/download_doc_share?locale=fr-BE&amp;country_code=BE"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commerciaux.celca.caisse-epargne.fr/download/1185/assurance-auto/10850/celca_listing_contrats-provisoires_auto_prv.xlsx" TargetMode="External"/><Relationship Id="rId17" Type="http://schemas.openxmlformats.org/officeDocument/2006/relationships/hyperlink" Target="http://www.caisse-epargne.fr/" TargetMode="External"/><Relationship Id="rId25" Type="http://schemas.openxmlformats.org/officeDocument/2006/relationships/image" Target="media/image5.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aisse-epargne.fr/" TargetMode="External"/><Relationship Id="rId20" Type="http://schemas.openxmlformats.org/officeDocument/2006/relationships/hyperlink" Target="http://www.caisse-epargne.fr/" TargetMode="External"/><Relationship Id="rId29" Type="http://schemas.openxmlformats.org/officeDocument/2006/relationships/hyperlink" Target="https://www.facebook.com/Caisse.dEpargne.Grand.Est.Europ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416/campagne-jeunes-2018/11230/livrets-jeune-a-echeance-au-31-12-2018.xlsx" TargetMode="External"/><Relationship Id="rId24" Type="http://schemas.openxmlformats.org/officeDocument/2006/relationships/image" Target="media/image4.jpe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commerciaux.celca.caisse-epargne.fr/download/1529/helios-janvier-2029/10966/suivi-helios-par-agences.xlsx" TargetMode="External"/><Relationship Id="rId23" Type="http://schemas.openxmlformats.org/officeDocument/2006/relationships/image" Target="media/image3.emf"/><Relationship Id="rId28" Type="http://schemas.openxmlformats.org/officeDocument/2006/relationships/hyperlink" Target="http://service-cegee-sps/sites/refdoc/mydocs/Documents%20partages/NI-A-0036.pdf?Web=1" TargetMode="External"/><Relationship Id="rId10" Type="http://schemas.openxmlformats.org/officeDocument/2006/relationships/hyperlink" Target="http://commerciaux.celca.caisse-epargne.fr/download/1176/documents-hors-arbo-2/11223/mailing_livret_jeune_2volets_21x15.pdf" TargetMode="External"/><Relationship Id="rId19" Type="http://schemas.openxmlformats.org/officeDocument/2006/relationships/hyperlink" Target="https://www.caisse-epargne.fr/grand-est-europe/content/download/278060/4451348/ConvCIF_DispoPEA-PME_Mars2019.pdf" TargetMode="External"/><Relationship Id="rId31" Type="http://schemas.openxmlformats.org/officeDocument/2006/relationships/hyperlink" Target="http://commerciaux.celca.caisse-epargne.fr/download/1176/documents-hors-arbo-2/11173/reglement-concours-photo-pull-moche.pdf" TargetMode="External"/><Relationship Id="rId4" Type="http://schemas.microsoft.com/office/2007/relationships/stylesWithEffects" Target="stylesWithEffects.xml"/><Relationship Id="rId9" Type="http://schemas.openxmlformats.org/officeDocument/2006/relationships/hyperlink" Target="http://commerciaux.celca.caisse-epargne.fr/download/267/pel-en-non-respect/11177/pel-potentiellement-en-non-respect-du-0412-au-28122018.xlsx" TargetMode="External"/><Relationship Id="rId14" Type="http://schemas.openxmlformats.org/officeDocument/2006/relationships/image" Target="media/image2.png"/><Relationship Id="rId22" Type="http://schemas.openxmlformats.org/officeDocument/2006/relationships/hyperlink" Target="http://commerciaux.celca.caisse-epargne.fr/download/236/oav/11224/mode-op-mobilite-banque-de-depart-cloture-de-compte.pdf" TargetMode="External"/><Relationship Id="rId27" Type="http://schemas.openxmlformats.org/officeDocument/2006/relationships/hyperlink" Target="http://commerciaux.celca.caisse-epargne.fr/global-bdd/multicanal/multicanal/" TargetMode="External"/><Relationship Id="rId30" Type="http://schemas.openxmlformats.org/officeDocument/2006/relationships/hyperlink" Target="https://www.caisse-epargne.fr/da/file/fre-LA/427664"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28E30-AB2A-4D55-92D2-6C2BA0BA3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988</TotalTime>
  <Pages>1</Pages>
  <Words>2394</Words>
  <Characters>13167</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15530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41</cp:revision>
  <cp:lastPrinted>2018-10-26T12:32:00Z</cp:lastPrinted>
  <dcterms:created xsi:type="dcterms:W3CDTF">2018-10-19T13:31:00Z</dcterms:created>
  <dcterms:modified xsi:type="dcterms:W3CDTF">2018-12-04T11:13:00Z</dcterms:modified>
</cp:coreProperties>
</file>