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681C34">
              <w:rPr>
                <w:rFonts w:ascii="Times New Roman" w:hAnsi="Times New Roman" w:cs="Times New Roman"/>
                <w:b/>
                <w:sz w:val="32"/>
                <w:szCs w:val="40"/>
              </w:rPr>
              <w:t>5</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804B97" w:rsidRPr="00E81F6E" w:rsidTr="00AF3BE3">
        <w:trPr>
          <w:trHeight w:val="169"/>
        </w:trPr>
        <w:tc>
          <w:tcPr>
            <w:tcW w:w="1560" w:type="dxa"/>
            <w:tcBorders>
              <w:bottom w:val="single" w:sz="4" w:space="0" w:color="auto"/>
            </w:tcBorders>
            <w:shd w:val="clear" w:color="auto" w:fill="FFFFFF" w:themeFill="background1"/>
          </w:tcPr>
          <w:p w:rsidR="00804B97" w:rsidRPr="00804B97" w:rsidRDefault="00804B97" w:rsidP="00B60E23">
            <w:pPr>
              <w:rPr>
                <w:rFonts w:ascii="Times New Roman" w:hAnsi="Times New Roman" w:cs="Times New Roman"/>
                <w:sz w:val="20"/>
                <w:szCs w:val="20"/>
              </w:rPr>
            </w:pPr>
            <w:r w:rsidRPr="00804B97">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804B97" w:rsidRPr="00804B97" w:rsidRDefault="00804B97">
            <w:pPr>
              <w:rPr>
                <w:rFonts w:ascii="Times New Roman" w:hAnsi="Times New Roman" w:cs="Times New Roman"/>
                <w:b/>
                <w:bCs/>
                <w:color w:val="000000"/>
                <w:sz w:val="20"/>
                <w:szCs w:val="20"/>
              </w:rPr>
            </w:pPr>
            <w:r w:rsidRPr="00804B97">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804B97" w:rsidRPr="00804B97" w:rsidRDefault="00891726" w:rsidP="00804B97">
            <w:pPr>
              <w:numPr>
                <w:ilvl w:val="0"/>
                <w:numId w:val="38"/>
              </w:numPr>
              <w:ind w:left="176" w:hanging="176"/>
              <w:contextualSpacing/>
              <w:jc w:val="both"/>
              <w:rPr>
                <w:rFonts w:ascii="Times New Roman" w:hAnsi="Times New Roman" w:cs="Times New Roman"/>
                <w:b/>
                <w:bCs/>
                <w:color w:val="000000"/>
                <w:sz w:val="20"/>
                <w:szCs w:val="20"/>
              </w:rPr>
            </w:pPr>
            <w:hyperlink r:id="rId9" w:history="1">
              <w:r w:rsidR="00804B97" w:rsidRPr="00804B97">
                <w:rPr>
                  <w:rStyle w:val="Lienhypertexte"/>
                  <w:rFonts w:ascii="Times New Roman" w:hAnsi="Times New Roman" w:cs="Times New Roman"/>
                  <w:color w:val="000000"/>
                  <w:sz w:val="20"/>
                  <w:szCs w:val="20"/>
                  <w:lang w:eastAsia="fr-FR"/>
                </w:rPr>
                <w:t>CLIQUEZ ICI</w:t>
              </w:r>
            </w:hyperlink>
            <w:r w:rsidR="00804B97" w:rsidRPr="00804B97">
              <w:rPr>
                <w:rFonts w:ascii="Times New Roman" w:hAnsi="Times New Roman" w:cs="Times New Roman"/>
                <w:color w:val="000000"/>
                <w:sz w:val="20"/>
                <w:szCs w:val="20"/>
                <w:lang w:eastAsia="fr-FR"/>
              </w:rPr>
              <w:t xml:space="preserve"> pour accéder à la liste des PEL potentiellement en non-respect arrêté au 28 janvier 2018 qui seront clôturés à J+1 de la date anniversaire (volumétrie 718 clients)</w:t>
            </w:r>
            <w:r w:rsidR="00804B97">
              <w:rPr>
                <w:rFonts w:ascii="Times New Roman" w:hAnsi="Times New Roman" w:cs="Times New Roman"/>
                <w:color w:val="000000"/>
                <w:sz w:val="20"/>
                <w:szCs w:val="20"/>
                <w:lang w:eastAsia="fr-FR"/>
              </w:rPr>
              <w:t>.</w:t>
            </w:r>
          </w:p>
        </w:tc>
      </w:tr>
      <w:tr w:rsidR="00804B97" w:rsidRPr="00E81F6E" w:rsidTr="00AF3BE3">
        <w:trPr>
          <w:trHeight w:val="334"/>
        </w:trPr>
        <w:tc>
          <w:tcPr>
            <w:tcW w:w="1560" w:type="dxa"/>
            <w:tcBorders>
              <w:bottom w:val="single" w:sz="4" w:space="0" w:color="auto"/>
            </w:tcBorders>
            <w:shd w:val="clear" w:color="auto" w:fill="FFFFFF" w:themeFill="background1"/>
          </w:tcPr>
          <w:p w:rsidR="00804B97" w:rsidRPr="00804B97" w:rsidRDefault="00804B97" w:rsidP="00B60E23">
            <w:pPr>
              <w:rPr>
                <w:rFonts w:ascii="Times New Roman" w:hAnsi="Times New Roman" w:cs="Times New Roman"/>
                <w:sz w:val="20"/>
                <w:szCs w:val="20"/>
              </w:rPr>
            </w:pPr>
            <w:r w:rsidRPr="00804B97">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804B97" w:rsidRPr="00804B97" w:rsidRDefault="00804B97">
            <w:pPr>
              <w:rPr>
                <w:rFonts w:ascii="Times New Roman" w:hAnsi="Times New Roman" w:cs="Times New Roman"/>
                <w:b/>
                <w:bCs/>
                <w:color w:val="000000"/>
                <w:sz w:val="20"/>
                <w:szCs w:val="20"/>
              </w:rPr>
            </w:pPr>
            <w:r w:rsidRPr="00804B97">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804B97" w:rsidRPr="00804B97" w:rsidRDefault="00891726" w:rsidP="00804B97">
            <w:pPr>
              <w:numPr>
                <w:ilvl w:val="0"/>
                <w:numId w:val="38"/>
              </w:numPr>
              <w:ind w:left="176" w:hanging="176"/>
              <w:contextualSpacing/>
              <w:jc w:val="both"/>
              <w:rPr>
                <w:rFonts w:ascii="Times New Roman" w:hAnsi="Times New Roman" w:cs="Times New Roman"/>
                <w:color w:val="000000"/>
                <w:sz w:val="20"/>
                <w:szCs w:val="20"/>
                <w:lang w:eastAsia="fr-FR"/>
              </w:rPr>
            </w:pPr>
            <w:hyperlink r:id="rId10" w:history="1">
              <w:r w:rsidR="00804B97" w:rsidRPr="00804B97">
                <w:rPr>
                  <w:rStyle w:val="Lienhypertexte"/>
                  <w:rFonts w:ascii="Times New Roman" w:hAnsi="Times New Roman" w:cs="Times New Roman"/>
                  <w:color w:val="000000"/>
                  <w:sz w:val="20"/>
                  <w:szCs w:val="20"/>
                  <w:lang w:eastAsia="fr-FR"/>
                </w:rPr>
                <w:t>CLIQUEZ ICI</w:t>
              </w:r>
            </w:hyperlink>
            <w:r w:rsidR="00804B97" w:rsidRPr="00804B97">
              <w:rPr>
                <w:rFonts w:ascii="Times New Roman" w:hAnsi="Times New Roman" w:cs="Times New Roman"/>
                <w:color w:val="000000"/>
                <w:sz w:val="20"/>
                <w:szCs w:val="20"/>
                <w:lang w:eastAsia="fr-FR"/>
              </w:rPr>
              <w:t xml:space="preserve"> pour accéder au fichier Lutte anti-résiliation IARD arrêté au 8 janvier 2018 (volumétrie 115 clients). </w:t>
            </w:r>
          </w:p>
        </w:tc>
      </w:tr>
      <w:tr w:rsidR="00804B97" w:rsidRPr="00E81F6E" w:rsidTr="00AF3BE3">
        <w:trPr>
          <w:trHeight w:val="365"/>
        </w:trPr>
        <w:tc>
          <w:tcPr>
            <w:tcW w:w="1560" w:type="dxa"/>
            <w:tcBorders>
              <w:bottom w:val="single" w:sz="4" w:space="0" w:color="auto"/>
            </w:tcBorders>
            <w:shd w:val="clear" w:color="auto" w:fill="FFFFFF" w:themeFill="background1"/>
          </w:tcPr>
          <w:p w:rsidR="00804B97" w:rsidRPr="00804B97" w:rsidRDefault="00804B97" w:rsidP="00B60E23">
            <w:pPr>
              <w:rPr>
                <w:rFonts w:ascii="Times New Roman" w:hAnsi="Times New Roman" w:cs="Times New Roman"/>
                <w:b/>
                <w:bCs/>
                <w:sz w:val="20"/>
                <w:szCs w:val="20"/>
              </w:rPr>
            </w:pPr>
            <w:r w:rsidRPr="00804B97">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804B97" w:rsidRPr="00804B97" w:rsidRDefault="00804B97">
            <w:pPr>
              <w:rPr>
                <w:rFonts w:ascii="Times New Roman" w:hAnsi="Times New Roman" w:cs="Times New Roman"/>
                <w:b/>
                <w:bCs/>
                <w:color w:val="000000"/>
                <w:sz w:val="20"/>
                <w:szCs w:val="20"/>
              </w:rPr>
            </w:pPr>
            <w:r w:rsidRPr="00804B97">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804B97" w:rsidRPr="00804B97" w:rsidRDefault="00891726" w:rsidP="00804B97">
            <w:pPr>
              <w:numPr>
                <w:ilvl w:val="0"/>
                <w:numId w:val="38"/>
              </w:numPr>
              <w:ind w:left="176" w:hanging="176"/>
              <w:contextualSpacing/>
              <w:jc w:val="both"/>
              <w:rPr>
                <w:rFonts w:ascii="Times New Roman" w:hAnsi="Times New Roman" w:cs="Times New Roman"/>
                <w:color w:val="000000"/>
                <w:sz w:val="20"/>
                <w:szCs w:val="20"/>
                <w:lang w:eastAsia="fr-FR"/>
              </w:rPr>
            </w:pPr>
            <w:hyperlink r:id="rId11" w:history="1">
              <w:r w:rsidR="00804B97" w:rsidRPr="00804B97">
                <w:rPr>
                  <w:rStyle w:val="Lienhypertexte"/>
                  <w:rFonts w:ascii="Times New Roman" w:hAnsi="Times New Roman" w:cs="Times New Roman"/>
                  <w:color w:val="000000"/>
                  <w:sz w:val="20"/>
                  <w:szCs w:val="20"/>
                  <w:lang w:eastAsia="fr-FR"/>
                </w:rPr>
                <w:t>CLIQUEZ ICI</w:t>
              </w:r>
            </w:hyperlink>
            <w:r w:rsidR="00804B97" w:rsidRPr="00804B97">
              <w:rPr>
                <w:rFonts w:ascii="Times New Roman" w:hAnsi="Times New Roman" w:cs="Times New Roman"/>
                <w:color w:val="000000"/>
                <w:sz w:val="20"/>
                <w:szCs w:val="20"/>
                <w:lang w:eastAsia="fr-FR"/>
              </w:rPr>
              <w:t xml:space="preserve"> pour accéder au fichier de surveillance IARD de février et mars 2018 (volumétrie 189 clients).</w:t>
            </w:r>
          </w:p>
        </w:tc>
      </w:tr>
      <w:tr w:rsidR="008E70C6" w:rsidRPr="00E81F6E" w:rsidTr="00AF3BE3">
        <w:trPr>
          <w:trHeight w:val="169"/>
        </w:trPr>
        <w:tc>
          <w:tcPr>
            <w:tcW w:w="1560" w:type="dxa"/>
            <w:tcBorders>
              <w:bottom w:val="single" w:sz="4" w:space="0" w:color="auto"/>
            </w:tcBorders>
            <w:shd w:val="clear" w:color="auto" w:fill="FFFFFF" w:themeFill="background1"/>
          </w:tcPr>
          <w:p w:rsidR="008E70C6" w:rsidRPr="002444C2" w:rsidRDefault="008E70C6" w:rsidP="00B60E23">
            <w:pPr>
              <w:rPr>
                <w:rFonts w:ascii="Times New Roman" w:hAnsi="Times New Roman" w:cs="Times New Roman"/>
                <w:b/>
                <w:bCs/>
                <w:sz w:val="20"/>
                <w:szCs w:val="20"/>
              </w:rPr>
            </w:pPr>
            <w:r w:rsidRPr="002444C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8E70C6" w:rsidRPr="002444C2" w:rsidRDefault="008E70C6">
            <w:pPr>
              <w:spacing w:after="200" w:line="276" w:lineRule="auto"/>
              <w:rPr>
                <w:rFonts w:ascii="Times New Roman" w:hAnsi="Times New Roman" w:cs="Times New Roman"/>
                <w:b/>
                <w:bCs/>
                <w:sz w:val="20"/>
                <w:szCs w:val="20"/>
              </w:rPr>
            </w:pPr>
            <w:r w:rsidRPr="002444C2">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8E70C6" w:rsidRPr="002444C2" w:rsidRDefault="00891726" w:rsidP="008E70C6">
            <w:pPr>
              <w:numPr>
                <w:ilvl w:val="0"/>
                <w:numId w:val="18"/>
              </w:numPr>
              <w:spacing w:after="200" w:line="276" w:lineRule="auto"/>
              <w:ind w:left="176" w:hanging="176"/>
              <w:contextualSpacing/>
              <w:jc w:val="both"/>
              <w:rPr>
                <w:rFonts w:ascii="Times New Roman" w:hAnsi="Times New Roman" w:cs="Times New Roman"/>
                <w:sz w:val="20"/>
                <w:szCs w:val="20"/>
                <w:lang w:eastAsia="fr-FR"/>
              </w:rPr>
            </w:pPr>
            <w:hyperlink r:id="rId12" w:history="1">
              <w:r w:rsidR="002444C2" w:rsidRPr="002444C2">
                <w:rPr>
                  <w:rStyle w:val="Lienhypertexte"/>
                  <w:rFonts w:ascii="Times New Roman" w:hAnsi="Times New Roman" w:cs="Times New Roman"/>
                  <w:sz w:val="20"/>
                  <w:szCs w:val="20"/>
                  <w:lang w:eastAsia="fr-FR"/>
                </w:rPr>
                <w:t>CLIQUEZ ICI</w:t>
              </w:r>
            </w:hyperlink>
            <w:r w:rsidR="002444C2" w:rsidRPr="002444C2">
              <w:rPr>
                <w:rFonts w:ascii="Times New Roman" w:hAnsi="Times New Roman" w:cs="Times New Roman"/>
                <w:sz w:val="20"/>
                <w:szCs w:val="20"/>
                <w:lang w:eastAsia="fr-FR"/>
              </w:rPr>
              <w:t xml:space="preserve"> pour trouver le fichier des IZICARTES en attente de saisie d’une date de signature (volumétrie : 269 cartes en attente). Tant que les 2 étapes « mise en force » et « saisie la date de signature » ne seront pas faites, nos clients ne recevront pas leur carte.</w:t>
            </w:r>
          </w:p>
        </w:tc>
      </w:tr>
      <w:tr w:rsidR="008103A8" w:rsidRPr="00E81F6E" w:rsidTr="00AF3BE3">
        <w:trPr>
          <w:trHeight w:val="169"/>
        </w:trPr>
        <w:tc>
          <w:tcPr>
            <w:tcW w:w="1560" w:type="dxa"/>
            <w:tcBorders>
              <w:bottom w:val="single" w:sz="4" w:space="0" w:color="auto"/>
            </w:tcBorders>
            <w:shd w:val="clear" w:color="auto" w:fill="FFFFFF" w:themeFill="background1"/>
          </w:tcPr>
          <w:p w:rsidR="008103A8" w:rsidRPr="007F31D6" w:rsidRDefault="008103A8" w:rsidP="008103A8">
            <w:pPr>
              <w:rPr>
                <w:rFonts w:ascii="Times New Roman" w:hAnsi="Times New Roman" w:cs="Times New Roman"/>
                <w:b/>
                <w:bCs/>
                <w:sz w:val="20"/>
                <w:szCs w:val="20"/>
              </w:rPr>
            </w:pPr>
            <w:r w:rsidRPr="007F31D6">
              <w:rPr>
                <w:rFonts w:ascii="Times New Roman" w:hAnsi="Times New Roman" w:cs="Times New Roman"/>
                <w:b/>
                <w:bCs/>
                <w:sz w:val="20"/>
                <w:szCs w:val="20"/>
              </w:rPr>
              <w:t>Com. DSB</w:t>
            </w:r>
          </w:p>
        </w:tc>
        <w:tc>
          <w:tcPr>
            <w:tcW w:w="1843" w:type="dxa"/>
            <w:tcBorders>
              <w:bottom w:val="single" w:sz="4" w:space="0" w:color="auto"/>
            </w:tcBorders>
            <w:shd w:val="clear" w:color="auto" w:fill="FFFFFF" w:themeFill="background1"/>
          </w:tcPr>
          <w:p w:rsidR="008103A8" w:rsidRPr="007F31D6" w:rsidRDefault="008103A8" w:rsidP="008103A8">
            <w:pPr>
              <w:rPr>
                <w:rFonts w:ascii="Times New Roman" w:hAnsi="Times New Roman" w:cs="Times New Roman"/>
                <w:b/>
                <w:bCs/>
                <w:color w:val="000000"/>
                <w:sz w:val="20"/>
                <w:szCs w:val="20"/>
              </w:rPr>
            </w:pPr>
            <w:r w:rsidRPr="007F31D6">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8103A8" w:rsidRPr="007F31D6" w:rsidRDefault="008103A8" w:rsidP="008103A8">
            <w:pPr>
              <w:numPr>
                <w:ilvl w:val="0"/>
                <w:numId w:val="25"/>
              </w:numPr>
              <w:ind w:left="176" w:hanging="176"/>
              <w:contextualSpacing/>
              <w:jc w:val="both"/>
              <w:rPr>
                <w:rFonts w:ascii="Times New Roman" w:hAnsi="Times New Roman" w:cs="Times New Roman"/>
                <w:color w:val="000000"/>
                <w:sz w:val="20"/>
                <w:szCs w:val="20"/>
              </w:rPr>
            </w:pPr>
            <w:r w:rsidRPr="007F31D6">
              <w:rPr>
                <w:rFonts w:ascii="Times New Roman" w:hAnsi="Times New Roman" w:cs="Times New Roman"/>
                <w:color w:val="000000"/>
                <w:sz w:val="20"/>
                <w:szCs w:val="20"/>
                <w:lang w:eastAsia="fr-FR"/>
              </w:rPr>
              <w:t xml:space="preserve">Comme indiqué dans la note </w:t>
            </w:r>
            <w:hyperlink r:id="rId13" w:history="1">
              <w:r w:rsidRPr="007F31D6">
                <w:rPr>
                  <w:rStyle w:val="Lienhypertexte"/>
                  <w:rFonts w:ascii="Times New Roman" w:hAnsi="Times New Roman" w:cs="Times New Roman"/>
                  <w:color w:val="000000"/>
                  <w:sz w:val="20"/>
                  <w:szCs w:val="20"/>
                  <w:lang w:eastAsia="fr-FR"/>
                </w:rPr>
                <w:t>DSB INF17/05</w:t>
              </w:r>
            </w:hyperlink>
            <w:r w:rsidRPr="007F31D6">
              <w:rPr>
                <w:rFonts w:ascii="Times New Roman" w:hAnsi="Times New Roman" w:cs="Times New Roman"/>
                <w:color w:val="000000"/>
                <w:sz w:val="20"/>
                <w:szCs w:val="20"/>
                <w:lang w:eastAsia="fr-FR"/>
              </w:rPr>
              <w:t xml:space="preserve">, vous trouverez </w:t>
            </w:r>
            <w:r w:rsidRPr="007F31D6">
              <w:rPr>
                <w:rFonts w:ascii="Times New Roman" w:hAnsi="Times New Roman" w:cs="Times New Roman"/>
                <w:b/>
                <w:color w:val="000000"/>
                <w:sz w:val="20"/>
                <w:szCs w:val="20"/>
                <w:lang w:eastAsia="fr-FR"/>
              </w:rPr>
              <w:t xml:space="preserve">la liste des Livrets A ouverts en décembre suite à clôture à la concurrence en </w:t>
            </w:r>
            <w:hyperlink r:id="rId14" w:history="1">
              <w:r w:rsidRPr="007F31D6">
                <w:rPr>
                  <w:rStyle w:val="Lienhypertexte"/>
                  <w:rFonts w:ascii="Times New Roman" w:hAnsi="Times New Roman" w:cs="Times New Roman"/>
                  <w:b/>
                  <w:color w:val="000000"/>
                  <w:sz w:val="20"/>
                  <w:szCs w:val="20"/>
                  <w:lang w:eastAsia="fr-FR"/>
                </w:rPr>
                <w:t>cliquant ici</w:t>
              </w:r>
            </w:hyperlink>
            <w:r w:rsidRPr="007F31D6">
              <w:rPr>
                <w:rFonts w:ascii="Times New Roman" w:hAnsi="Times New Roman" w:cs="Times New Roman"/>
                <w:b/>
                <w:color w:val="000000"/>
                <w:sz w:val="20"/>
                <w:szCs w:val="20"/>
                <w:lang w:eastAsia="fr-FR"/>
              </w:rPr>
              <w:t xml:space="preserve"> (274 clients).</w:t>
            </w:r>
            <w:r w:rsidRPr="007F31D6">
              <w:rPr>
                <w:rFonts w:ascii="Times New Roman" w:hAnsi="Times New Roman" w:cs="Times New Roman"/>
                <w:color w:val="000000"/>
                <w:sz w:val="20"/>
                <w:szCs w:val="20"/>
                <w:lang w:eastAsia="fr-FR"/>
              </w:rPr>
              <w:t xml:space="preserve"> </w:t>
            </w:r>
          </w:p>
        </w:tc>
      </w:tr>
      <w:tr w:rsidR="008103A8" w:rsidRPr="00E81F6E" w:rsidTr="00AF3BE3">
        <w:trPr>
          <w:trHeight w:val="515"/>
        </w:trPr>
        <w:tc>
          <w:tcPr>
            <w:tcW w:w="1560" w:type="dxa"/>
            <w:tcBorders>
              <w:bottom w:val="single" w:sz="4" w:space="0" w:color="auto"/>
            </w:tcBorders>
            <w:shd w:val="clear" w:color="auto" w:fill="FFFFFF" w:themeFill="background1"/>
          </w:tcPr>
          <w:p w:rsidR="008103A8" w:rsidRPr="0059761E" w:rsidRDefault="008103A8" w:rsidP="008103A8">
            <w:pPr>
              <w:rPr>
                <w:rFonts w:ascii="Times New Roman" w:hAnsi="Times New Roman" w:cs="Times New Roman"/>
                <w:b/>
                <w:bCs/>
                <w:sz w:val="20"/>
                <w:szCs w:val="20"/>
              </w:rPr>
            </w:pPr>
            <w:r w:rsidRPr="0059761E">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8103A8" w:rsidRPr="0059761E" w:rsidRDefault="008103A8" w:rsidP="008103A8">
            <w:pPr>
              <w:rPr>
                <w:rFonts w:ascii="Times New Roman" w:hAnsi="Times New Roman" w:cs="Times New Roman"/>
                <w:b/>
                <w:bCs/>
                <w:sz w:val="20"/>
                <w:szCs w:val="20"/>
              </w:rPr>
            </w:pPr>
            <w:r w:rsidRPr="0059761E">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8103A8" w:rsidRPr="002444C2" w:rsidRDefault="00891726" w:rsidP="008103A8">
            <w:pPr>
              <w:numPr>
                <w:ilvl w:val="0"/>
                <w:numId w:val="25"/>
              </w:numPr>
              <w:ind w:left="176" w:hanging="176"/>
              <w:contextualSpacing/>
              <w:jc w:val="both"/>
              <w:rPr>
                <w:rFonts w:ascii="Times New Roman" w:hAnsi="Times New Roman" w:cs="Times New Roman"/>
                <w:strike/>
                <w:sz w:val="20"/>
                <w:szCs w:val="20"/>
                <w:lang w:eastAsia="fr-FR"/>
              </w:rPr>
            </w:pPr>
            <w:hyperlink r:id="rId15" w:history="1">
              <w:r w:rsidR="0059761E">
                <w:rPr>
                  <w:rStyle w:val="Lienhypertexte"/>
                  <w:rFonts w:ascii="Times New Roman" w:hAnsi="Times New Roman" w:cs="Times New Roman"/>
                  <w:sz w:val="20"/>
                  <w:szCs w:val="20"/>
                  <w:lang w:eastAsia="fr-FR"/>
                </w:rPr>
                <w:t>CLIQUEZ ICI</w:t>
              </w:r>
            </w:hyperlink>
            <w:r w:rsidR="0059761E">
              <w:rPr>
                <w:rStyle w:val="Lienhypertexte"/>
                <w:rFonts w:ascii="Times New Roman" w:hAnsi="Times New Roman" w:cs="Times New Roman"/>
                <w:sz w:val="20"/>
                <w:szCs w:val="20"/>
                <w:lang w:eastAsia="fr-FR"/>
              </w:rPr>
              <w:t xml:space="preserve"> </w:t>
            </w:r>
            <w:r w:rsidR="0059761E">
              <w:rPr>
                <w:rFonts w:ascii="Times New Roman" w:hAnsi="Times New Roman" w:cs="Times New Roman"/>
                <w:sz w:val="20"/>
                <w:szCs w:val="20"/>
                <w:lang w:eastAsia="fr-FR"/>
              </w:rPr>
              <w:t>pour trouver</w:t>
            </w:r>
            <w:r w:rsidR="00832B1B">
              <w:rPr>
                <w:rFonts w:ascii="Times New Roman" w:hAnsi="Times New Roman" w:cs="Times New Roman"/>
                <w:sz w:val="20"/>
                <w:szCs w:val="20"/>
                <w:lang w:eastAsia="fr-FR"/>
              </w:rPr>
              <w:t xml:space="preserve"> </w:t>
            </w:r>
            <w:r w:rsidR="0059761E">
              <w:rPr>
                <w:rFonts w:ascii="Times New Roman" w:hAnsi="Times New Roman" w:cs="Times New Roman"/>
                <w:sz w:val="20"/>
                <w:szCs w:val="20"/>
                <w:lang w:eastAsia="fr-FR"/>
              </w:rPr>
              <w:t xml:space="preserve">la liste des dossiers Domilis à initier, qui sont pour l’heure en échec suite au rejet des mandats (volumétrie : 453 mandats au 29 janvier 2018) </w:t>
            </w:r>
            <w:hyperlink r:id="rId16" w:history="1">
              <w:r w:rsidR="0059761E">
                <w:rPr>
                  <w:rStyle w:val="Lienhypertexte"/>
                  <w:rFonts w:ascii="Times New Roman" w:hAnsi="Times New Roman" w:cs="Times New Roman"/>
                  <w:sz w:val="20"/>
                  <w:szCs w:val="20"/>
                  <w:lang w:eastAsia="fr-FR"/>
                </w:rPr>
                <w:t>CLIQUEZ ICI</w:t>
              </w:r>
            </w:hyperlink>
            <w:r w:rsidR="0059761E">
              <w:rPr>
                <w:rFonts w:ascii="Times New Roman" w:hAnsi="Times New Roman" w:cs="Times New Roman"/>
                <w:sz w:val="20"/>
                <w:szCs w:val="20"/>
                <w:lang w:eastAsia="fr-FR"/>
              </w:rPr>
              <w:t xml:space="preserve"> pour accéder au mode opératoire.</w:t>
            </w:r>
          </w:p>
        </w:tc>
      </w:tr>
      <w:tr w:rsidR="00A62E1D" w:rsidRPr="00E81F6E" w:rsidTr="00681C34">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681C34" w:rsidRPr="00E81F6E" w:rsidTr="00681C34">
        <w:trPr>
          <w:trHeight w:val="201"/>
        </w:trPr>
        <w:tc>
          <w:tcPr>
            <w:tcW w:w="15735" w:type="dxa"/>
            <w:gridSpan w:val="3"/>
            <w:tcBorders>
              <w:bottom w:val="single" w:sz="4" w:space="0" w:color="auto"/>
            </w:tcBorders>
            <w:shd w:val="clear" w:color="auto" w:fill="auto"/>
            <w:vAlign w:val="center"/>
          </w:tcPr>
          <w:p w:rsidR="00681C34" w:rsidRPr="00680235" w:rsidRDefault="00681C34" w:rsidP="00681C34">
            <w:pPr>
              <w:pStyle w:val="wordsection1"/>
              <w:numPr>
                <w:ilvl w:val="0"/>
                <w:numId w:val="26"/>
              </w:numPr>
              <w:spacing w:before="0" w:beforeAutospacing="0" w:after="0" w:afterAutospacing="0"/>
              <w:ind w:left="187" w:hanging="187"/>
              <w:jc w:val="both"/>
              <w:rPr>
                <w:b/>
                <w:sz w:val="20"/>
                <w:szCs w:val="20"/>
              </w:rPr>
            </w:pPr>
            <w:r w:rsidRPr="00680235">
              <w:rPr>
                <w:b/>
                <w:sz w:val="20"/>
                <w:szCs w:val="20"/>
              </w:rPr>
              <w:t>C’est nouveau !!</w:t>
            </w:r>
          </w:p>
          <w:p w:rsidR="00681C34" w:rsidRPr="00680235" w:rsidRDefault="003167C6" w:rsidP="006E3E6F">
            <w:pPr>
              <w:pStyle w:val="Paragraphedeliste"/>
              <w:numPr>
                <w:ilvl w:val="0"/>
                <w:numId w:val="7"/>
              </w:numPr>
              <w:ind w:left="187" w:hanging="187"/>
              <w:jc w:val="both"/>
              <w:rPr>
                <w:rFonts w:ascii="Times New Roman" w:hAnsi="Times New Roman" w:cs="Times New Roman"/>
                <w:sz w:val="20"/>
                <w:szCs w:val="20"/>
                <w:lang w:eastAsia="fr-FR"/>
              </w:rPr>
            </w:pPr>
            <w:r w:rsidRPr="00680235">
              <w:rPr>
                <w:rFonts w:ascii="Times New Roman" w:hAnsi="Times New Roman" w:cs="Times New Roman"/>
                <w:noProof/>
                <w:sz w:val="20"/>
                <w:szCs w:val="20"/>
                <w:lang w:eastAsia="fr-FR"/>
              </w:rPr>
              <w:drawing>
                <wp:anchor distT="0" distB="0" distL="114300" distR="114300" simplePos="0" relativeHeight="251660288" behindDoc="0" locked="0" layoutInCell="1" allowOverlap="1" wp14:anchorId="767D29E1" wp14:editId="3ABCA6AF">
                  <wp:simplePos x="0" y="0"/>
                  <wp:positionH relativeFrom="column">
                    <wp:posOffset>8209915</wp:posOffset>
                  </wp:positionH>
                  <wp:positionV relativeFrom="paragraph">
                    <wp:posOffset>235585</wp:posOffset>
                  </wp:positionV>
                  <wp:extent cx="1311910" cy="450215"/>
                  <wp:effectExtent l="0" t="0" r="2540" b="698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11910" cy="450215"/>
                          </a:xfrm>
                          <a:prstGeom prst="rect">
                            <a:avLst/>
                          </a:prstGeom>
                        </pic:spPr>
                      </pic:pic>
                    </a:graphicData>
                  </a:graphic>
                  <wp14:sizeRelH relativeFrom="page">
                    <wp14:pctWidth>0</wp14:pctWidth>
                  </wp14:sizeRelH>
                  <wp14:sizeRelV relativeFrom="page">
                    <wp14:pctHeight>0</wp14:pctHeight>
                  </wp14:sizeRelV>
                </wp:anchor>
              </w:drawing>
            </w:r>
            <w:r w:rsidR="006E3E6F" w:rsidRPr="00680235">
              <w:rPr>
                <w:rFonts w:ascii="Times New Roman" w:hAnsi="Times New Roman" w:cs="Times New Roman"/>
                <w:b/>
                <w:color w:val="31849B" w:themeColor="accent5" w:themeShade="BF"/>
                <w:sz w:val="20"/>
                <w:szCs w:val="20"/>
                <w:lang w:eastAsia="fr-FR"/>
              </w:rPr>
              <w:t>Pour vous permettre de retrouver rapidement une info passée dans un brief, Retrouvez le « Tableau récapitulatif des sujets 2018 »</w:t>
            </w:r>
            <w:r w:rsidR="006E3E6F" w:rsidRPr="00680235">
              <w:rPr>
                <w:rFonts w:ascii="Times New Roman" w:hAnsi="Times New Roman" w:cs="Times New Roman"/>
                <w:color w:val="31849B" w:themeColor="accent5" w:themeShade="BF"/>
                <w:sz w:val="20"/>
                <w:szCs w:val="20"/>
                <w:lang w:eastAsia="fr-FR"/>
              </w:rPr>
              <w:t xml:space="preserve"> </w:t>
            </w:r>
            <w:r w:rsidR="006E3E6F" w:rsidRPr="00680235">
              <w:rPr>
                <w:rFonts w:ascii="Times New Roman" w:hAnsi="Times New Roman" w:cs="Times New Roman"/>
                <w:sz w:val="20"/>
                <w:szCs w:val="20"/>
                <w:lang w:eastAsia="fr-FR"/>
              </w:rPr>
              <w:t>dans votre espace Brief Hebdo / « Accédez aux briefs précédents » / Tableau récapitulatif des sujets 2018 (</w:t>
            </w:r>
            <w:hyperlink r:id="rId18" w:history="1">
              <w:r w:rsidR="006E3E6F" w:rsidRPr="00680235">
                <w:rPr>
                  <w:rStyle w:val="Lienhypertexte"/>
                  <w:rFonts w:ascii="Times New Roman" w:hAnsi="Times New Roman" w:cs="Times New Roman"/>
                  <w:sz w:val="20"/>
                  <w:szCs w:val="20"/>
                  <w:lang w:eastAsia="fr-FR"/>
                </w:rPr>
                <w:t>cliquez ici</w:t>
              </w:r>
            </w:hyperlink>
            <w:r w:rsidR="006E3E6F" w:rsidRPr="00680235">
              <w:rPr>
                <w:rFonts w:ascii="Times New Roman" w:hAnsi="Times New Roman" w:cs="Times New Roman"/>
                <w:sz w:val="20"/>
                <w:szCs w:val="20"/>
                <w:lang w:eastAsia="fr-FR"/>
              </w:rPr>
              <w:t xml:space="preserve">). </w:t>
            </w:r>
          </w:p>
          <w:p w:rsidR="006E3E6F" w:rsidRPr="00680235" w:rsidRDefault="006E3E6F" w:rsidP="006E3E6F">
            <w:pPr>
              <w:pStyle w:val="Paragraphedeliste"/>
              <w:numPr>
                <w:ilvl w:val="0"/>
                <w:numId w:val="7"/>
              </w:numPr>
              <w:ind w:left="187" w:hanging="187"/>
              <w:jc w:val="both"/>
              <w:rPr>
                <w:rFonts w:ascii="Times New Roman" w:hAnsi="Times New Roman" w:cs="Times New Roman"/>
                <w:b/>
                <w:color w:val="31849B" w:themeColor="accent5" w:themeShade="BF"/>
                <w:sz w:val="20"/>
                <w:szCs w:val="20"/>
                <w:lang w:eastAsia="fr-FR"/>
              </w:rPr>
            </w:pPr>
            <w:r w:rsidRPr="00680235">
              <w:rPr>
                <w:rFonts w:ascii="Times New Roman" w:hAnsi="Times New Roman" w:cs="Times New Roman"/>
                <w:b/>
                <w:color w:val="31849B" w:themeColor="accent5" w:themeShade="BF"/>
                <w:sz w:val="20"/>
                <w:szCs w:val="20"/>
                <w:lang w:eastAsia="fr-FR"/>
              </w:rPr>
              <w:t xml:space="preserve">Deux astuces pour retrouver votre info : </w:t>
            </w:r>
          </w:p>
          <w:p w:rsidR="006E3E6F" w:rsidRPr="00680235" w:rsidRDefault="00F8321F" w:rsidP="006E3E6F">
            <w:pPr>
              <w:pStyle w:val="Paragraphedeliste"/>
              <w:numPr>
                <w:ilvl w:val="1"/>
                <w:numId w:val="7"/>
              </w:numPr>
              <w:jc w:val="both"/>
              <w:rPr>
                <w:rFonts w:ascii="Times New Roman" w:hAnsi="Times New Roman" w:cs="Times New Roman"/>
                <w:sz w:val="20"/>
                <w:szCs w:val="20"/>
                <w:lang w:eastAsia="fr-FR"/>
              </w:rPr>
            </w:pPr>
            <w:r w:rsidRPr="00680235">
              <w:rPr>
                <w:rFonts w:ascii="Times New Roman" w:hAnsi="Times New Roman" w:cs="Times New Roman"/>
                <w:noProof/>
                <w:sz w:val="20"/>
                <w:szCs w:val="20"/>
                <w:lang w:eastAsia="fr-FR"/>
              </w:rPr>
              <w:drawing>
                <wp:anchor distT="0" distB="0" distL="114300" distR="114300" simplePos="0" relativeHeight="251659264" behindDoc="0" locked="0" layoutInCell="1" allowOverlap="1" wp14:anchorId="72534A7C" wp14:editId="005D58C2">
                  <wp:simplePos x="0" y="0"/>
                  <wp:positionH relativeFrom="column">
                    <wp:posOffset>3126105</wp:posOffset>
                  </wp:positionH>
                  <wp:positionV relativeFrom="paragraph">
                    <wp:posOffset>123190</wp:posOffset>
                  </wp:positionV>
                  <wp:extent cx="810895" cy="210185"/>
                  <wp:effectExtent l="0" t="0" r="8255"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810895" cy="210185"/>
                          </a:xfrm>
                          <a:prstGeom prst="rect">
                            <a:avLst/>
                          </a:prstGeom>
                        </pic:spPr>
                      </pic:pic>
                    </a:graphicData>
                  </a:graphic>
                  <wp14:sizeRelH relativeFrom="page">
                    <wp14:pctWidth>0</wp14:pctWidth>
                  </wp14:sizeRelH>
                  <wp14:sizeRelV relativeFrom="page">
                    <wp14:pctHeight>0</wp14:pctHeight>
                  </wp14:sizeRelV>
                </wp:anchor>
              </w:drawing>
            </w:r>
            <w:r w:rsidR="006E3E6F" w:rsidRPr="00680235">
              <w:rPr>
                <w:rFonts w:ascii="Times New Roman" w:hAnsi="Times New Roman" w:cs="Times New Roman"/>
                <w:sz w:val="20"/>
                <w:szCs w:val="20"/>
                <w:lang w:eastAsia="fr-FR"/>
              </w:rPr>
              <w:t>Cliquez sur le numéro de la semaine pour retrouver le brief complet.</w:t>
            </w:r>
          </w:p>
          <w:p w:rsidR="006E3E6F" w:rsidRPr="00680235" w:rsidRDefault="006E3E6F" w:rsidP="006E3E6F">
            <w:pPr>
              <w:pStyle w:val="Paragraphedeliste"/>
              <w:numPr>
                <w:ilvl w:val="1"/>
                <w:numId w:val="7"/>
              </w:numPr>
              <w:jc w:val="both"/>
              <w:rPr>
                <w:rFonts w:ascii="Times New Roman" w:hAnsi="Times New Roman" w:cs="Times New Roman"/>
                <w:sz w:val="20"/>
                <w:szCs w:val="20"/>
                <w:lang w:eastAsia="fr-FR"/>
              </w:rPr>
            </w:pPr>
            <w:r w:rsidRPr="00680235">
              <w:rPr>
                <w:rFonts w:ascii="Times New Roman" w:hAnsi="Times New Roman" w:cs="Times New Roman"/>
                <w:sz w:val="20"/>
                <w:szCs w:val="20"/>
                <w:lang w:eastAsia="fr-FR"/>
              </w:rPr>
              <w:t>Recherchez un mot clé en utilisation la fonction</w:t>
            </w:r>
            <w:r w:rsidR="00F8321F">
              <w:rPr>
                <w:rFonts w:ascii="Times New Roman" w:hAnsi="Times New Roman" w:cs="Times New Roman"/>
                <w:sz w:val="20"/>
                <w:szCs w:val="20"/>
                <w:lang w:eastAsia="fr-FR"/>
              </w:rPr>
              <w:t xml:space="preserve">             </w:t>
            </w:r>
            <w:r w:rsidR="00B31539">
              <w:rPr>
                <w:rFonts w:ascii="Times New Roman" w:hAnsi="Times New Roman" w:cs="Times New Roman"/>
                <w:sz w:val="20"/>
                <w:szCs w:val="20"/>
                <w:lang w:eastAsia="fr-FR"/>
              </w:rPr>
              <w:t xml:space="preserve">      </w:t>
            </w:r>
            <w:r w:rsidR="00F8321F">
              <w:rPr>
                <w:rFonts w:ascii="Times New Roman" w:hAnsi="Times New Roman" w:cs="Times New Roman"/>
                <w:sz w:val="20"/>
                <w:szCs w:val="20"/>
                <w:lang w:eastAsia="fr-FR"/>
              </w:rPr>
              <w:t xml:space="preserve">           </w:t>
            </w:r>
            <w:r w:rsidR="00B31539">
              <w:rPr>
                <w:rFonts w:ascii="Times New Roman" w:hAnsi="Times New Roman" w:cs="Times New Roman"/>
                <w:sz w:val="20"/>
                <w:szCs w:val="20"/>
                <w:lang w:eastAsia="fr-FR"/>
              </w:rPr>
              <w:t xml:space="preserve">  </w:t>
            </w:r>
            <w:r w:rsidR="00F8321F">
              <w:rPr>
                <w:rFonts w:ascii="Times New Roman" w:hAnsi="Times New Roman" w:cs="Times New Roman"/>
                <w:sz w:val="20"/>
                <w:szCs w:val="20"/>
                <w:lang w:eastAsia="fr-FR"/>
              </w:rPr>
              <w:t>(en haut à droite</w:t>
            </w:r>
            <w:r w:rsidRPr="00680235">
              <w:rPr>
                <w:rFonts w:ascii="Times New Roman" w:hAnsi="Times New Roman" w:cs="Times New Roman"/>
                <w:sz w:val="20"/>
                <w:szCs w:val="20"/>
                <w:lang w:eastAsia="fr-FR"/>
              </w:rPr>
              <w:t xml:space="preserve"> dans votre barre de menu)</w:t>
            </w:r>
          </w:p>
          <w:p w:rsidR="00681C34" w:rsidRPr="00680235" w:rsidRDefault="00681C34" w:rsidP="00681C34">
            <w:pPr>
              <w:pStyle w:val="wordsection1"/>
              <w:spacing w:before="0" w:beforeAutospacing="0" w:after="0" w:afterAutospacing="0"/>
              <w:jc w:val="both"/>
              <w:rPr>
                <w:sz w:val="20"/>
                <w:szCs w:val="20"/>
              </w:rPr>
            </w:pPr>
          </w:p>
        </w:tc>
      </w:tr>
      <w:tr w:rsidR="00680235" w:rsidRPr="00E81F6E" w:rsidTr="00681C34">
        <w:trPr>
          <w:trHeight w:val="201"/>
        </w:trPr>
        <w:tc>
          <w:tcPr>
            <w:tcW w:w="15735" w:type="dxa"/>
            <w:gridSpan w:val="3"/>
            <w:tcBorders>
              <w:bottom w:val="single" w:sz="4" w:space="0" w:color="auto"/>
            </w:tcBorders>
            <w:shd w:val="clear" w:color="auto" w:fill="auto"/>
            <w:vAlign w:val="center"/>
          </w:tcPr>
          <w:p w:rsidR="00680235" w:rsidRPr="00680235" w:rsidRDefault="00680235" w:rsidP="00680235">
            <w:pPr>
              <w:pStyle w:val="wordsection1"/>
              <w:numPr>
                <w:ilvl w:val="0"/>
                <w:numId w:val="26"/>
              </w:numPr>
              <w:spacing w:before="0" w:beforeAutospacing="0" w:after="0" w:afterAutospacing="0"/>
              <w:ind w:left="187" w:hanging="187"/>
              <w:jc w:val="both"/>
              <w:rPr>
                <w:b/>
                <w:sz w:val="20"/>
                <w:szCs w:val="20"/>
              </w:rPr>
            </w:pPr>
            <w:r w:rsidRPr="00680235">
              <w:rPr>
                <w:b/>
                <w:sz w:val="20"/>
                <w:szCs w:val="20"/>
              </w:rPr>
              <w:t>Le portefeuille virtuel revient du 1</w:t>
            </w:r>
            <w:r w:rsidRPr="00680235">
              <w:rPr>
                <w:b/>
                <w:sz w:val="20"/>
                <w:szCs w:val="20"/>
                <w:vertAlign w:val="superscript"/>
              </w:rPr>
              <w:t>er</w:t>
            </w:r>
            <w:r>
              <w:rPr>
                <w:b/>
                <w:sz w:val="20"/>
                <w:szCs w:val="20"/>
              </w:rPr>
              <w:t xml:space="preserve"> </w:t>
            </w:r>
            <w:r w:rsidRPr="00680235">
              <w:rPr>
                <w:b/>
                <w:sz w:val="20"/>
                <w:szCs w:val="20"/>
              </w:rPr>
              <w:t>février au 23 juin 2018 : 30 euros par collaborateur à gagner !!</w:t>
            </w:r>
          </w:p>
          <w:p w:rsidR="00680235" w:rsidRPr="00680235" w:rsidRDefault="00680235" w:rsidP="00680235">
            <w:pPr>
              <w:pStyle w:val="Paragraphedeliste"/>
              <w:numPr>
                <w:ilvl w:val="0"/>
                <w:numId w:val="7"/>
              </w:numPr>
              <w:ind w:left="187" w:hanging="187"/>
              <w:jc w:val="both"/>
              <w:rPr>
                <w:rFonts w:ascii="Times New Roman" w:hAnsi="Times New Roman" w:cs="Times New Roman"/>
                <w:b/>
                <w:color w:val="31849B" w:themeColor="accent5" w:themeShade="BF"/>
                <w:sz w:val="20"/>
                <w:szCs w:val="20"/>
                <w:lang w:eastAsia="fr-FR"/>
              </w:rPr>
            </w:pPr>
            <w:r w:rsidRPr="00680235">
              <w:rPr>
                <w:rFonts w:ascii="Times New Roman" w:hAnsi="Times New Roman" w:cs="Times New Roman"/>
                <w:b/>
                <w:color w:val="31849B" w:themeColor="accent5" w:themeShade="BF"/>
                <w:sz w:val="20"/>
                <w:szCs w:val="20"/>
                <w:lang w:eastAsia="fr-FR"/>
              </w:rPr>
              <w:t>Nouveauté 2018 : si au cours du dernier quadrimestre 2017, la performance se mesurait de manière collective, la version 2018 sera individuelle. Ainsi, seront récompensés : les 100 collaborateurs ayant eu la meilleure performance de portefeuille dans le classement CELCA au 23 juin 2018.</w:t>
            </w:r>
          </w:p>
          <w:p w:rsidR="00680235" w:rsidRPr="00680235" w:rsidRDefault="00680235" w:rsidP="00680235">
            <w:pPr>
              <w:pStyle w:val="wordsection1"/>
              <w:numPr>
                <w:ilvl w:val="0"/>
                <w:numId w:val="26"/>
              </w:numPr>
              <w:spacing w:before="0" w:beforeAutospacing="0" w:after="0" w:afterAutospacing="0"/>
              <w:ind w:left="187" w:hanging="187"/>
              <w:jc w:val="both"/>
              <w:rPr>
                <w:sz w:val="20"/>
                <w:szCs w:val="20"/>
              </w:rPr>
            </w:pPr>
            <w:r w:rsidRPr="00680235">
              <w:rPr>
                <w:sz w:val="20"/>
                <w:szCs w:val="20"/>
              </w:rPr>
              <w:t xml:space="preserve">Pour rappel : </w:t>
            </w:r>
          </w:p>
          <w:p w:rsidR="00680235" w:rsidRPr="00680235" w:rsidRDefault="00680235" w:rsidP="00680235">
            <w:pPr>
              <w:numPr>
                <w:ilvl w:val="0"/>
                <w:numId w:val="17"/>
              </w:numPr>
              <w:contextualSpacing/>
              <w:jc w:val="both"/>
              <w:rPr>
                <w:rFonts w:ascii="Times New Roman" w:hAnsi="Times New Roman" w:cs="Times New Roman"/>
                <w:sz w:val="20"/>
                <w:szCs w:val="20"/>
              </w:rPr>
            </w:pPr>
            <w:r w:rsidRPr="00680235">
              <w:rPr>
                <w:rFonts w:ascii="Times New Roman" w:hAnsi="Times New Roman" w:cs="Times New Roman"/>
                <w:sz w:val="20"/>
                <w:szCs w:val="20"/>
              </w:rPr>
              <w:t>Vous disposez d’un portefeuille virtuel de 20 000 € (dont 15 000€ disponibles sur un compte de dépôt virtuel et 5 000€ investis sur un fonds Euros virtuel)</w:t>
            </w:r>
            <w:r>
              <w:rPr>
                <w:rFonts w:ascii="Times New Roman" w:hAnsi="Times New Roman" w:cs="Times New Roman"/>
                <w:sz w:val="20"/>
                <w:szCs w:val="20"/>
              </w:rPr>
              <w:t>,</w:t>
            </w:r>
          </w:p>
          <w:p w:rsidR="00680235" w:rsidRPr="00680235" w:rsidRDefault="00680235" w:rsidP="00680235">
            <w:pPr>
              <w:numPr>
                <w:ilvl w:val="0"/>
                <w:numId w:val="17"/>
              </w:numPr>
              <w:contextualSpacing/>
              <w:jc w:val="both"/>
              <w:rPr>
                <w:rFonts w:ascii="Times New Roman" w:hAnsi="Times New Roman" w:cs="Times New Roman"/>
                <w:sz w:val="20"/>
                <w:szCs w:val="20"/>
              </w:rPr>
            </w:pPr>
            <w:r w:rsidRPr="00680235">
              <w:rPr>
                <w:rFonts w:ascii="Times New Roman" w:hAnsi="Times New Roman" w:cs="Times New Roman"/>
                <w:sz w:val="20"/>
                <w:szCs w:val="20"/>
              </w:rPr>
              <w:t>Vous procédez à des ordres d’achats et de ventes pour fai</w:t>
            </w:r>
            <w:r>
              <w:rPr>
                <w:rFonts w:ascii="Times New Roman" w:hAnsi="Times New Roman" w:cs="Times New Roman"/>
                <w:sz w:val="20"/>
                <w:szCs w:val="20"/>
              </w:rPr>
              <w:t>re performer votre portefeuille,</w:t>
            </w:r>
          </w:p>
          <w:p w:rsidR="00680235" w:rsidRPr="00680235" w:rsidRDefault="00680235" w:rsidP="00680235">
            <w:pPr>
              <w:numPr>
                <w:ilvl w:val="0"/>
                <w:numId w:val="17"/>
              </w:numPr>
              <w:contextualSpacing/>
              <w:jc w:val="both"/>
              <w:rPr>
                <w:rFonts w:ascii="Times New Roman" w:hAnsi="Times New Roman" w:cs="Times New Roman"/>
                <w:sz w:val="20"/>
                <w:szCs w:val="20"/>
              </w:rPr>
            </w:pPr>
            <w:r w:rsidRPr="00680235">
              <w:rPr>
                <w:rFonts w:ascii="Times New Roman" w:hAnsi="Times New Roman" w:cs="Times New Roman"/>
                <w:sz w:val="20"/>
                <w:szCs w:val="20"/>
              </w:rPr>
              <w:t>Une condition : pour être éligible aux récompenses et intégrer le suivi, il faut avoir réalisé au moins 5 opérations en rapport avec 3 fonds différents sur la période pour un montant total de 10 000€ minimum.</w:t>
            </w:r>
          </w:p>
          <w:p w:rsidR="00680235" w:rsidRPr="00680235" w:rsidRDefault="00680235" w:rsidP="00680235">
            <w:pPr>
              <w:pStyle w:val="wordsection1"/>
              <w:numPr>
                <w:ilvl w:val="0"/>
                <w:numId w:val="26"/>
              </w:numPr>
              <w:spacing w:before="0" w:beforeAutospacing="0" w:after="0" w:afterAutospacing="0"/>
              <w:ind w:left="187" w:hanging="187"/>
              <w:jc w:val="both"/>
              <w:rPr>
                <w:sz w:val="20"/>
                <w:szCs w:val="20"/>
              </w:rPr>
            </w:pPr>
            <w:r>
              <w:rPr>
                <w:noProof/>
                <w:sz w:val="20"/>
                <w:szCs w:val="20"/>
              </w:rPr>
              <w:drawing>
                <wp:anchor distT="0" distB="0" distL="114300" distR="114300" simplePos="0" relativeHeight="251661312" behindDoc="1" locked="0" layoutInCell="1" allowOverlap="1" wp14:anchorId="1822B88F" wp14:editId="070F14A1">
                  <wp:simplePos x="0" y="0"/>
                  <wp:positionH relativeFrom="column">
                    <wp:posOffset>8864600</wp:posOffset>
                  </wp:positionH>
                  <wp:positionV relativeFrom="paragraph">
                    <wp:posOffset>-659130</wp:posOffset>
                  </wp:positionV>
                  <wp:extent cx="956945" cy="956945"/>
                  <wp:effectExtent l="0" t="0" r="0" b="0"/>
                  <wp:wrapThrough wrapText="bothSides">
                    <wp:wrapPolygon edited="0">
                      <wp:start x="3870" y="2580"/>
                      <wp:lineTo x="430" y="6020"/>
                      <wp:lineTo x="430" y="8170"/>
                      <wp:lineTo x="2150" y="10320"/>
                      <wp:lineTo x="1720" y="14620"/>
                      <wp:lineTo x="4300" y="17200"/>
                      <wp:lineTo x="8170" y="18490"/>
                      <wp:lineTo x="19350" y="18490"/>
                      <wp:lineTo x="19780" y="12470"/>
                      <wp:lineTo x="18490" y="2580"/>
                      <wp:lineTo x="3870" y="2580"/>
                    </wp:wrapPolygon>
                  </wp:wrapThrough>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6945" cy="956945"/>
                          </a:xfrm>
                          <a:prstGeom prst="rect">
                            <a:avLst/>
                          </a:prstGeom>
                          <a:noFill/>
                        </pic:spPr>
                      </pic:pic>
                    </a:graphicData>
                  </a:graphic>
                  <wp14:sizeRelH relativeFrom="page">
                    <wp14:pctWidth>0</wp14:pctWidth>
                  </wp14:sizeRelH>
                  <wp14:sizeRelV relativeFrom="page">
                    <wp14:pctHeight>0</wp14:pctHeight>
                  </wp14:sizeRelV>
                </wp:anchor>
              </w:drawing>
            </w:r>
            <w:r w:rsidRPr="00680235">
              <w:rPr>
                <w:sz w:val="20"/>
                <w:szCs w:val="20"/>
              </w:rPr>
              <w:t>Pour vous connecter : www.selectionetperformance.fr. L’ensemble des portefeuilles a été réinitialisé. Lors de votre première connexion à cette nouvelle version, votre User et votre Mot de passe correspondent à votre matricule RH.</w:t>
            </w:r>
          </w:p>
          <w:p w:rsidR="00680235" w:rsidRPr="00680235" w:rsidRDefault="00680235" w:rsidP="00680235">
            <w:pPr>
              <w:pStyle w:val="wordsection1"/>
              <w:numPr>
                <w:ilvl w:val="0"/>
                <w:numId w:val="26"/>
              </w:numPr>
              <w:spacing w:before="0" w:beforeAutospacing="0" w:after="0" w:afterAutospacing="0"/>
              <w:ind w:left="187" w:hanging="187"/>
              <w:jc w:val="both"/>
              <w:rPr>
                <w:b/>
                <w:sz w:val="20"/>
                <w:szCs w:val="20"/>
              </w:rPr>
            </w:pPr>
            <w:r w:rsidRPr="00680235">
              <w:rPr>
                <w:b/>
                <w:sz w:val="20"/>
                <w:szCs w:val="20"/>
              </w:rPr>
              <w:t>Bonne chance à tous !!</w:t>
            </w:r>
          </w:p>
        </w:tc>
      </w:tr>
      <w:tr w:rsidR="00233BD8" w:rsidRPr="00E81F6E" w:rsidTr="00233BD8">
        <w:trPr>
          <w:trHeight w:val="194"/>
        </w:trPr>
        <w:tc>
          <w:tcPr>
            <w:tcW w:w="15735" w:type="dxa"/>
            <w:gridSpan w:val="3"/>
            <w:tcBorders>
              <w:bottom w:val="single" w:sz="4" w:space="0" w:color="auto"/>
            </w:tcBorders>
            <w:shd w:val="clear" w:color="auto" w:fill="BFBFBF" w:themeFill="background1" w:themeFillShade="BF"/>
          </w:tcPr>
          <w:p w:rsidR="00233BD8" w:rsidRPr="00E81F6E" w:rsidRDefault="00AF3BE3" w:rsidP="00233BD8">
            <w:pPr>
              <w:jc w:val="center"/>
              <w:rPr>
                <w:rFonts w:ascii="Times New Roman" w:hAnsi="Times New Roman" w:cs="Times New Roman"/>
                <w:b/>
                <w:sz w:val="20"/>
                <w:szCs w:val="20"/>
              </w:rPr>
            </w:pPr>
            <w:r>
              <w:rPr>
                <w:rFonts w:ascii="Times New Roman" w:hAnsi="Times New Roman" w:cs="Times New Roman"/>
                <w:b/>
                <w:sz w:val="20"/>
                <w:szCs w:val="20"/>
              </w:rPr>
              <w:t>Crédits</w:t>
            </w:r>
          </w:p>
        </w:tc>
      </w:tr>
      <w:tr w:rsidR="002444C2" w:rsidRPr="00E81F6E" w:rsidTr="00681C34">
        <w:trPr>
          <w:trHeight w:val="402"/>
        </w:trPr>
        <w:tc>
          <w:tcPr>
            <w:tcW w:w="1560" w:type="dxa"/>
            <w:tcBorders>
              <w:bottom w:val="single" w:sz="4" w:space="0" w:color="auto"/>
            </w:tcBorders>
          </w:tcPr>
          <w:p w:rsidR="002444C2" w:rsidRPr="008813AA" w:rsidRDefault="002444C2" w:rsidP="00681C34">
            <w:pPr>
              <w:rPr>
                <w:rFonts w:ascii="Times New Roman" w:hAnsi="Times New Roman" w:cs="Times New Roman"/>
                <w:b/>
                <w:bCs/>
                <w:strike/>
                <w:sz w:val="20"/>
                <w:szCs w:val="20"/>
              </w:rPr>
            </w:pPr>
            <w:r w:rsidRPr="00576DCF">
              <w:rPr>
                <w:rFonts w:ascii="Times New Roman" w:hAnsi="Times New Roman" w:cs="Times New Roman"/>
                <w:b/>
                <w:bCs/>
                <w:sz w:val="20"/>
                <w:szCs w:val="20"/>
              </w:rPr>
              <w:t>Com. DMA</w:t>
            </w:r>
          </w:p>
        </w:tc>
        <w:tc>
          <w:tcPr>
            <w:tcW w:w="1843" w:type="dxa"/>
            <w:tcBorders>
              <w:bottom w:val="single" w:sz="4" w:space="0" w:color="auto"/>
            </w:tcBorders>
          </w:tcPr>
          <w:p w:rsidR="002444C2" w:rsidRPr="002444C2" w:rsidRDefault="002444C2">
            <w:pPr>
              <w:rPr>
                <w:rFonts w:ascii="Times New Roman" w:hAnsi="Times New Roman" w:cs="Times New Roman"/>
                <w:b/>
                <w:bCs/>
                <w:sz w:val="20"/>
                <w:szCs w:val="20"/>
              </w:rPr>
            </w:pPr>
            <w:r>
              <w:rPr>
                <w:rFonts w:ascii="Times New Roman" w:hAnsi="Times New Roman" w:cs="Times New Roman"/>
                <w:b/>
                <w:bCs/>
                <w:sz w:val="20"/>
                <w:szCs w:val="20"/>
              </w:rPr>
              <w:t xml:space="preserve">Crédit immobilier </w:t>
            </w:r>
          </w:p>
          <w:p w:rsidR="002444C2" w:rsidRPr="002444C2" w:rsidRDefault="002444C2">
            <w:pPr>
              <w:rPr>
                <w:rFonts w:ascii="Times New Roman" w:hAnsi="Times New Roman" w:cs="Times New Roman"/>
                <w:b/>
                <w:bCs/>
                <w:sz w:val="20"/>
                <w:szCs w:val="20"/>
              </w:rPr>
            </w:pPr>
            <w:r w:rsidRPr="002444C2">
              <w:rPr>
                <w:rFonts w:ascii="Times New Roman" w:hAnsi="Times New Roman" w:cs="Times New Roman"/>
                <w:b/>
                <w:bCs/>
                <w:sz w:val="20"/>
                <w:szCs w:val="20"/>
              </w:rPr>
              <w:t>Riposte ADE</w:t>
            </w:r>
          </w:p>
        </w:tc>
        <w:tc>
          <w:tcPr>
            <w:tcW w:w="12332" w:type="dxa"/>
            <w:tcBorders>
              <w:bottom w:val="single" w:sz="4" w:space="0" w:color="auto"/>
            </w:tcBorders>
            <w:shd w:val="clear" w:color="auto" w:fill="auto"/>
          </w:tcPr>
          <w:p w:rsidR="002444C2" w:rsidRPr="002444C2" w:rsidRDefault="002444C2" w:rsidP="002444C2">
            <w:pPr>
              <w:pStyle w:val="wordsection1"/>
              <w:numPr>
                <w:ilvl w:val="0"/>
                <w:numId w:val="26"/>
              </w:numPr>
              <w:spacing w:before="0" w:beforeAutospacing="0" w:after="0" w:afterAutospacing="0"/>
              <w:ind w:left="187" w:hanging="187"/>
              <w:jc w:val="both"/>
              <w:rPr>
                <w:sz w:val="20"/>
                <w:szCs w:val="20"/>
              </w:rPr>
            </w:pPr>
            <w:r w:rsidRPr="002444C2">
              <w:rPr>
                <w:sz w:val="20"/>
                <w:szCs w:val="20"/>
              </w:rPr>
              <w:t xml:space="preserve">Les différentes évolutions règlementaires de ces dernières années permettent désormais à nos clients de changer d’ADE tout au long de la vie de leur prêt immobilier (Loi Hamon, Loi Bourquin…). Si certains clients peuvent être tentés, attention toutefois aux risques encourus par ceux-ci liés à la souscription d’une ADE externe comme en témoigne l’article de presse </w:t>
            </w:r>
            <w:r>
              <w:rPr>
                <w:sz w:val="20"/>
                <w:szCs w:val="20"/>
              </w:rPr>
              <w:t xml:space="preserve">que vous trouverez </w:t>
            </w:r>
            <w:hyperlink r:id="rId21" w:history="1">
              <w:r w:rsidRPr="002444C2">
                <w:rPr>
                  <w:rStyle w:val="Lienhypertexte"/>
                  <w:sz w:val="20"/>
                  <w:szCs w:val="20"/>
                </w:rPr>
                <w:t>ici</w:t>
              </w:r>
            </w:hyperlink>
            <w:r>
              <w:rPr>
                <w:sz w:val="20"/>
                <w:szCs w:val="20"/>
              </w:rPr>
              <w:t xml:space="preserve">. </w:t>
            </w:r>
          </w:p>
          <w:p w:rsidR="002444C2" w:rsidRPr="002444C2" w:rsidRDefault="002444C2" w:rsidP="002444C2">
            <w:pPr>
              <w:pStyle w:val="wordsection1"/>
              <w:numPr>
                <w:ilvl w:val="0"/>
                <w:numId w:val="26"/>
              </w:numPr>
              <w:spacing w:before="0" w:beforeAutospacing="0" w:after="0" w:afterAutospacing="0"/>
              <w:ind w:left="187" w:hanging="187"/>
              <w:jc w:val="both"/>
              <w:rPr>
                <w:sz w:val="20"/>
                <w:szCs w:val="20"/>
              </w:rPr>
            </w:pPr>
            <w:r w:rsidRPr="002444C2">
              <w:rPr>
                <w:b/>
                <w:sz w:val="20"/>
                <w:szCs w:val="20"/>
              </w:rPr>
              <w:t>Bonne nouvelle, pour contrer les propositions de nos concurrents, la CELCA met en place à compter du 1</w:t>
            </w:r>
            <w:r w:rsidRPr="002444C2">
              <w:rPr>
                <w:b/>
                <w:sz w:val="20"/>
                <w:szCs w:val="20"/>
                <w:vertAlign w:val="superscript"/>
              </w:rPr>
              <w:t>er</w:t>
            </w:r>
            <w:r w:rsidRPr="002444C2">
              <w:rPr>
                <w:b/>
                <w:sz w:val="20"/>
                <w:szCs w:val="20"/>
              </w:rPr>
              <w:t xml:space="preserve"> février un dispositif de contre-proposition commerciale via Ecureuil Crédit. </w:t>
            </w:r>
            <w:r w:rsidRPr="002444C2">
              <w:rPr>
                <w:sz w:val="20"/>
                <w:szCs w:val="20"/>
              </w:rPr>
              <w:t>Ce dispositif comprend :</w:t>
            </w:r>
          </w:p>
          <w:p w:rsidR="002444C2" w:rsidRPr="002444C2" w:rsidRDefault="002444C2" w:rsidP="002444C2">
            <w:pPr>
              <w:numPr>
                <w:ilvl w:val="0"/>
                <w:numId w:val="17"/>
              </w:numPr>
              <w:contextualSpacing/>
              <w:jc w:val="both"/>
              <w:rPr>
                <w:rFonts w:ascii="Times New Roman" w:hAnsi="Times New Roman" w:cs="Times New Roman"/>
                <w:b/>
                <w:bCs/>
                <w:sz w:val="20"/>
                <w:szCs w:val="20"/>
              </w:rPr>
            </w:pPr>
            <w:r w:rsidRPr="002444C2">
              <w:rPr>
                <w:rFonts w:ascii="Times New Roman" w:hAnsi="Times New Roman" w:cs="Times New Roman"/>
                <w:b/>
                <w:bCs/>
                <w:sz w:val="20"/>
                <w:szCs w:val="20"/>
              </w:rPr>
              <w:t>Une étude d’équivalence des garanties</w:t>
            </w:r>
          </w:p>
          <w:p w:rsidR="002444C2" w:rsidRPr="002444C2" w:rsidRDefault="002444C2" w:rsidP="002444C2">
            <w:pPr>
              <w:numPr>
                <w:ilvl w:val="0"/>
                <w:numId w:val="17"/>
              </w:numPr>
              <w:contextualSpacing/>
              <w:jc w:val="both"/>
              <w:rPr>
                <w:rFonts w:ascii="Times New Roman" w:hAnsi="Times New Roman" w:cs="Times New Roman"/>
                <w:sz w:val="20"/>
                <w:szCs w:val="20"/>
              </w:rPr>
            </w:pPr>
            <w:r w:rsidRPr="002444C2">
              <w:rPr>
                <w:rFonts w:ascii="Times New Roman" w:hAnsi="Times New Roman" w:cs="Times New Roman"/>
                <w:b/>
                <w:bCs/>
                <w:sz w:val="20"/>
                <w:szCs w:val="20"/>
              </w:rPr>
              <w:t>Une contre-proposition commerciale</w:t>
            </w:r>
            <w:r w:rsidRPr="002444C2">
              <w:rPr>
                <w:rFonts w:ascii="Times New Roman" w:hAnsi="Times New Roman" w:cs="Times New Roman"/>
                <w:sz w:val="20"/>
                <w:szCs w:val="20"/>
              </w:rPr>
              <w:t xml:space="preserve"> (au même niveau tarifaire que les assureurs individuels)</w:t>
            </w:r>
          </w:p>
          <w:p w:rsidR="002444C2" w:rsidRPr="002444C2" w:rsidRDefault="002444C2" w:rsidP="004E5DB3">
            <w:pPr>
              <w:pStyle w:val="wordsection1"/>
              <w:numPr>
                <w:ilvl w:val="0"/>
                <w:numId w:val="26"/>
              </w:numPr>
              <w:spacing w:before="0" w:beforeAutospacing="0" w:after="0" w:afterAutospacing="0"/>
              <w:jc w:val="both"/>
              <w:rPr>
                <w:b/>
                <w:bCs/>
                <w:sz w:val="20"/>
                <w:szCs w:val="20"/>
                <w:lang w:eastAsia="en-US"/>
              </w:rPr>
            </w:pPr>
            <w:r w:rsidRPr="002444C2">
              <w:rPr>
                <w:sz w:val="20"/>
                <w:szCs w:val="20"/>
              </w:rPr>
              <w:t xml:space="preserve">Le client conserve son contrat actuel et bénéficie d’une remise tarifaire importante qui sera déterminée en fonction de son profil et de la nature de </w:t>
            </w:r>
            <w:r w:rsidRPr="002444C2">
              <w:rPr>
                <w:sz w:val="20"/>
                <w:szCs w:val="20"/>
              </w:rPr>
              <w:lastRenderedPageBreak/>
              <w:t>la demande.</w:t>
            </w:r>
            <w:r>
              <w:rPr>
                <w:sz w:val="20"/>
                <w:szCs w:val="20"/>
              </w:rPr>
              <w:t xml:space="preserve"> </w:t>
            </w:r>
            <w:r w:rsidR="004E5DB3" w:rsidRPr="004E5DB3">
              <w:rPr>
                <w:sz w:val="20"/>
                <w:szCs w:val="20"/>
              </w:rPr>
              <w:t xml:space="preserve">Retrouvez toutes les informations dans l’HDJ de cette semaine ou en </w:t>
            </w:r>
            <w:hyperlink r:id="rId22" w:history="1">
              <w:r w:rsidR="004E5DB3">
                <w:rPr>
                  <w:rStyle w:val="Lienhypertexte"/>
                  <w:sz w:val="20"/>
                  <w:szCs w:val="20"/>
                </w:rPr>
                <w:t>cliquant ICI.</w:t>
              </w:r>
            </w:hyperlink>
          </w:p>
        </w:tc>
      </w:tr>
      <w:tr w:rsidR="00317E86" w:rsidRPr="00E81F6E" w:rsidTr="00317E86">
        <w:trPr>
          <w:trHeight w:val="248"/>
        </w:trPr>
        <w:tc>
          <w:tcPr>
            <w:tcW w:w="15735" w:type="dxa"/>
            <w:gridSpan w:val="3"/>
            <w:tcBorders>
              <w:bottom w:val="single" w:sz="4" w:space="0" w:color="auto"/>
            </w:tcBorders>
            <w:shd w:val="clear" w:color="auto" w:fill="BFBFBF" w:themeFill="background1" w:themeFillShade="BF"/>
          </w:tcPr>
          <w:p w:rsidR="00317E86" w:rsidRPr="00317E86" w:rsidRDefault="00C817F1" w:rsidP="00317E86">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lastRenderedPageBreak/>
              <w:t>Bancarisation</w:t>
            </w:r>
          </w:p>
        </w:tc>
      </w:tr>
      <w:tr w:rsidR="007F31D6" w:rsidRPr="00E81F6E" w:rsidTr="00AF3BE3">
        <w:trPr>
          <w:trHeight w:val="248"/>
        </w:trPr>
        <w:tc>
          <w:tcPr>
            <w:tcW w:w="1560" w:type="dxa"/>
            <w:tcBorders>
              <w:bottom w:val="single" w:sz="4" w:space="0" w:color="auto"/>
            </w:tcBorders>
          </w:tcPr>
          <w:p w:rsidR="007F31D6" w:rsidRPr="00576DCF" w:rsidRDefault="00DA6454">
            <w:pPr>
              <w:rPr>
                <w:rFonts w:ascii="Times New Roman" w:hAnsi="Times New Roman" w:cs="Times New Roman"/>
                <w:b/>
                <w:bCs/>
                <w:sz w:val="20"/>
                <w:szCs w:val="20"/>
              </w:rPr>
            </w:pPr>
            <w:r>
              <w:rPr>
                <w:rFonts w:ascii="Times New Roman" w:hAnsi="Times New Roman" w:cs="Times New Roman"/>
                <w:b/>
                <w:bCs/>
                <w:sz w:val="20"/>
                <w:szCs w:val="20"/>
              </w:rPr>
              <w:t>Com. DSB</w:t>
            </w:r>
            <w:bookmarkStart w:id="0" w:name="_GoBack"/>
            <w:bookmarkEnd w:id="0"/>
          </w:p>
        </w:tc>
        <w:tc>
          <w:tcPr>
            <w:tcW w:w="1843" w:type="dxa"/>
            <w:tcBorders>
              <w:bottom w:val="single" w:sz="4" w:space="0" w:color="auto"/>
            </w:tcBorders>
          </w:tcPr>
          <w:p w:rsidR="007F31D6" w:rsidRDefault="007F31D6">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Comptes d’attente 02 avec solde &gt; 2 000€</w:t>
            </w:r>
          </w:p>
        </w:tc>
        <w:tc>
          <w:tcPr>
            <w:tcW w:w="12332" w:type="dxa"/>
            <w:tcBorders>
              <w:bottom w:val="single" w:sz="4" w:space="0" w:color="auto"/>
            </w:tcBorders>
            <w:shd w:val="clear" w:color="auto" w:fill="auto"/>
          </w:tcPr>
          <w:p w:rsidR="007F31D6" w:rsidRDefault="007F31D6" w:rsidP="007F31D6">
            <w:pPr>
              <w:numPr>
                <w:ilvl w:val="0"/>
                <w:numId w:val="38"/>
              </w:numPr>
              <w:ind w:left="176" w:hanging="176"/>
              <w:contextualSpacing/>
              <w:jc w:val="both"/>
              <w:rPr>
                <w:rFonts w:ascii="Times New Roman" w:hAnsi="Times New Roman" w:cs="Times New Roman"/>
                <w:b/>
                <w:bCs/>
                <w:color w:val="000000"/>
                <w:sz w:val="20"/>
                <w:szCs w:val="20"/>
              </w:rPr>
            </w:pPr>
            <w:r>
              <w:rPr>
                <w:rFonts w:ascii="Times New Roman" w:hAnsi="Times New Roman" w:cs="Times New Roman"/>
                <w:color w:val="000000"/>
                <w:sz w:val="20"/>
                <w:szCs w:val="20"/>
                <w:lang w:eastAsia="fr-FR"/>
              </w:rPr>
              <w:t xml:space="preserve">Vous trouverez </w:t>
            </w:r>
            <w:hyperlink r:id="rId23" w:history="1">
              <w:r w:rsidRPr="007F31D6">
                <w:rPr>
                  <w:rStyle w:val="Lienhypertexte"/>
                  <w:rFonts w:ascii="Times New Roman" w:hAnsi="Times New Roman" w:cs="Times New Roman"/>
                  <w:sz w:val="20"/>
                  <w:szCs w:val="20"/>
                  <w:lang w:eastAsia="fr-FR"/>
                </w:rPr>
                <w:t>en cliquant ici</w:t>
              </w:r>
            </w:hyperlink>
            <w:r w:rsidRPr="007F31D6">
              <w:rPr>
                <w:rFonts w:ascii="Times New Roman" w:hAnsi="Times New Roman" w:cs="Times New Roman"/>
                <w:color w:val="000000"/>
                <w:sz w:val="20"/>
                <w:szCs w:val="20"/>
                <w:lang w:eastAsia="fr-FR"/>
              </w:rPr>
              <w:t xml:space="preserve"> </w:t>
            </w:r>
            <w:r w:rsidRPr="007F31D6">
              <w:rPr>
                <w:rFonts w:ascii="Times New Roman" w:hAnsi="Times New Roman" w:cs="Times New Roman"/>
                <w:b/>
                <w:color w:val="000000"/>
                <w:sz w:val="20"/>
                <w:szCs w:val="20"/>
                <w:lang w:eastAsia="fr-FR"/>
              </w:rPr>
              <w:t>une liste de 111 clients détenteurs de comptes 02 avec solde &gt; 2 000€.</w:t>
            </w:r>
            <w:r w:rsidRPr="007F31D6">
              <w:rPr>
                <w:rFonts w:ascii="Times New Roman" w:hAnsi="Times New Roman" w:cs="Times New Roman"/>
                <w:color w:val="000000"/>
                <w:sz w:val="20"/>
                <w:szCs w:val="20"/>
                <w:lang w:eastAsia="fr-FR"/>
              </w:rPr>
              <w:t xml:space="preserve"> Ces comptes de passage sont non rémunérés et leurs encours ne sont pas comptabilisés dans les stocks agences. Ils représentent donc une bonne opportunité de contact pour renouveler une relation et/ou compléter l’équipement des clients concernés.</w:t>
            </w:r>
          </w:p>
        </w:tc>
      </w:tr>
      <w:tr w:rsidR="0072594F" w:rsidRPr="00E81F6E" w:rsidTr="0072594F">
        <w:trPr>
          <w:trHeight w:val="248"/>
        </w:trPr>
        <w:tc>
          <w:tcPr>
            <w:tcW w:w="15735" w:type="dxa"/>
            <w:gridSpan w:val="3"/>
            <w:tcBorders>
              <w:bottom w:val="single" w:sz="4" w:space="0" w:color="auto"/>
            </w:tcBorders>
            <w:shd w:val="pct20" w:color="auto" w:fill="auto"/>
          </w:tcPr>
          <w:p w:rsidR="0072594F" w:rsidRPr="0072594F" w:rsidRDefault="0072594F" w:rsidP="0072594F">
            <w:pPr>
              <w:jc w:val="center"/>
              <w:rPr>
                <w:rFonts w:ascii="Times New Roman" w:hAnsi="Times New Roman" w:cs="Times New Roman"/>
                <w:b/>
                <w:sz w:val="20"/>
                <w:szCs w:val="20"/>
              </w:rPr>
            </w:pPr>
            <w:r w:rsidRPr="0072594F">
              <w:rPr>
                <w:rFonts w:ascii="Times New Roman" w:hAnsi="Times New Roman" w:cs="Times New Roman"/>
                <w:b/>
                <w:sz w:val="20"/>
                <w:szCs w:val="20"/>
              </w:rPr>
              <w:t>IARD/Prévoyance</w:t>
            </w:r>
          </w:p>
        </w:tc>
      </w:tr>
      <w:tr w:rsidR="007F31D6" w:rsidRPr="00E81F6E" w:rsidTr="00AF3BE3">
        <w:trPr>
          <w:trHeight w:val="248"/>
        </w:trPr>
        <w:tc>
          <w:tcPr>
            <w:tcW w:w="1560" w:type="dxa"/>
            <w:tcBorders>
              <w:bottom w:val="single" w:sz="4" w:space="0" w:color="auto"/>
            </w:tcBorders>
          </w:tcPr>
          <w:p w:rsidR="007F31D6" w:rsidRPr="006E364E" w:rsidRDefault="007F31D6" w:rsidP="007F31D6">
            <w:pPr>
              <w:rPr>
                <w:rFonts w:ascii="Times New Roman" w:hAnsi="Times New Roman" w:cs="Times New Roman"/>
                <w:b/>
                <w:bCs/>
                <w:sz w:val="20"/>
                <w:szCs w:val="20"/>
              </w:rPr>
            </w:pPr>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DMA</w:t>
            </w:r>
          </w:p>
        </w:tc>
        <w:tc>
          <w:tcPr>
            <w:tcW w:w="1843" w:type="dxa"/>
            <w:tcBorders>
              <w:bottom w:val="single" w:sz="4" w:space="0" w:color="auto"/>
            </w:tcBorders>
          </w:tcPr>
          <w:p w:rsidR="007F31D6" w:rsidRDefault="007F31D6" w:rsidP="007F31D6">
            <w:pPr>
              <w:rPr>
                <w:rFonts w:ascii="Calibri" w:hAnsi="Calibri" w:cs="Calibri"/>
                <w:color w:val="000000"/>
              </w:rPr>
            </w:pPr>
            <w:r>
              <w:rPr>
                <w:rFonts w:ascii="Times New Roman" w:hAnsi="Times New Roman" w:cs="Times New Roman"/>
                <w:b/>
                <w:bCs/>
                <w:color w:val="000000"/>
                <w:sz w:val="20"/>
                <w:szCs w:val="20"/>
              </w:rPr>
              <w:t>DDA – Assurances non vie</w:t>
            </w:r>
          </w:p>
        </w:tc>
        <w:tc>
          <w:tcPr>
            <w:tcW w:w="12332" w:type="dxa"/>
            <w:tcBorders>
              <w:bottom w:val="single" w:sz="4" w:space="0" w:color="auto"/>
            </w:tcBorders>
            <w:shd w:val="clear" w:color="auto" w:fill="auto"/>
          </w:tcPr>
          <w:p w:rsidR="007F31D6" w:rsidRDefault="007F31D6" w:rsidP="007F31D6">
            <w:pPr>
              <w:numPr>
                <w:ilvl w:val="0"/>
                <w:numId w:val="38"/>
              </w:numPr>
              <w:ind w:left="176" w:hanging="176"/>
              <w:contextualSpacing/>
              <w:jc w:val="both"/>
              <w:rPr>
                <w:rFonts w:ascii="Calibri" w:hAnsi="Calibri" w:cs="Calibri"/>
                <w:color w:val="000000"/>
                <w:lang w:eastAsia="fr-FR"/>
              </w:rPr>
            </w:pPr>
            <w:r>
              <w:rPr>
                <w:rFonts w:ascii="Times New Roman" w:hAnsi="Times New Roman" w:cs="Times New Roman"/>
                <w:color w:val="000000"/>
                <w:sz w:val="20"/>
                <w:szCs w:val="20"/>
              </w:rPr>
              <w:t>La mise en application de la Directive sur la Distribution d’Assurance (DDA) sera effective au 1</w:t>
            </w:r>
            <w:r>
              <w:rPr>
                <w:rFonts w:ascii="Times New Roman" w:hAnsi="Times New Roman" w:cs="Times New Roman"/>
                <w:color w:val="000000"/>
                <w:sz w:val="20"/>
                <w:szCs w:val="20"/>
                <w:vertAlign w:val="superscript"/>
              </w:rPr>
              <w:t>er</w:t>
            </w:r>
            <w:r>
              <w:rPr>
                <w:rFonts w:ascii="Times New Roman" w:hAnsi="Times New Roman" w:cs="Times New Roman"/>
                <w:color w:val="000000"/>
                <w:sz w:val="20"/>
                <w:szCs w:val="20"/>
              </w:rPr>
              <w:t xml:space="preserve"> octobre 2018. Dans ce cadre, un IPID (Insurance Product Information Document ou document d’information sur les produits d’assurance en français) devra être remis aux clients, avant chaque souscription, quel que soit le canal de vente du produit.</w:t>
            </w:r>
          </w:p>
          <w:p w:rsidR="007F31D6" w:rsidRDefault="007F31D6" w:rsidP="007F31D6">
            <w:pPr>
              <w:numPr>
                <w:ilvl w:val="0"/>
                <w:numId w:val="38"/>
              </w:numPr>
              <w:ind w:left="176" w:hanging="176"/>
              <w:contextualSpacing/>
              <w:jc w:val="both"/>
              <w:rPr>
                <w:color w:val="000000"/>
              </w:rPr>
            </w:pPr>
            <w:r>
              <w:rPr>
                <w:rFonts w:ascii="Times New Roman" w:hAnsi="Times New Roman" w:cs="Times New Roman"/>
                <w:color w:val="000000"/>
                <w:sz w:val="20"/>
                <w:szCs w:val="20"/>
              </w:rPr>
              <w:t>Ces IPID sont d’ores et déjà accessibles pour les produits Auto, MRH, GAV, Santé et PJ à l’unité :</w:t>
            </w:r>
          </w:p>
          <w:p w:rsidR="007F31D6" w:rsidRDefault="007F31D6" w:rsidP="007F31D6">
            <w:pPr>
              <w:numPr>
                <w:ilvl w:val="0"/>
                <w:numId w:val="17"/>
              </w:numPr>
              <w:contextualSpacing/>
              <w:jc w:val="both"/>
              <w:rPr>
                <w:rFonts w:ascii="Times New Roman" w:hAnsi="Times New Roman" w:cs="Times New Roman"/>
                <w:color w:val="000000"/>
                <w:sz w:val="20"/>
                <w:szCs w:val="20"/>
              </w:rPr>
            </w:pPr>
            <w:r>
              <w:rPr>
                <w:rFonts w:ascii="Times New Roman" w:hAnsi="Times New Roman" w:cs="Times New Roman"/>
                <w:color w:val="000000"/>
                <w:sz w:val="20"/>
                <w:szCs w:val="20"/>
              </w:rPr>
              <w:t>depuis Impulse, l’IPID s’édite en même temps que les documents composant actuellement</w:t>
            </w:r>
            <w:r w:rsidR="00832B1B">
              <w:rPr>
                <w:rFonts w:ascii="Times New Roman" w:hAnsi="Times New Roman" w:cs="Times New Roman"/>
                <w:color w:val="000000"/>
                <w:sz w:val="20"/>
                <w:szCs w:val="20"/>
              </w:rPr>
              <w:t xml:space="preserve"> </w:t>
            </w:r>
            <w:r>
              <w:rPr>
                <w:rFonts w:ascii="Times New Roman" w:hAnsi="Times New Roman" w:cs="Times New Roman"/>
                <w:color w:val="000000"/>
                <w:sz w:val="20"/>
                <w:szCs w:val="20"/>
              </w:rPr>
              <w:t>la liasse éditique,</w:t>
            </w:r>
          </w:p>
          <w:p w:rsidR="007F31D6" w:rsidRDefault="007F31D6" w:rsidP="007F31D6">
            <w:pPr>
              <w:numPr>
                <w:ilvl w:val="0"/>
                <w:numId w:val="17"/>
              </w:numPr>
              <w:contextualSpacing/>
              <w:jc w:val="both"/>
              <w:rPr>
                <w:rFonts w:ascii="Times New Roman" w:hAnsi="Times New Roman" w:cs="Times New Roman"/>
                <w:color w:val="000000"/>
                <w:sz w:val="20"/>
                <w:szCs w:val="20"/>
              </w:rPr>
            </w:pPr>
            <w:r>
              <w:rPr>
                <w:rFonts w:ascii="Times New Roman" w:hAnsi="Times New Roman" w:cs="Times New Roman"/>
                <w:color w:val="000000"/>
                <w:sz w:val="20"/>
                <w:szCs w:val="20"/>
              </w:rPr>
              <w:t>depuis l’outil santé,</w:t>
            </w:r>
            <w:r w:rsidR="00832B1B">
              <w:rPr>
                <w:rFonts w:ascii="Times New Roman" w:hAnsi="Times New Roman" w:cs="Times New Roman"/>
                <w:color w:val="000000"/>
                <w:sz w:val="20"/>
                <w:szCs w:val="20"/>
              </w:rPr>
              <w:t xml:space="preserve"> </w:t>
            </w:r>
            <w:r>
              <w:rPr>
                <w:rFonts w:ascii="Times New Roman" w:hAnsi="Times New Roman" w:cs="Times New Roman"/>
                <w:color w:val="000000"/>
                <w:sz w:val="20"/>
                <w:szCs w:val="20"/>
              </w:rPr>
              <w:t>l’IPID est édité avant l’avis de conseil</w:t>
            </w:r>
          </w:p>
          <w:p w:rsidR="007F31D6" w:rsidRDefault="007F31D6" w:rsidP="007F31D6">
            <w:pPr>
              <w:numPr>
                <w:ilvl w:val="0"/>
                <w:numId w:val="17"/>
              </w:numPr>
              <w:contextualSpacing/>
              <w:jc w:val="both"/>
              <w:rPr>
                <w:rFonts w:ascii="Times New Roman" w:hAnsi="Times New Roman" w:cs="Times New Roman"/>
                <w:color w:val="000000"/>
                <w:sz w:val="20"/>
                <w:szCs w:val="20"/>
              </w:rPr>
            </w:pPr>
            <w:r>
              <w:rPr>
                <w:rFonts w:ascii="Times New Roman" w:hAnsi="Times New Roman" w:cs="Times New Roman"/>
                <w:color w:val="000000"/>
                <w:sz w:val="20"/>
                <w:szCs w:val="20"/>
              </w:rPr>
              <w:t>depuis l’intranet BPCEA, dans l’onglet « produits CE », sous le libellé « Document d’information sur le produit d’assurance »</w:t>
            </w:r>
          </w:p>
          <w:p w:rsidR="007F31D6" w:rsidRDefault="007F31D6" w:rsidP="007F31D6">
            <w:pPr>
              <w:numPr>
                <w:ilvl w:val="0"/>
                <w:numId w:val="38"/>
              </w:numPr>
              <w:ind w:left="176" w:hanging="176"/>
              <w:contextualSpacing/>
              <w:jc w:val="both"/>
              <w:rPr>
                <w:color w:val="000000"/>
              </w:rPr>
            </w:pPr>
            <w:r>
              <w:rPr>
                <w:rFonts w:ascii="Times New Roman" w:hAnsi="Times New Roman" w:cs="Times New Roman"/>
                <w:color w:val="000000"/>
                <w:sz w:val="20"/>
                <w:szCs w:val="20"/>
              </w:rPr>
              <w:t xml:space="preserve">Retrouvez plus d’informations dans la Rubrique des Commerciaux / Particuliers / IARD &amp; Prévoyance / Assurances IARD / Directive sur la Distribution </w:t>
            </w:r>
            <w:r w:rsidRPr="007F31D6">
              <w:rPr>
                <w:rFonts w:ascii="Times New Roman" w:hAnsi="Times New Roman" w:cs="Times New Roman"/>
                <w:color w:val="000000"/>
                <w:sz w:val="20"/>
                <w:szCs w:val="20"/>
              </w:rPr>
              <w:t xml:space="preserve">d’Assurances ou </w:t>
            </w:r>
            <w:hyperlink r:id="rId24" w:history="1">
              <w:r w:rsidRPr="007F31D6">
                <w:rPr>
                  <w:rStyle w:val="Lienhypertexte"/>
                  <w:rFonts w:ascii="Times New Roman" w:hAnsi="Times New Roman" w:cs="Times New Roman"/>
                  <w:sz w:val="20"/>
                  <w:szCs w:val="20"/>
                </w:rPr>
                <w:t>en cliquant ici</w:t>
              </w:r>
            </w:hyperlink>
            <w:r w:rsidRPr="007F31D6">
              <w:rPr>
                <w:rFonts w:ascii="Times New Roman" w:hAnsi="Times New Roman" w:cs="Times New Roman"/>
                <w:color w:val="000000"/>
                <w:sz w:val="20"/>
                <w:szCs w:val="20"/>
              </w:rPr>
              <w:t>.</w:t>
            </w:r>
            <w:r>
              <w:rPr>
                <w:rFonts w:ascii="Times New Roman" w:hAnsi="Times New Roman" w:cs="Times New Roman"/>
                <w:color w:val="000000"/>
                <w:sz w:val="20"/>
                <w:szCs w:val="20"/>
              </w:rPr>
              <w:t xml:space="preserve"> </w:t>
            </w:r>
          </w:p>
        </w:tc>
      </w:tr>
      <w:tr w:rsidR="0072594F" w:rsidRPr="00E81F6E" w:rsidTr="0072594F">
        <w:trPr>
          <w:trHeight w:val="248"/>
        </w:trPr>
        <w:tc>
          <w:tcPr>
            <w:tcW w:w="15735" w:type="dxa"/>
            <w:gridSpan w:val="3"/>
            <w:tcBorders>
              <w:bottom w:val="single" w:sz="4" w:space="0" w:color="auto"/>
            </w:tcBorders>
            <w:shd w:val="pct20" w:color="auto" w:fill="auto"/>
          </w:tcPr>
          <w:p w:rsidR="0072594F" w:rsidRPr="0072594F" w:rsidRDefault="0072594F" w:rsidP="0072594F">
            <w:pPr>
              <w:contextualSpacing/>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Multicanal</w:t>
            </w:r>
          </w:p>
        </w:tc>
      </w:tr>
      <w:tr w:rsidR="004E5DB3" w:rsidRPr="00E81F6E" w:rsidTr="00AF3BE3">
        <w:trPr>
          <w:trHeight w:val="248"/>
        </w:trPr>
        <w:tc>
          <w:tcPr>
            <w:tcW w:w="1560" w:type="dxa"/>
            <w:tcBorders>
              <w:bottom w:val="single" w:sz="4" w:space="0" w:color="auto"/>
            </w:tcBorders>
          </w:tcPr>
          <w:p w:rsidR="004E5DB3" w:rsidRDefault="004E5DB3" w:rsidP="00BA6F78">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DMA</w:t>
            </w:r>
          </w:p>
        </w:tc>
        <w:tc>
          <w:tcPr>
            <w:tcW w:w="1843" w:type="dxa"/>
            <w:tcBorders>
              <w:bottom w:val="single" w:sz="4" w:space="0" w:color="auto"/>
            </w:tcBorders>
          </w:tcPr>
          <w:p w:rsidR="004E5DB3" w:rsidRPr="004E5DB3" w:rsidRDefault="004E5DB3" w:rsidP="005A67FA">
            <w:pPr>
              <w:rPr>
                <w:rFonts w:ascii="Times New Roman" w:hAnsi="Times New Roman" w:cs="Times New Roman"/>
                <w:b/>
                <w:sz w:val="20"/>
                <w:szCs w:val="20"/>
              </w:rPr>
            </w:pPr>
            <w:r w:rsidRPr="004E5DB3">
              <w:rPr>
                <w:rFonts w:ascii="Times New Roman" w:hAnsi="Times New Roman" w:cs="Times New Roman"/>
                <w:b/>
                <w:sz w:val="20"/>
                <w:szCs w:val="20"/>
              </w:rPr>
              <w:t>BAD PRO</w:t>
            </w:r>
          </w:p>
          <w:p w:rsidR="004E5DB3" w:rsidRPr="004E5DB3" w:rsidRDefault="004E5DB3" w:rsidP="005A67FA">
            <w:pPr>
              <w:rPr>
                <w:rFonts w:ascii="Times New Roman" w:hAnsi="Times New Roman" w:cs="Times New Roman"/>
                <w:sz w:val="20"/>
                <w:szCs w:val="20"/>
              </w:rPr>
            </w:pPr>
          </w:p>
        </w:tc>
        <w:tc>
          <w:tcPr>
            <w:tcW w:w="12332" w:type="dxa"/>
            <w:tcBorders>
              <w:bottom w:val="single" w:sz="4" w:space="0" w:color="auto"/>
            </w:tcBorders>
            <w:shd w:val="clear" w:color="auto" w:fill="auto"/>
          </w:tcPr>
          <w:p w:rsidR="004E5DB3" w:rsidRPr="004E5DB3" w:rsidRDefault="004E5DB3" w:rsidP="004E5DB3">
            <w:pPr>
              <w:numPr>
                <w:ilvl w:val="0"/>
                <w:numId w:val="25"/>
              </w:numPr>
              <w:ind w:left="176" w:hanging="176"/>
              <w:contextualSpacing/>
              <w:jc w:val="both"/>
              <w:rPr>
                <w:rFonts w:ascii="Times New Roman" w:hAnsi="Times New Roman" w:cs="Times New Roman"/>
                <w:sz w:val="20"/>
                <w:szCs w:val="20"/>
              </w:rPr>
            </w:pPr>
            <w:r w:rsidRPr="004E5DB3">
              <w:rPr>
                <w:rFonts w:ascii="Times New Roman" w:hAnsi="Times New Roman" w:cs="Times New Roman"/>
                <w:sz w:val="20"/>
                <w:szCs w:val="20"/>
              </w:rPr>
              <w:t xml:space="preserve">Une note d’info concernant l’obligation pour toutes les CE de fiabiliser les usagers principaux et usagers secondaires a été publiée mi-décembre </w:t>
            </w:r>
            <w:hyperlink r:id="rId25" w:history="1">
              <w:r w:rsidRPr="004E5DB3">
                <w:rPr>
                  <w:rStyle w:val="Lienhypertexte"/>
                  <w:rFonts w:ascii="Times New Roman" w:hAnsi="Times New Roman" w:cs="Times New Roman"/>
                  <w:sz w:val="20"/>
                  <w:szCs w:val="20"/>
                </w:rPr>
                <w:t>DMA-INF/17.114 «</w:t>
              </w:r>
              <w:r w:rsidR="00832B1B">
                <w:rPr>
                  <w:rStyle w:val="Lienhypertexte"/>
                  <w:rFonts w:ascii="Times New Roman" w:hAnsi="Times New Roman" w:cs="Times New Roman"/>
                  <w:sz w:val="20"/>
                  <w:szCs w:val="20"/>
                </w:rPr>
                <w:t xml:space="preserve"> </w:t>
              </w:r>
              <w:r w:rsidRPr="004E5DB3">
                <w:rPr>
                  <w:rStyle w:val="Lienhypertexte"/>
                  <w:rFonts w:ascii="Times New Roman" w:hAnsi="Times New Roman" w:cs="Times New Roman"/>
                  <w:sz w:val="20"/>
                  <w:szCs w:val="20"/>
                </w:rPr>
                <w:t>fiabilisation des données clients »</w:t>
              </w:r>
            </w:hyperlink>
            <w:r w:rsidRPr="004E5DB3">
              <w:rPr>
                <w:rFonts w:ascii="Times New Roman" w:hAnsi="Times New Roman" w:cs="Times New Roman"/>
                <w:sz w:val="20"/>
                <w:szCs w:val="20"/>
              </w:rPr>
              <w:t xml:space="preserve">. </w:t>
            </w:r>
          </w:p>
          <w:p w:rsidR="004E5DB3" w:rsidRPr="004E5DB3" w:rsidRDefault="004E5DB3" w:rsidP="004E5DB3">
            <w:pPr>
              <w:numPr>
                <w:ilvl w:val="0"/>
                <w:numId w:val="25"/>
              </w:numPr>
              <w:ind w:left="176" w:hanging="176"/>
              <w:contextualSpacing/>
              <w:jc w:val="both"/>
              <w:rPr>
                <w:rFonts w:ascii="Times New Roman" w:hAnsi="Times New Roman" w:cs="Times New Roman"/>
                <w:sz w:val="20"/>
                <w:szCs w:val="20"/>
              </w:rPr>
            </w:pPr>
            <w:r w:rsidRPr="004E5DB3">
              <w:rPr>
                <w:rFonts w:ascii="Times New Roman" w:hAnsi="Times New Roman" w:cs="Times New Roman"/>
                <w:sz w:val="20"/>
                <w:szCs w:val="20"/>
              </w:rPr>
              <w:t>Un email personnalisé à destination des conseillers concernés a été envoyé par O BASTIEN :</w:t>
            </w:r>
          </w:p>
          <w:p w:rsidR="004E5DB3" w:rsidRPr="004E5DB3" w:rsidRDefault="004E5DB3" w:rsidP="004E5DB3">
            <w:pPr>
              <w:numPr>
                <w:ilvl w:val="0"/>
                <w:numId w:val="17"/>
              </w:numPr>
              <w:contextualSpacing/>
              <w:jc w:val="both"/>
              <w:rPr>
                <w:rFonts w:ascii="Times New Roman" w:hAnsi="Times New Roman" w:cs="Times New Roman"/>
                <w:sz w:val="20"/>
                <w:szCs w:val="20"/>
              </w:rPr>
            </w:pPr>
            <w:r w:rsidRPr="004E5DB3">
              <w:rPr>
                <w:rFonts w:ascii="Times New Roman" w:hAnsi="Times New Roman" w:cs="Times New Roman"/>
                <w:sz w:val="20"/>
                <w:szCs w:val="20"/>
              </w:rPr>
              <w:t>mer. 10/01/2018 « Service BAD PRO sans usager principal défini sur l’abonnement BAD au PTU »</w:t>
            </w:r>
          </w:p>
          <w:p w:rsidR="004E5DB3" w:rsidRPr="004E5DB3" w:rsidRDefault="004E5DB3" w:rsidP="004E5DB3">
            <w:pPr>
              <w:numPr>
                <w:ilvl w:val="0"/>
                <w:numId w:val="17"/>
              </w:numPr>
              <w:contextualSpacing/>
              <w:jc w:val="both"/>
              <w:rPr>
                <w:rFonts w:ascii="Times New Roman" w:hAnsi="Times New Roman" w:cs="Times New Roman"/>
                <w:sz w:val="20"/>
                <w:szCs w:val="20"/>
              </w:rPr>
            </w:pPr>
            <w:r w:rsidRPr="004E5DB3">
              <w:rPr>
                <w:rFonts w:ascii="Times New Roman" w:hAnsi="Times New Roman" w:cs="Times New Roman"/>
                <w:sz w:val="20"/>
                <w:szCs w:val="20"/>
              </w:rPr>
              <w:t>mer. 17/01/2018 « Message N°2 : Service BAD PRO avec usager secondaire sans n° de personne connu du domaine BAD »</w:t>
            </w:r>
          </w:p>
          <w:p w:rsidR="004E5DB3" w:rsidRPr="004E5DB3" w:rsidRDefault="004E5DB3" w:rsidP="005A67FA">
            <w:pPr>
              <w:numPr>
                <w:ilvl w:val="0"/>
                <w:numId w:val="25"/>
              </w:numPr>
              <w:ind w:left="176" w:hanging="176"/>
              <w:contextualSpacing/>
              <w:jc w:val="both"/>
              <w:rPr>
                <w:rFonts w:ascii="Times New Roman" w:hAnsi="Times New Roman" w:cs="Times New Roman"/>
                <w:b/>
                <w:bCs/>
                <w:color w:val="FF0000"/>
                <w:sz w:val="20"/>
                <w:szCs w:val="20"/>
                <w:lang w:eastAsia="fr-FR"/>
              </w:rPr>
            </w:pPr>
            <w:r w:rsidRPr="004E5DB3">
              <w:rPr>
                <w:rFonts w:ascii="Times New Roman" w:hAnsi="Times New Roman" w:cs="Times New Roman"/>
                <w:b/>
                <w:color w:val="FF0000"/>
                <w:sz w:val="20"/>
                <w:szCs w:val="20"/>
              </w:rPr>
              <w:t>Si vous avez été destinataire d’un de ces 2 messages,</w:t>
            </w:r>
            <w:r w:rsidR="00832B1B">
              <w:rPr>
                <w:rFonts w:ascii="Times New Roman" w:hAnsi="Times New Roman" w:cs="Times New Roman"/>
                <w:b/>
                <w:color w:val="FF0000"/>
                <w:sz w:val="20"/>
                <w:szCs w:val="20"/>
              </w:rPr>
              <w:t xml:space="preserve"> </w:t>
            </w:r>
            <w:r w:rsidRPr="004E5DB3">
              <w:rPr>
                <w:rFonts w:ascii="Times New Roman" w:hAnsi="Times New Roman" w:cs="Times New Roman"/>
                <w:sz w:val="20"/>
                <w:szCs w:val="20"/>
              </w:rPr>
              <w:t>merci de procéder aux régularisations indiquées. ITCE rappelle qu’un client non fiabilisé ne pourra plus utiliser ses applications BAD au démarrage du projet.</w:t>
            </w:r>
          </w:p>
        </w:tc>
      </w:tr>
      <w:tr w:rsidR="00755737" w:rsidRPr="00E81F6E" w:rsidTr="00FA4565">
        <w:trPr>
          <w:trHeight w:val="248"/>
        </w:trPr>
        <w:tc>
          <w:tcPr>
            <w:tcW w:w="15735" w:type="dxa"/>
            <w:gridSpan w:val="3"/>
            <w:tcBorders>
              <w:bottom w:val="single" w:sz="4" w:space="0" w:color="auto"/>
            </w:tcBorders>
            <w:shd w:val="clear" w:color="auto" w:fill="BFBFBF" w:themeFill="background1" w:themeFillShade="BF"/>
          </w:tcPr>
          <w:p w:rsidR="00755737" w:rsidRPr="00755737" w:rsidRDefault="007F31D6" w:rsidP="00755737">
            <w:pPr>
              <w:jc w:val="center"/>
              <w:rPr>
                <w:rFonts w:ascii="Times New Roman" w:hAnsi="Times New Roman" w:cs="Times New Roman"/>
                <w:b/>
                <w:sz w:val="20"/>
                <w:szCs w:val="20"/>
              </w:rPr>
            </w:pPr>
            <w:r>
              <w:rPr>
                <w:rFonts w:ascii="Times New Roman" w:hAnsi="Times New Roman" w:cs="Times New Roman"/>
                <w:b/>
                <w:sz w:val="20"/>
                <w:szCs w:val="20"/>
              </w:rPr>
              <w:t>Qualité</w:t>
            </w:r>
          </w:p>
        </w:tc>
      </w:tr>
      <w:tr w:rsidR="007F31D6" w:rsidRPr="00E81F6E" w:rsidTr="00AF3BE3">
        <w:trPr>
          <w:trHeight w:val="248"/>
        </w:trPr>
        <w:tc>
          <w:tcPr>
            <w:tcW w:w="1560" w:type="dxa"/>
            <w:tcBorders>
              <w:bottom w:val="single" w:sz="4" w:space="0" w:color="auto"/>
            </w:tcBorders>
          </w:tcPr>
          <w:p w:rsidR="007F31D6" w:rsidRPr="00E81F6E" w:rsidRDefault="007F31D6" w:rsidP="00FC10BC">
            <w:pPr>
              <w:rPr>
                <w:rFonts w:ascii="Times New Roman" w:hAnsi="Times New Roman" w:cs="Times New Roman"/>
                <w:b/>
                <w:bCs/>
                <w:sz w:val="20"/>
                <w:szCs w:val="20"/>
              </w:rPr>
            </w:pPr>
            <w:r w:rsidRPr="00E81F6E">
              <w:rPr>
                <w:rFonts w:ascii="Times New Roman" w:hAnsi="Times New Roman" w:cs="Times New Roman"/>
                <w:b/>
                <w:bCs/>
                <w:sz w:val="20"/>
                <w:szCs w:val="20"/>
              </w:rPr>
              <w:t xml:space="preserve">Com. </w:t>
            </w:r>
            <w:r>
              <w:rPr>
                <w:rFonts w:ascii="Times New Roman" w:hAnsi="Times New Roman" w:cs="Times New Roman"/>
                <w:b/>
                <w:bCs/>
                <w:sz w:val="20"/>
                <w:szCs w:val="20"/>
              </w:rPr>
              <w:t>Qualité</w:t>
            </w:r>
          </w:p>
        </w:tc>
        <w:tc>
          <w:tcPr>
            <w:tcW w:w="1843" w:type="dxa"/>
            <w:tcBorders>
              <w:bottom w:val="single" w:sz="4" w:space="0" w:color="auto"/>
            </w:tcBorders>
          </w:tcPr>
          <w:p w:rsidR="007F31D6" w:rsidRPr="0049239A" w:rsidRDefault="007F31D6">
            <w:pPr>
              <w:spacing w:line="276" w:lineRule="auto"/>
              <w:rPr>
                <w:rFonts w:ascii="Times New Roman" w:hAnsi="Times New Roman" w:cs="Times New Roman"/>
              </w:rPr>
            </w:pPr>
            <w:r w:rsidRPr="0049239A">
              <w:rPr>
                <w:rFonts w:ascii="Times New Roman" w:hAnsi="Times New Roman" w:cs="Times New Roman"/>
                <w:b/>
                <w:bCs/>
                <w:color w:val="000000"/>
                <w:sz w:val="20"/>
                <w:szCs w:val="20"/>
              </w:rPr>
              <w:t>Qualité Haute Définition (QHD)</w:t>
            </w:r>
          </w:p>
          <w:p w:rsidR="007F31D6" w:rsidRPr="0049239A" w:rsidRDefault="007F31D6">
            <w:pPr>
              <w:spacing w:line="276" w:lineRule="auto"/>
              <w:rPr>
                <w:rFonts w:ascii="Times New Roman" w:hAnsi="Times New Roman" w:cs="Times New Roman"/>
              </w:rPr>
            </w:pPr>
            <w:r w:rsidRPr="0049239A">
              <w:rPr>
                <w:rFonts w:ascii="Times New Roman" w:hAnsi="Times New Roman" w:cs="Times New Roman"/>
                <w:b/>
                <w:bCs/>
                <w:color w:val="000000"/>
                <w:sz w:val="20"/>
                <w:szCs w:val="20"/>
              </w:rPr>
              <w:t> </w:t>
            </w:r>
          </w:p>
        </w:tc>
        <w:tc>
          <w:tcPr>
            <w:tcW w:w="12332" w:type="dxa"/>
            <w:tcBorders>
              <w:bottom w:val="single" w:sz="4" w:space="0" w:color="auto"/>
            </w:tcBorders>
            <w:shd w:val="clear" w:color="auto" w:fill="auto"/>
          </w:tcPr>
          <w:p w:rsidR="007F31D6" w:rsidRPr="007F31D6" w:rsidRDefault="00891726" w:rsidP="0049239A">
            <w:pPr>
              <w:numPr>
                <w:ilvl w:val="0"/>
                <w:numId w:val="25"/>
              </w:numPr>
              <w:ind w:left="176" w:hanging="176"/>
              <w:contextualSpacing/>
              <w:jc w:val="both"/>
              <w:rPr>
                <w:rFonts w:ascii="Times New Roman" w:hAnsi="Times New Roman" w:cs="Times New Roman"/>
              </w:rPr>
            </w:pPr>
            <w:hyperlink r:id="rId26" w:history="1">
              <w:r w:rsidR="007F31D6" w:rsidRPr="007F31D6">
                <w:rPr>
                  <w:rStyle w:val="Lienhypertexte"/>
                  <w:rFonts w:ascii="Times New Roman" w:hAnsi="Times New Roman" w:cs="Times New Roman"/>
                  <w:color w:val="000000"/>
                  <w:sz w:val="20"/>
                  <w:szCs w:val="20"/>
                </w:rPr>
                <w:t>Les rapports de satisfaction du mois de Décembre</w:t>
              </w:r>
            </w:hyperlink>
            <w:r w:rsidR="007F31D6" w:rsidRPr="007F31D6">
              <w:rPr>
                <w:rFonts w:ascii="Times New Roman" w:hAnsi="Times New Roman" w:cs="Times New Roman"/>
                <w:color w:val="000000"/>
                <w:sz w:val="20"/>
                <w:szCs w:val="20"/>
              </w:rPr>
              <w:t xml:space="preserve"> sont accessibles sur </w:t>
            </w:r>
            <w:hyperlink r:id="rId27" w:history="1">
              <w:r w:rsidR="007F31D6" w:rsidRPr="007F31D6">
                <w:rPr>
                  <w:rStyle w:val="Lienhypertexte"/>
                  <w:rFonts w:ascii="Times New Roman" w:hAnsi="Times New Roman" w:cs="Times New Roman"/>
                  <w:color w:val="000000"/>
                  <w:sz w:val="20"/>
                  <w:szCs w:val="20"/>
                </w:rPr>
                <w:t>le site Qualité</w:t>
              </w:r>
            </w:hyperlink>
            <w:r w:rsidR="007F31D6" w:rsidRPr="007F31D6">
              <w:rPr>
                <w:rFonts w:ascii="Times New Roman" w:hAnsi="Times New Roman" w:cs="Times New Roman"/>
                <w:color w:val="000000"/>
                <w:sz w:val="20"/>
                <w:szCs w:val="20"/>
              </w:rPr>
              <w:t>. En Décembre, la moyenne de satisfaction sur 3 mois glissants est de 71%. Les amplitudes de Satisfaction en TS-I (% de Très Satisfaits - % d’Insatisfaits) vont de 3 % à 100 % ce mois-ci.</w:t>
            </w:r>
          </w:p>
          <w:p w:rsidR="007F31D6" w:rsidRPr="007F31D6" w:rsidRDefault="007F31D6" w:rsidP="0049239A">
            <w:pPr>
              <w:numPr>
                <w:ilvl w:val="0"/>
                <w:numId w:val="25"/>
              </w:numPr>
              <w:ind w:left="176" w:hanging="176"/>
              <w:contextualSpacing/>
              <w:jc w:val="both"/>
              <w:rPr>
                <w:rFonts w:ascii="Times New Roman" w:hAnsi="Times New Roman" w:cs="Times New Roman"/>
              </w:rPr>
            </w:pPr>
            <w:r w:rsidRPr="007F31D6">
              <w:rPr>
                <w:rFonts w:ascii="Times New Roman" w:hAnsi="Times New Roman" w:cs="Times New Roman"/>
                <w:color w:val="000000"/>
                <w:sz w:val="20"/>
                <w:szCs w:val="20"/>
              </w:rPr>
              <w:t>Le Service Qualité propose, aux DUC / DA / DAA qui le souhaitent, une audio de 45 min pour décrypter les résultats.</w:t>
            </w:r>
            <w:r w:rsidR="0049239A">
              <w:rPr>
                <w:rFonts w:ascii="Times New Roman" w:hAnsi="Times New Roman" w:cs="Times New Roman"/>
                <w:color w:val="000000"/>
                <w:sz w:val="20"/>
                <w:szCs w:val="20"/>
              </w:rPr>
              <w:t xml:space="preserve"> </w:t>
            </w:r>
            <w:r w:rsidRPr="007F31D6">
              <w:rPr>
                <w:rFonts w:ascii="Times New Roman" w:hAnsi="Times New Roman" w:cs="Times New Roman"/>
                <w:color w:val="000000"/>
                <w:sz w:val="20"/>
                <w:szCs w:val="20"/>
              </w:rPr>
              <w:t>Les agences qui recueillent une Satisfaction globale inférieure à 50% (TS-I), peuvent également être accompagnées.</w:t>
            </w:r>
            <w:r w:rsidRPr="007F31D6">
              <w:rPr>
                <w:rFonts w:ascii="Times New Roman" w:hAnsi="Times New Roman" w:cs="Times New Roman"/>
                <w:color w:val="000000"/>
              </w:rPr>
              <w:t xml:space="preserve"> </w:t>
            </w:r>
          </w:p>
        </w:tc>
      </w:tr>
      <w:tr w:rsidR="007F31D6" w:rsidRPr="00E81F6E" w:rsidTr="00832B1B">
        <w:trPr>
          <w:trHeight w:val="248"/>
        </w:trPr>
        <w:tc>
          <w:tcPr>
            <w:tcW w:w="1560" w:type="dxa"/>
            <w:tcBorders>
              <w:bottom w:val="single" w:sz="4" w:space="0" w:color="auto"/>
            </w:tcBorders>
          </w:tcPr>
          <w:p w:rsidR="007F31D6" w:rsidRPr="00E81F6E" w:rsidRDefault="007F31D6" w:rsidP="00FC10BC">
            <w:pPr>
              <w:rPr>
                <w:rFonts w:ascii="Times New Roman" w:hAnsi="Times New Roman" w:cs="Times New Roman"/>
                <w:b/>
                <w:bCs/>
                <w:sz w:val="20"/>
                <w:szCs w:val="20"/>
              </w:rPr>
            </w:pPr>
            <w:r w:rsidRPr="00E81F6E">
              <w:rPr>
                <w:rFonts w:ascii="Times New Roman" w:hAnsi="Times New Roman" w:cs="Times New Roman"/>
                <w:b/>
                <w:bCs/>
                <w:sz w:val="20"/>
                <w:szCs w:val="20"/>
              </w:rPr>
              <w:t xml:space="preserve">Com. </w:t>
            </w:r>
            <w:r>
              <w:rPr>
                <w:rFonts w:ascii="Times New Roman" w:hAnsi="Times New Roman" w:cs="Times New Roman"/>
                <w:b/>
                <w:bCs/>
                <w:sz w:val="20"/>
                <w:szCs w:val="20"/>
              </w:rPr>
              <w:t>Qualité</w:t>
            </w:r>
          </w:p>
        </w:tc>
        <w:tc>
          <w:tcPr>
            <w:tcW w:w="1843" w:type="dxa"/>
            <w:tcBorders>
              <w:bottom w:val="single" w:sz="4" w:space="0" w:color="auto"/>
            </w:tcBorders>
          </w:tcPr>
          <w:p w:rsidR="007F31D6" w:rsidRPr="0049239A" w:rsidRDefault="007F31D6">
            <w:pPr>
              <w:rPr>
                <w:rFonts w:ascii="Times New Roman" w:hAnsi="Times New Roman" w:cs="Times New Roman"/>
              </w:rPr>
            </w:pPr>
            <w:r w:rsidRPr="0049239A">
              <w:rPr>
                <w:rFonts w:ascii="Times New Roman" w:hAnsi="Times New Roman" w:cs="Times New Roman"/>
                <w:b/>
                <w:bCs/>
                <w:sz w:val="20"/>
                <w:szCs w:val="20"/>
              </w:rPr>
              <w:t>BSM part</w:t>
            </w:r>
          </w:p>
          <w:p w:rsidR="007F31D6" w:rsidRPr="0049239A" w:rsidRDefault="007F31D6">
            <w:pPr>
              <w:spacing w:line="276" w:lineRule="auto"/>
              <w:rPr>
                <w:rFonts w:ascii="Times New Roman" w:hAnsi="Times New Roman" w:cs="Times New Roman"/>
                <w:b/>
                <w:bCs/>
                <w:color w:val="000000"/>
                <w:sz w:val="20"/>
                <w:szCs w:val="20"/>
              </w:rPr>
            </w:pPr>
            <w:r w:rsidRPr="0049239A">
              <w:rPr>
                <w:rFonts w:ascii="Times New Roman" w:hAnsi="Times New Roman" w:cs="Times New Roman"/>
                <w:sz w:val="20"/>
                <w:szCs w:val="20"/>
              </w:rPr>
              <w:t> </w:t>
            </w:r>
          </w:p>
        </w:tc>
        <w:tc>
          <w:tcPr>
            <w:tcW w:w="12332" w:type="dxa"/>
            <w:tcBorders>
              <w:bottom w:val="single" w:sz="4" w:space="0" w:color="auto"/>
            </w:tcBorders>
            <w:shd w:val="clear" w:color="auto" w:fill="auto"/>
          </w:tcPr>
          <w:p w:rsidR="007F31D6" w:rsidRPr="007F31D6" w:rsidRDefault="007F31D6" w:rsidP="0049239A">
            <w:pPr>
              <w:numPr>
                <w:ilvl w:val="0"/>
                <w:numId w:val="25"/>
              </w:numPr>
              <w:ind w:left="176" w:hanging="176"/>
              <w:contextualSpacing/>
              <w:jc w:val="both"/>
              <w:rPr>
                <w:rFonts w:ascii="Times New Roman" w:hAnsi="Times New Roman" w:cs="Times New Roman"/>
                <w:color w:val="000000"/>
                <w:sz w:val="20"/>
                <w:szCs w:val="20"/>
              </w:rPr>
            </w:pPr>
            <w:r w:rsidRPr="0049239A">
              <w:rPr>
                <w:rFonts w:ascii="Times New Roman" w:hAnsi="Times New Roman" w:cs="Times New Roman"/>
                <w:sz w:val="20"/>
                <w:szCs w:val="20"/>
              </w:rPr>
              <w:t>Le BSM Particulier se déroulera du 29 janvier au 10 février 2018</w:t>
            </w:r>
            <w:r w:rsidR="0049239A" w:rsidRPr="0049239A">
              <w:rPr>
                <w:rFonts w:ascii="Times New Roman" w:hAnsi="Times New Roman" w:cs="Times New Roman"/>
                <w:sz w:val="20"/>
                <w:szCs w:val="20"/>
              </w:rPr>
              <w:t xml:space="preserve">. </w:t>
            </w:r>
            <w:r w:rsidRPr="0049239A">
              <w:rPr>
                <w:rFonts w:ascii="Times New Roman" w:hAnsi="Times New Roman" w:cs="Times New Roman"/>
                <w:sz w:val="20"/>
                <w:szCs w:val="20"/>
              </w:rPr>
              <w:t>Il s’agit d’évaluer la satisfaction du réseau commercial, des fonctions support et des managers vis-à-vis des prestations de nos principales filiales et permettre à ces dernières d’orienter leur Plan d’Actions Qualité.</w:t>
            </w:r>
            <w:r w:rsidR="0049239A">
              <w:rPr>
                <w:rFonts w:ascii="Times New Roman" w:hAnsi="Times New Roman" w:cs="Times New Roman"/>
                <w:sz w:val="20"/>
                <w:szCs w:val="20"/>
              </w:rPr>
              <w:t xml:space="preserve"> </w:t>
            </w:r>
            <w:r w:rsidRPr="007F31D6">
              <w:rPr>
                <w:rFonts w:ascii="Times New Roman" w:hAnsi="Times New Roman" w:cs="Times New Roman"/>
                <w:sz w:val="20"/>
                <w:szCs w:val="20"/>
              </w:rPr>
              <w:t xml:space="preserve">Retrouvez </w:t>
            </w:r>
            <w:r w:rsidR="0049239A">
              <w:rPr>
                <w:rFonts w:ascii="Times New Roman" w:hAnsi="Times New Roman" w:cs="Times New Roman"/>
                <w:sz w:val="20"/>
                <w:szCs w:val="20"/>
              </w:rPr>
              <w:t xml:space="preserve">en </w:t>
            </w:r>
            <w:hyperlink r:id="rId28" w:history="1">
              <w:r w:rsidR="0049239A" w:rsidRPr="0049239A">
                <w:rPr>
                  <w:rStyle w:val="Lienhypertexte"/>
                  <w:rFonts w:ascii="Times New Roman" w:hAnsi="Times New Roman" w:cs="Times New Roman"/>
                  <w:sz w:val="20"/>
                  <w:szCs w:val="20"/>
                </w:rPr>
                <w:t>cliquant ici</w:t>
              </w:r>
            </w:hyperlink>
            <w:r w:rsidR="0049239A">
              <w:rPr>
                <w:rFonts w:ascii="Times New Roman" w:hAnsi="Times New Roman" w:cs="Times New Roman"/>
                <w:sz w:val="20"/>
                <w:szCs w:val="20"/>
              </w:rPr>
              <w:t xml:space="preserve"> </w:t>
            </w:r>
            <w:r w:rsidRPr="007F31D6">
              <w:rPr>
                <w:rFonts w:ascii="Times New Roman" w:hAnsi="Times New Roman" w:cs="Times New Roman"/>
                <w:sz w:val="20"/>
                <w:szCs w:val="20"/>
              </w:rPr>
              <w:t xml:space="preserve">un extrait des actions mises en place par les filiales. </w:t>
            </w:r>
          </w:p>
        </w:tc>
      </w:tr>
      <w:tr w:rsidR="00832B1B" w:rsidRPr="00E81F6E" w:rsidTr="00832B1B">
        <w:trPr>
          <w:trHeight w:val="248"/>
        </w:trPr>
        <w:tc>
          <w:tcPr>
            <w:tcW w:w="15735" w:type="dxa"/>
            <w:gridSpan w:val="3"/>
            <w:tcBorders>
              <w:bottom w:val="single" w:sz="4" w:space="0" w:color="auto"/>
            </w:tcBorders>
            <w:shd w:val="clear" w:color="auto" w:fill="BFBFBF" w:themeFill="background1" w:themeFillShade="BF"/>
          </w:tcPr>
          <w:p w:rsidR="00832B1B" w:rsidRPr="00832B1B" w:rsidRDefault="00832B1B"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832B1B" w:rsidRPr="00E81F6E" w:rsidTr="00AF3BE3">
        <w:trPr>
          <w:trHeight w:val="248"/>
        </w:trPr>
        <w:tc>
          <w:tcPr>
            <w:tcW w:w="1560" w:type="dxa"/>
            <w:tcBorders>
              <w:bottom w:val="single" w:sz="4" w:space="0" w:color="auto"/>
            </w:tcBorders>
          </w:tcPr>
          <w:p w:rsidR="00832B1B" w:rsidRPr="00E81F6E" w:rsidRDefault="00832B1B" w:rsidP="00FC10BC">
            <w:pPr>
              <w:rPr>
                <w:rFonts w:ascii="Times New Roman" w:hAnsi="Times New Roman" w:cs="Times New Roman"/>
                <w:b/>
                <w:bCs/>
                <w:sz w:val="20"/>
                <w:szCs w:val="20"/>
              </w:rPr>
            </w:pPr>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DMP</w:t>
            </w:r>
          </w:p>
        </w:tc>
        <w:tc>
          <w:tcPr>
            <w:tcW w:w="1843" w:type="dxa"/>
            <w:tcBorders>
              <w:bottom w:val="single" w:sz="4" w:space="0" w:color="auto"/>
            </w:tcBorders>
          </w:tcPr>
          <w:p w:rsidR="00832B1B" w:rsidRPr="00832B1B" w:rsidRDefault="00832B1B">
            <w:pPr>
              <w:jc w:val="both"/>
              <w:rPr>
                <w:rFonts w:ascii="Times New Roman" w:hAnsi="Times New Roman" w:cs="Times New Roman"/>
                <w:sz w:val="20"/>
                <w:szCs w:val="20"/>
              </w:rPr>
            </w:pPr>
            <w:r w:rsidRPr="00832B1B">
              <w:rPr>
                <w:rFonts w:ascii="Times New Roman" w:hAnsi="Times New Roman" w:cs="Times New Roman"/>
                <w:b/>
                <w:bCs/>
                <w:sz w:val="20"/>
                <w:szCs w:val="20"/>
              </w:rPr>
              <w:t>Demande de financement / Révision annuelle</w:t>
            </w:r>
          </w:p>
        </w:tc>
        <w:tc>
          <w:tcPr>
            <w:tcW w:w="12332" w:type="dxa"/>
            <w:tcBorders>
              <w:bottom w:val="single" w:sz="4" w:space="0" w:color="auto"/>
            </w:tcBorders>
            <w:shd w:val="clear" w:color="auto" w:fill="auto"/>
          </w:tcPr>
          <w:p w:rsidR="00832B1B" w:rsidRPr="00832B1B" w:rsidRDefault="00832B1B" w:rsidP="00832B1B">
            <w:pPr>
              <w:numPr>
                <w:ilvl w:val="0"/>
                <w:numId w:val="42"/>
              </w:numPr>
              <w:ind w:left="176" w:hanging="176"/>
              <w:contextualSpacing/>
              <w:jc w:val="both"/>
              <w:rPr>
                <w:rFonts w:ascii="Times New Roman" w:hAnsi="Times New Roman" w:cs="Times New Roman"/>
                <w:sz w:val="20"/>
                <w:szCs w:val="20"/>
              </w:rPr>
            </w:pPr>
            <w:r w:rsidRPr="00832B1B">
              <w:rPr>
                <w:rFonts w:ascii="Times New Roman" w:hAnsi="Times New Roman" w:cs="Times New Roman"/>
                <w:sz w:val="20"/>
                <w:szCs w:val="20"/>
              </w:rPr>
              <w:t>La révision annuelle est un acte incontournable de la relation commerciale et de la maîtrise des risques, et à fortiori à l’occasion d’une demande d’octroi. La BPCE en fait une obligation réglementaire.</w:t>
            </w:r>
          </w:p>
          <w:p w:rsidR="00832B1B" w:rsidRPr="00832B1B" w:rsidRDefault="00832B1B" w:rsidP="00832B1B">
            <w:pPr>
              <w:numPr>
                <w:ilvl w:val="0"/>
                <w:numId w:val="42"/>
              </w:numPr>
              <w:ind w:left="176" w:hanging="176"/>
              <w:contextualSpacing/>
              <w:jc w:val="both"/>
              <w:rPr>
                <w:rFonts w:ascii="Times New Roman" w:hAnsi="Times New Roman" w:cs="Times New Roman"/>
                <w:sz w:val="20"/>
                <w:szCs w:val="20"/>
              </w:rPr>
            </w:pPr>
            <w:r w:rsidRPr="00832B1B">
              <w:rPr>
                <w:rFonts w:ascii="Times New Roman" w:hAnsi="Times New Roman" w:cs="Times New Roman"/>
                <w:sz w:val="20"/>
                <w:szCs w:val="20"/>
              </w:rPr>
              <w:t xml:space="preserve">Désormais </w:t>
            </w:r>
            <w:r w:rsidRPr="00832B1B">
              <w:rPr>
                <w:rFonts w:ascii="Times New Roman" w:hAnsi="Times New Roman" w:cs="Times New Roman"/>
                <w:b/>
                <w:bCs/>
                <w:sz w:val="20"/>
                <w:szCs w:val="20"/>
              </w:rPr>
              <w:t>une révision annuelle validée de moins de 12 mois sur l’emprunteur de la demande et le leader de la relation économique sera obligatoire pour pouvoir valider l’étape « premier avis » du circuit de décision de DEFI.</w:t>
            </w:r>
          </w:p>
          <w:p w:rsidR="00832B1B" w:rsidRPr="00832B1B" w:rsidRDefault="00832B1B" w:rsidP="00832B1B">
            <w:pPr>
              <w:numPr>
                <w:ilvl w:val="0"/>
                <w:numId w:val="42"/>
              </w:numPr>
              <w:ind w:left="176" w:hanging="176"/>
              <w:contextualSpacing/>
              <w:jc w:val="both"/>
              <w:rPr>
                <w:rFonts w:ascii="Times New Roman" w:hAnsi="Times New Roman" w:cs="Times New Roman"/>
                <w:sz w:val="20"/>
                <w:szCs w:val="20"/>
              </w:rPr>
            </w:pPr>
            <w:r w:rsidRPr="00832B1B">
              <w:rPr>
                <w:rFonts w:ascii="Times New Roman" w:hAnsi="Times New Roman" w:cs="Times New Roman"/>
                <w:sz w:val="20"/>
                <w:szCs w:val="20"/>
              </w:rPr>
              <w:t>Un message bloquant apparaît dans DEFI et il est nécessaire de finaliser la révision annuelle dans DSC pour pouvoir poursuivre l’instruction de la demande.</w:t>
            </w:r>
          </w:p>
          <w:p w:rsidR="00832B1B" w:rsidRPr="00832B1B" w:rsidRDefault="00832B1B" w:rsidP="00832B1B">
            <w:pPr>
              <w:jc w:val="both"/>
              <w:rPr>
                <w:rFonts w:ascii="Times New Roman" w:hAnsi="Times New Roman" w:cs="Times New Roman"/>
                <w:sz w:val="20"/>
                <w:szCs w:val="20"/>
              </w:rPr>
            </w:pPr>
            <w:r w:rsidRPr="00832B1B">
              <w:rPr>
                <w:rFonts w:ascii="Times New Roman" w:hAnsi="Times New Roman" w:cs="Times New Roman"/>
                <w:sz w:val="20"/>
                <w:szCs w:val="20"/>
                <w:u w:val="single"/>
              </w:rPr>
              <w:t>Les évolutions DSC-DEFI de cette version sont les suivantes</w:t>
            </w:r>
            <w:r w:rsidRPr="00832B1B">
              <w:rPr>
                <w:rFonts w:ascii="Times New Roman" w:hAnsi="Times New Roman" w:cs="Times New Roman"/>
                <w:sz w:val="20"/>
                <w:szCs w:val="20"/>
              </w:rPr>
              <w:t> :</w:t>
            </w:r>
          </w:p>
          <w:p w:rsidR="00832B1B" w:rsidRPr="00832B1B" w:rsidRDefault="00832B1B" w:rsidP="00832B1B">
            <w:pPr>
              <w:numPr>
                <w:ilvl w:val="0"/>
                <w:numId w:val="17"/>
              </w:numPr>
              <w:contextualSpacing/>
              <w:jc w:val="both"/>
              <w:rPr>
                <w:rFonts w:ascii="Times New Roman" w:hAnsi="Times New Roman" w:cs="Times New Roman"/>
                <w:sz w:val="20"/>
                <w:szCs w:val="20"/>
              </w:rPr>
            </w:pPr>
            <w:r w:rsidRPr="00832B1B">
              <w:rPr>
                <w:rFonts w:ascii="Times New Roman" w:hAnsi="Times New Roman" w:cs="Times New Roman"/>
                <w:sz w:val="20"/>
                <w:szCs w:val="20"/>
              </w:rPr>
              <w:t xml:space="preserve">Contrôle concernant la </w:t>
            </w:r>
            <w:r w:rsidRPr="00832B1B">
              <w:rPr>
                <w:rFonts w:ascii="Times New Roman" w:hAnsi="Times New Roman" w:cs="Times New Roman"/>
                <w:b/>
                <w:bCs/>
                <w:sz w:val="20"/>
                <w:szCs w:val="20"/>
              </w:rPr>
              <w:t>« révision annuelle » dans le « circuit de décision » de DEFI</w:t>
            </w:r>
            <w:r w:rsidRPr="00832B1B">
              <w:rPr>
                <w:rFonts w:ascii="Times New Roman" w:hAnsi="Times New Roman" w:cs="Times New Roman"/>
                <w:sz w:val="20"/>
                <w:szCs w:val="20"/>
              </w:rPr>
              <w:t xml:space="preserve"> : </w:t>
            </w:r>
            <w:r w:rsidRPr="00832B1B">
              <w:rPr>
                <w:rFonts w:ascii="Times New Roman" w:hAnsi="Times New Roman" w:cs="Times New Roman"/>
                <w:b/>
                <w:bCs/>
                <w:i/>
                <w:iCs/>
                <w:sz w:val="20"/>
                <w:szCs w:val="20"/>
              </w:rPr>
              <w:t>Message d’erreur bloquant en « Premier avis » en cas de révision annuelle non valide</w:t>
            </w:r>
            <w:r w:rsidRPr="00832B1B">
              <w:rPr>
                <w:rFonts w:ascii="Times New Roman" w:hAnsi="Times New Roman" w:cs="Times New Roman"/>
                <w:i/>
                <w:iCs/>
                <w:sz w:val="20"/>
                <w:szCs w:val="20"/>
              </w:rPr>
              <w:t xml:space="preserve"> (&lt;12 mois) sur l’emprunteur de la demande et le leader de la relation économique.</w:t>
            </w:r>
          </w:p>
          <w:p w:rsidR="00832B1B" w:rsidRPr="00832B1B" w:rsidRDefault="00832B1B" w:rsidP="00832B1B">
            <w:pPr>
              <w:numPr>
                <w:ilvl w:val="0"/>
                <w:numId w:val="17"/>
              </w:numPr>
              <w:contextualSpacing/>
              <w:jc w:val="both"/>
              <w:rPr>
                <w:rFonts w:ascii="Times New Roman" w:hAnsi="Times New Roman" w:cs="Times New Roman"/>
                <w:sz w:val="20"/>
                <w:szCs w:val="20"/>
              </w:rPr>
            </w:pPr>
            <w:r w:rsidRPr="00832B1B">
              <w:rPr>
                <w:rFonts w:ascii="Times New Roman" w:hAnsi="Times New Roman" w:cs="Times New Roman"/>
                <w:sz w:val="20"/>
                <w:szCs w:val="20"/>
              </w:rPr>
              <w:t>Modification de</w:t>
            </w:r>
            <w:r w:rsidR="00B31539">
              <w:rPr>
                <w:rFonts w:ascii="Times New Roman" w:hAnsi="Times New Roman" w:cs="Times New Roman"/>
                <w:sz w:val="20"/>
                <w:szCs w:val="20"/>
              </w:rPr>
              <w:t xml:space="preserve"> </w:t>
            </w:r>
            <w:r w:rsidRPr="00832B1B">
              <w:rPr>
                <w:rFonts w:ascii="Times New Roman" w:hAnsi="Times New Roman" w:cs="Times New Roman"/>
                <w:sz w:val="20"/>
                <w:szCs w:val="20"/>
              </w:rPr>
              <w:t xml:space="preserve">la </w:t>
            </w:r>
            <w:r w:rsidRPr="00832B1B">
              <w:rPr>
                <w:rFonts w:ascii="Times New Roman" w:hAnsi="Times New Roman" w:cs="Times New Roman"/>
                <w:b/>
                <w:bCs/>
                <w:sz w:val="20"/>
                <w:szCs w:val="20"/>
              </w:rPr>
              <w:t>« révision annuelle » de DSC</w:t>
            </w:r>
            <w:r w:rsidRPr="00832B1B">
              <w:rPr>
                <w:rFonts w:ascii="Times New Roman" w:hAnsi="Times New Roman" w:cs="Times New Roman"/>
                <w:sz w:val="20"/>
                <w:szCs w:val="20"/>
              </w:rPr>
              <w:t xml:space="preserve"> : </w:t>
            </w:r>
            <w:r w:rsidRPr="00832B1B">
              <w:rPr>
                <w:rFonts w:ascii="Times New Roman" w:hAnsi="Times New Roman" w:cs="Times New Roman"/>
                <w:i/>
                <w:iCs/>
                <w:sz w:val="20"/>
                <w:szCs w:val="20"/>
              </w:rPr>
              <w:t xml:space="preserve">Ajout d’un </w:t>
            </w:r>
            <w:r w:rsidRPr="00832B1B">
              <w:rPr>
                <w:rFonts w:ascii="Times New Roman" w:hAnsi="Times New Roman" w:cs="Times New Roman"/>
                <w:b/>
                <w:bCs/>
                <w:i/>
                <w:iCs/>
                <w:sz w:val="20"/>
                <w:szCs w:val="20"/>
              </w:rPr>
              <w:t>message d’information sur l’écran de « révision annuelle » de DSC</w:t>
            </w:r>
            <w:r w:rsidRPr="00832B1B">
              <w:rPr>
                <w:rFonts w:ascii="Times New Roman" w:hAnsi="Times New Roman" w:cs="Times New Roman"/>
                <w:i/>
                <w:iCs/>
                <w:sz w:val="20"/>
                <w:szCs w:val="20"/>
              </w:rPr>
              <w:t xml:space="preserve"> </w:t>
            </w:r>
            <w:r w:rsidRPr="00832B1B">
              <w:rPr>
                <w:rFonts w:ascii="Times New Roman" w:hAnsi="Times New Roman" w:cs="Times New Roman"/>
                <w:b/>
                <w:bCs/>
                <w:i/>
                <w:iCs/>
                <w:sz w:val="20"/>
                <w:szCs w:val="20"/>
              </w:rPr>
              <w:t>pour indiquer le cas échéant que le leader de la relation n’a pas une révision annuelle en cours de validité</w:t>
            </w:r>
            <w:r w:rsidRPr="00832B1B">
              <w:rPr>
                <w:rFonts w:ascii="Times New Roman" w:hAnsi="Times New Roman" w:cs="Times New Roman"/>
                <w:i/>
                <w:iCs/>
                <w:sz w:val="20"/>
                <w:szCs w:val="20"/>
              </w:rPr>
              <w:t>. </w:t>
            </w:r>
          </w:p>
          <w:p w:rsidR="00832B1B" w:rsidRPr="00832B1B" w:rsidRDefault="00832B1B" w:rsidP="00832B1B">
            <w:pPr>
              <w:numPr>
                <w:ilvl w:val="0"/>
                <w:numId w:val="17"/>
              </w:numPr>
              <w:contextualSpacing/>
              <w:jc w:val="both"/>
              <w:rPr>
                <w:rFonts w:ascii="Times New Roman" w:hAnsi="Times New Roman" w:cs="Times New Roman"/>
                <w:sz w:val="20"/>
                <w:szCs w:val="20"/>
              </w:rPr>
            </w:pPr>
            <w:r w:rsidRPr="00832B1B">
              <w:rPr>
                <w:rFonts w:ascii="Times New Roman" w:hAnsi="Times New Roman" w:cs="Times New Roman"/>
                <w:sz w:val="20"/>
                <w:szCs w:val="20"/>
              </w:rPr>
              <w:lastRenderedPageBreak/>
              <w:t xml:space="preserve">Modification de la </w:t>
            </w:r>
            <w:r w:rsidRPr="00832B1B">
              <w:rPr>
                <w:rFonts w:ascii="Times New Roman" w:hAnsi="Times New Roman" w:cs="Times New Roman"/>
                <w:b/>
                <w:bCs/>
                <w:sz w:val="20"/>
                <w:szCs w:val="20"/>
              </w:rPr>
              <w:t>« vision globale » de DEFI</w:t>
            </w:r>
            <w:r w:rsidRPr="00832B1B">
              <w:rPr>
                <w:rFonts w:ascii="Times New Roman" w:hAnsi="Times New Roman" w:cs="Times New Roman"/>
                <w:sz w:val="20"/>
                <w:szCs w:val="20"/>
              </w:rPr>
              <w:t xml:space="preserve"> : </w:t>
            </w:r>
            <w:r w:rsidRPr="00832B1B">
              <w:rPr>
                <w:rFonts w:ascii="Times New Roman" w:hAnsi="Times New Roman" w:cs="Times New Roman"/>
                <w:i/>
                <w:iCs/>
                <w:sz w:val="20"/>
                <w:szCs w:val="20"/>
              </w:rPr>
              <w:t xml:space="preserve">Suppression du pavé d’affichage des dates et </w:t>
            </w:r>
            <w:r w:rsidRPr="00832B1B">
              <w:rPr>
                <w:rFonts w:ascii="Times New Roman" w:hAnsi="Times New Roman" w:cs="Times New Roman"/>
                <w:b/>
                <w:bCs/>
                <w:i/>
                <w:iCs/>
                <w:sz w:val="20"/>
                <w:szCs w:val="20"/>
              </w:rPr>
              <w:t>suppression de l’onglet « Vision Type de concours ».</w:t>
            </w:r>
          </w:p>
          <w:p w:rsidR="00832B1B" w:rsidRPr="00832B1B" w:rsidRDefault="00832B1B" w:rsidP="00832B1B">
            <w:pPr>
              <w:numPr>
                <w:ilvl w:val="0"/>
                <w:numId w:val="17"/>
              </w:numPr>
              <w:contextualSpacing/>
              <w:jc w:val="both"/>
              <w:rPr>
                <w:rFonts w:ascii="Times New Roman" w:hAnsi="Times New Roman" w:cs="Times New Roman"/>
                <w:sz w:val="20"/>
                <w:szCs w:val="20"/>
              </w:rPr>
            </w:pPr>
            <w:r w:rsidRPr="00832B1B">
              <w:rPr>
                <w:rFonts w:ascii="Times New Roman" w:hAnsi="Times New Roman" w:cs="Times New Roman"/>
                <w:sz w:val="20"/>
                <w:szCs w:val="20"/>
              </w:rPr>
              <w:t xml:space="preserve">Modification du </w:t>
            </w:r>
            <w:r w:rsidRPr="00832B1B">
              <w:rPr>
                <w:rFonts w:ascii="Times New Roman" w:hAnsi="Times New Roman" w:cs="Times New Roman"/>
                <w:b/>
                <w:bCs/>
                <w:sz w:val="20"/>
                <w:szCs w:val="20"/>
              </w:rPr>
              <w:t>« circuit de décision » de DEFI</w:t>
            </w:r>
            <w:r w:rsidRPr="00832B1B">
              <w:rPr>
                <w:rFonts w:ascii="Times New Roman" w:hAnsi="Times New Roman" w:cs="Times New Roman"/>
                <w:sz w:val="20"/>
                <w:szCs w:val="20"/>
              </w:rPr>
              <w:t xml:space="preserve"> : </w:t>
            </w:r>
            <w:r w:rsidRPr="00832B1B">
              <w:rPr>
                <w:rFonts w:ascii="Times New Roman" w:hAnsi="Times New Roman" w:cs="Times New Roman"/>
                <w:i/>
                <w:iCs/>
                <w:sz w:val="20"/>
                <w:szCs w:val="20"/>
              </w:rPr>
              <w:t xml:space="preserve">Suppression du pavé d’affichage des dates et </w:t>
            </w:r>
            <w:r w:rsidRPr="00832B1B">
              <w:rPr>
                <w:rFonts w:ascii="Times New Roman" w:hAnsi="Times New Roman" w:cs="Times New Roman"/>
                <w:b/>
                <w:bCs/>
                <w:i/>
                <w:iCs/>
                <w:sz w:val="20"/>
                <w:szCs w:val="20"/>
              </w:rPr>
              <w:t>suppression de l’onglet « Situation Avant-Après »</w:t>
            </w:r>
            <w:r w:rsidRPr="00832B1B">
              <w:rPr>
                <w:rFonts w:ascii="Times New Roman" w:hAnsi="Times New Roman" w:cs="Times New Roman"/>
                <w:i/>
                <w:iCs/>
                <w:sz w:val="20"/>
                <w:szCs w:val="20"/>
              </w:rPr>
              <w:t xml:space="preserve">, et </w:t>
            </w:r>
            <w:r w:rsidRPr="00832B1B">
              <w:rPr>
                <w:rFonts w:ascii="Times New Roman" w:hAnsi="Times New Roman" w:cs="Times New Roman"/>
                <w:b/>
                <w:bCs/>
                <w:i/>
                <w:iCs/>
                <w:sz w:val="20"/>
                <w:szCs w:val="20"/>
              </w:rPr>
              <w:t>affichage systématique de l’historique du circuit de décision</w:t>
            </w:r>
            <w:r w:rsidRPr="00832B1B">
              <w:rPr>
                <w:rFonts w:ascii="Times New Roman" w:hAnsi="Times New Roman" w:cs="Times New Roman"/>
                <w:i/>
                <w:iCs/>
                <w:sz w:val="20"/>
                <w:szCs w:val="20"/>
              </w:rPr>
              <w:t>.</w:t>
            </w:r>
          </w:p>
          <w:p w:rsidR="00832B1B" w:rsidRPr="00832B1B" w:rsidRDefault="00832B1B" w:rsidP="00832B1B">
            <w:pPr>
              <w:numPr>
                <w:ilvl w:val="0"/>
                <w:numId w:val="42"/>
              </w:numPr>
              <w:ind w:left="176" w:hanging="176"/>
              <w:contextualSpacing/>
              <w:jc w:val="both"/>
              <w:rPr>
                <w:rFonts w:ascii="Times New Roman" w:hAnsi="Times New Roman" w:cs="Times New Roman"/>
                <w:sz w:val="20"/>
                <w:szCs w:val="20"/>
              </w:rPr>
            </w:pPr>
            <w:r w:rsidRPr="00832B1B">
              <w:rPr>
                <w:rFonts w:ascii="Times New Roman" w:hAnsi="Times New Roman" w:cs="Times New Roman"/>
                <w:sz w:val="20"/>
                <w:szCs w:val="20"/>
              </w:rPr>
              <w:t xml:space="preserve">Retrouvez les nouveaux écrans de ces évolutions dans la Rubrique des Commerciaux / Espaces Crédits / Outils ou en </w:t>
            </w:r>
            <w:hyperlink r:id="rId29" w:history="1">
              <w:r w:rsidRPr="00832B1B">
                <w:rPr>
                  <w:rStyle w:val="Lienhypertexte"/>
                  <w:rFonts w:ascii="Times New Roman" w:hAnsi="Times New Roman" w:cs="Times New Roman"/>
                  <w:sz w:val="20"/>
                  <w:szCs w:val="20"/>
                </w:rPr>
                <w:t>cliquant ici</w:t>
              </w:r>
            </w:hyperlink>
            <w:r w:rsidRPr="00832B1B">
              <w:rPr>
                <w:rFonts w:ascii="Times New Roman" w:hAnsi="Times New Roman" w:cs="Times New Roman"/>
                <w:sz w:val="20"/>
                <w:szCs w:val="20"/>
              </w:rPr>
              <w:t>.</w:t>
            </w:r>
          </w:p>
          <w:p w:rsidR="00832B1B" w:rsidRPr="00832B1B" w:rsidRDefault="00832B1B" w:rsidP="00832B1B">
            <w:pPr>
              <w:numPr>
                <w:ilvl w:val="0"/>
                <w:numId w:val="42"/>
              </w:numPr>
              <w:ind w:left="176" w:hanging="176"/>
              <w:contextualSpacing/>
              <w:jc w:val="both"/>
              <w:rPr>
                <w:rFonts w:ascii="Times New Roman" w:hAnsi="Times New Roman" w:cs="Times New Roman"/>
                <w:sz w:val="20"/>
                <w:szCs w:val="20"/>
              </w:rPr>
            </w:pPr>
            <w:r w:rsidRPr="00832B1B">
              <w:rPr>
                <w:rFonts w:ascii="Times New Roman" w:hAnsi="Times New Roman" w:cs="Times New Roman"/>
                <w:b/>
                <w:bCs/>
                <w:sz w:val="20"/>
                <w:szCs w:val="20"/>
              </w:rPr>
              <w:t>Avant toute demande de validation, le plan de financement doit également être complété.</w:t>
            </w:r>
          </w:p>
        </w:tc>
      </w:tr>
      <w:tr w:rsidR="00832B1B" w:rsidRPr="00E81F6E" w:rsidTr="00AF3BE3">
        <w:trPr>
          <w:trHeight w:val="248"/>
        </w:trPr>
        <w:tc>
          <w:tcPr>
            <w:tcW w:w="1560" w:type="dxa"/>
            <w:tcBorders>
              <w:bottom w:val="single" w:sz="4" w:space="0" w:color="auto"/>
            </w:tcBorders>
          </w:tcPr>
          <w:p w:rsidR="00832B1B" w:rsidRPr="006E364E" w:rsidRDefault="00832B1B" w:rsidP="00FC10BC">
            <w:pPr>
              <w:rPr>
                <w:rFonts w:ascii="Times New Roman" w:hAnsi="Times New Roman" w:cs="Times New Roman"/>
                <w:b/>
                <w:bCs/>
                <w:sz w:val="20"/>
                <w:szCs w:val="20"/>
              </w:rPr>
            </w:pPr>
            <w:r w:rsidRPr="006E364E">
              <w:rPr>
                <w:rFonts w:ascii="Times New Roman" w:hAnsi="Times New Roman" w:cs="Times New Roman"/>
                <w:b/>
                <w:bCs/>
                <w:sz w:val="20"/>
                <w:szCs w:val="20"/>
              </w:rPr>
              <w:lastRenderedPageBreak/>
              <w:t xml:space="preserve">Com. </w:t>
            </w:r>
            <w:r>
              <w:rPr>
                <w:rFonts w:ascii="Times New Roman" w:hAnsi="Times New Roman" w:cs="Times New Roman"/>
                <w:b/>
                <w:bCs/>
                <w:sz w:val="20"/>
                <w:szCs w:val="20"/>
              </w:rPr>
              <w:t>DMP</w:t>
            </w:r>
          </w:p>
        </w:tc>
        <w:tc>
          <w:tcPr>
            <w:tcW w:w="1843" w:type="dxa"/>
            <w:tcBorders>
              <w:bottom w:val="single" w:sz="4" w:space="0" w:color="auto"/>
            </w:tcBorders>
          </w:tcPr>
          <w:p w:rsidR="00832B1B" w:rsidRPr="00832B1B" w:rsidRDefault="00832B1B">
            <w:pPr>
              <w:jc w:val="both"/>
              <w:rPr>
                <w:rFonts w:ascii="Times New Roman" w:hAnsi="Times New Roman" w:cs="Times New Roman"/>
                <w:sz w:val="20"/>
                <w:szCs w:val="20"/>
              </w:rPr>
            </w:pPr>
            <w:r w:rsidRPr="00832B1B">
              <w:rPr>
                <w:rFonts w:ascii="Times New Roman" w:hAnsi="Times New Roman" w:cs="Times New Roman"/>
                <w:b/>
                <w:bCs/>
                <w:sz w:val="20"/>
                <w:szCs w:val="20"/>
              </w:rPr>
              <w:t>Catalogue commercial TPE 2018</w:t>
            </w:r>
          </w:p>
        </w:tc>
        <w:tc>
          <w:tcPr>
            <w:tcW w:w="12332" w:type="dxa"/>
            <w:tcBorders>
              <w:bottom w:val="single" w:sz="4" w:space="0" w:color="auto"/>
            </w:tcBorders>
            <w:shd w:val="clear" w:color="auto" w:fill="auto"/>
          </w:tcPr>
          <w:p w:rsidR="00832B1B" w:rsidRPr="00832B1B" w:rsidRDefault="00832B1B" w:rsidP="00832B1B">
            <w:pPr>
              <w:numPr>
                <w:ilvl w:val="0"/>
                <w:numId w:val="42"/>
              </w:numPr>
              <w:ind w:left="176" w:hanging="176"/>
              <w:contextualSpacing/>
              <w:jc w:val="both"/>
              <w:rPr>
                <w:rFonts w:ascii="Times New Roman" w:hAnsi="Times New Roman" w:cs="Times New Roman"/>
                <w:sz w:val="20"/>
                <w:szCs w:val="20"/>
              </w:rPr>
            </w:pPr>
            <w:r w:rsidRPr="00832B1B">
              <w:rPr>
                <w:rFonts w:ascii="Times New Roman" w:hAnsi="Times New Roman" w:cs="Times New Roman"/>
                <w:sz w:val="20"/>
                <w:szCs w:val="20"/>
              </w:rPr>
              <w:t xml:space="preserve">Afin de vous accompagner dans le développement de l’activité monétique et de l’équipement de vos clients en solutions d’acceptation de proximité, </w:t>
            </w:r>
            <w:r w:rsidRPr="00832B1B">
              <w:rPr>
                <w:rFonts w:ascii="Times New Roman" w:hAnsi="Times New Roman" w:cs="Times New Roman"/>
                <w:b/>
                <w:sz w:val="20"/>
                <w:szCs w:val="20"/>
              </w:rPr>
              <w:t xml:space="preserve">NPS a mis à jour le catalogue commercial des TPE, disponible dans la RDC/Pros/gestion des flux/Offre monétique/Catalogue TPE acceptation 2018 ou en cliquant </w:t>
            </w:r>
            <w:hyperlink r:id="rId30" w:history="1">
              <w:r w:rsidRPr="00832B1B">
                <w:rPr>
                  <w:rStyle w:val="Lienhypertexte"/>
                  <w:rFonts w:ascii="Times New Roman" w:hAnsi="Times New Roman" w:cs="Times New Roman"/>
                  <w:b/>
                  <w:sz w:val="20"/>
                  <w:szCs w:val="20"/>
                </w:rPr>
                <w:t>ICI.</w:t>
              </w:r>
            </w:hyperlink>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59761E"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9761E" w:rsidRPr="0059761E" w:rsidRDefault="0059761E" w:rsidP="00A57700">
            <w:pPr>
              <w:rPr>
                <w:rFonts w:ascii="Times New Roman" w:hAnsi="Times New Roman" w:cs="Times New Roman"/>
                <w:b/>
                <w:bCs/>
                <w:sz w:val="20"/>
                <w:szCs w:val="20"/>
              </w:rPr>
            </w:pPr>
            <w:r w:rsidRPr="0059761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59761E" w:rsidRPr="0059761E" w:rsidRDefault="0059761E" w:rsidP="005A67FA">
            <w:pPr>
              <w:pStyle w:val="wordsection1"/>
              <w:spacing w:before="0" w:beforeAutospacing="0" w:after="0" w:afterAutospacing="0"/>
              <w:rPr>
                <w:b/>
                <w:bCs/>
                <w:sz w:val="20"/>
                <w:szCs w:val="20"/>
                <w:lang w:eastAsia="en-US"/>
              </w:rPr>
            </w:pPr>
            <w:r w:rsidRPr="0059761E">
              <w:rPr>
                <w:b/>
                <w:bCs/>
                <w:sz w:val="20"/>
                <w:szCs w:val="20"/>
              </w:rPr>
              <w:t>Suivi HELIOS</w:t>
            </w:r>
          </w:p>
        </w:tc>
        <w:tc>
          <w:tcPr>
            <w:tcW w:w="12332" w:type="dxa"/>
            <w:tcBorders>
              <w:top w:val="single" w:sz="4" w:space="0" w:color="auto"/>
              <w:left w:val="single" w:sz="4" w:space="0" w:color="auto"/>
              <w:bottom w:val="single" w:sz="4" w:space="0" w:color="auto"/>
              <w:right w:val="single" w:sz="4" w:space="0" w:color="auto"/>
            </w:tcBorders>
          </w:tcPr>
          <w:p w:rsidR="0059761E" w:rsidRPr="004A7857" w:rsidRDefault="0059761E" w:rsidP="004A7857">
            <w:pPr>
              <w:numPr>
                <w:ilvl w:val="0"/>
                <w:numId w:val="24"/>
              </w:numPr>
              <w:ind w:left="176" w:hanging="176"/>
              <w:contextualSpacing/>
              <w:jc w:val="both"/>
              <w:rPr>
                <w:rFonts w:ascii="Times New Roman" w:hAnsi="Times New Roman" w:cs="Times New Roman"/>
                <w:color w:val="1F497D"/>
                <w:sz w:val="20"/>
                <w:szCs w:val="20"/>
              </w:rPr>
            </w:pPr>
            <w:r w:rsidRPr="004A7857">
              <w:rPr>
                <w:rFonts w:ascii="Times New Roman" w:hAnsi="Times New Roman" w:cs="Times New Roman"/>
                <w:sz w:val="20"/>
                <w:szCs w:val="20"/>
              </w:rPr>
              <w:t xml:space="preserve">Vous trouverez </w:t>
            </w:r>
            <w:hyperlink r:id="rId31" w:history="1">
              <w:r w:rsidRPr="004A7857">
                <w:rPr>
                  <w:rStyle w:val="Lienhypertexte"/>
                  <w:rFonts w:ascii="Times New Roman" w:hAnsi="Times New Roman" w:cs="Times New Roman"/>
                  <w:sz w:val="20"/>
                  <w:szCs w:val="20"/>
                </w:rPr>
                <w:t>en cliquant ici</w:t>
              </w:r>
            </w:hyperlink>
            <w:r w:rsidRPr="004A7857">
              <w:rPr>
                <w:rFonts w:ascii="Times New Roman" w:hAnsi="Times New Roman" w:cs="Times New Roman"/>
                <w:sz w:val="20"/>
                <w:szCs w:val="20"/>
              </w:rPr>
              <w:t xml:space="preserve">, </w:t>
            </w:r>
            <w:r w:rsidRPr="004A7857">
              <w:rPr>
                <w:rFonts w:ascii="Times New Roman" w:hAnsi="Times New Roman" w:cs="Times New Roman"/>
                <w:b/>
                <w:sz w:val="20"/>
                <w:szCs w:val="20"/>
              </w:rPr>
              <w:t>le suivi de commercialisation d’Hélios</w:t>
            </w:r>
            <w:r w:rsidRPr="004A7857">
              <w:rPr>
                <w:rFonts w:ascii="Times New Roman" w:hAnsi="Times New Roman" w:cs="Times New Roman"/>
                <w:sz w:val="20"/>
                <w:szCs w:val="20"/>
              </w:rPr>
              <w:t xml:space="preserve"> (commercialisation du 09/01 au 29/03/2018). Au 29/01/2018, 60% des fonds sont placés pour un TO de 26%, soit 6 104 K€</w:t>
            </w:r>
            <w:r w:rsidR="00832B1B" w:rsidRPr="004A7857">
              <w:rPr>
                <w:rFonts w:ascii="Times New Roman" w:hAnsi="Times New Roman" w:cs="Times New Roman"/>
                <w:sz w:val="20"/>
                <w:szCs w:val="20"/>
              </w:rPr>
              <w:t xml:space="preserve"> </w:t>
            </w:r>
            <w:r w:rsidRPr="004A7857">
              <w:rPr>
                <w:rFonts w:ascii="Times New Roman" w:hAnsi="Times New Roman" w:cs="Times New Roman"/>
                <w:sz w:val="20"/>
                <w:szCs w:val="20"/>
              </w:rPr>
              <w:t>restant à placer.</w:t>
            </w:r>
          </w:p>
        </w:tc>
      </w:tr>
      <w:tr w:rsidR="0059761E"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9761E" w:rsidRPr="0059761E" w:rsidRDefault="0059761E" w:rsidP="00A57700">
            <w:pPr>
              <w:rPr>
                <w:rFonts w:ascii="Times New Roman" w:hAnsi="Times New Roman" w:cs="Times New Roman"/>
                <w:b/>
                <w:bCs/>
                <w:sz w:val="20"/>
                <w:szCs w:val="20"/>
              </w:rPr>
            </w:pPr>
            <w:r w:rsidRPr="0059761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59761E" w:rsidRPr="0059761E" w:rsidRDefault="0059761E" w:rsidP="005A67FA">
            <w:pPr>
              <w:pStyle w:val="wordsection1"/>
              <w:rPr>
                <w:b/>
                <w:bCs/>
                <w:sz w:val="20"/>
                <w:szCs w:val="20"/>
                <w:lang w:eastAsia="en-US"/>
              </w:rPr>
            </w:pPr>
            <w:r w:rsidRPr="0059761E">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59761E" w:rsidRPr="004A7857" w:rsidRDefault="0059761E" w:rsidP="004A7857">
            <w:pPr>
              <w:numPr>
                <w:ilvl w:val="0"/>
                <w:numId w:val="24"/>
              </w:numPr>
              <w:ind w:left="176" w:hanging="176"/>
              <w:contextualSpacing/>
              <w:jc w:val="both"/>
              <w:rPr>
                <w:rFonts w:ascii="Times New Roman" w:hAnsi="Times New Roman" w:cs="Times New Roman"/>
                <w:color w:val="1F497D"/>
                <w:sz w:val="20"/>
                <w:szCs w:val="20"/>
              </w:rPr>
            </w:pPr>
            <w:r w:rsidRPr="004A7857">
              <w:rPr>
                <w:rFonts w:ascii="Times New Roman" w:hAnsi="Times New Roman" w:cs="Times New Roman"/>
                <w:sz w:val="20"/>
                <w:szCs w:val="20"/>
              </w:rPr>
              <w:t xml:space="preserve">Vous trouverez </w:t>
            </w:r>
            <w:hyperlink r:id="rId32" w:history="1">
              <w:r w:rsidRPr="004A7857">
                <w:rPr>
                  <w:rStyle w:val="Lienhypertexte"/>
                  <w:rFonts w:ascii="Times New Roman" w:hAnsi="Times New Roman" w:cs="Times New Roman"/>
                  <w:sz w:val="20"/>
                  <w:szCs w:val="20"/>
                </w:rPr>
                <w:t>en cliquant ici</w:t>
              </w:r>
            </w:hyperlink>
            <w:r w:rsidRPr="004A7857">
              <w:rPr>
                <w:rFonts w:ascii="Times New Roman" w:hAnsi="Times New Roman" w:cs="Times New Roman"/>
                <w:sz w:val="20"/>
                <w:szCs w:val="20"/>
              </w:rPr>
              <w:t xml:space="preserve">, </w:t>
            </w:r>
            <w:r w:rsidRPr="004A7857">
              <w:rPr>
                <w:rFonts w:ascii="Times New Roman" w:hAnsi="Times New Roman" w:cs="Times New Roman"/>
                <w:b/>
                <w:sz w:val="20"/>
                <w:szCs w:val="20"/>
              </w:rPr>
              <w:t>le suivi de commercialisation d’IRIS</w:t>
            </w:r>
            <w:r w:rsidRPr="004A7857">
              <w:rPr>
                <w:rFonts w:ascii="Times New Roman" w:hAnsi="Times New Roman" w:cs="Times New Roman"/>
                <w:sz w:val="20"/>
                <w:szCs w:val="20"/>
              </w:rPr>
              <w:t xml:space="preserve"> (commercialisation du 17/01 au 13/06/2018). Au 29/01/2018, 26% des fonds sont placés pour un TO de 8%, soit 7 408 K€</w:t>
            </w:r>
            <w:r w:rsidR="00832B1B" w:rsidRPr="004A7857">
              <w:rPr>
                <w:rFonts w:ascii="Times New Roman" w:hAnsi="Times New Roman" w:cs="Times New Roman"/>
                <w:sz w:val="20"/>
                <w:szCs w:val="20"/>
              </w:rPr>
              <w:t xml:space="preserve"> </w:t>
            </w:r>
            <w:r w:rsidRPr="004A7857">
              <w:rPr>
                <w:rFonts w:ascii="Times New Roman" w:hAnsi="Times New Roman" w:cs="Times New Roman"/>
                <w:sz w:val="20"/>
                <w:szCs w:val="20"/>
              </w:rPr>
              <w:t>restant à placer.</w:t>
            </w:r>
          </w:p>
        </w:tc>
      </w:tr>
      <w:tr w:rsidR="00B31539"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31539" w:rsidRPr="0059761E" w:rsidRDefault="00B31539" w:rsidP="00A57700">
            <w:pPr>
              <w:rPr>
                <w:rFonts w:ascii="Times New Roman" w:hAnsi="Times New Roman" w:cs="Times New Roman"/>
                <w:b/>
                <w:bCs/>
                <w:sz w:val="20"/>
                <w:szCs w:val="20"/>
              </w:rPr>
            </w:pPr>
            <w:r w:rsidRPr="0059761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B31539" w:rsidRDefault="00B31539" w:rsidP="00B31539">
            <w:pPr>
              <w:rPr>
                <w:rFonts w:ascii="Calibri" w:hAnsi="Calibri" w:cs="Calibri"/>
              </w:rPr>
            </w:pPr>
            <w:r>
              <w:rPr>
                <w:rFonts w:ascii="Times New Roman" w:hAnsi="Times New Roman" w:cs="Times New Roman"/>
                <w:b/>
                <w:bCs/>
                <w:sz w:val="20"/>
                <w:szCs w:val="20"/>
              </w:rPr>
              <w:t xml:space="preserve">Crédit Conso : nouveau suivi des frais de dossier </w:t>
            </w:r>
          </w:p>
        </w:tc>
        <w:tc>
          <w:tcPr>
            <w:tcW w:w="12332" w:type="dxa"/>
            <w:tcBorders>
              <w:top w:val="single" w:sz="4" w:space="0" w:color="auto"/>
              <w:left w:val="single" w:sz="4" w:space="0" w:color="auto"/>
              <w:bottom w:val="single" w:sz="4" w:space="0" w:color="auto"/>
              <w:right w:val="single" w:sz="4" w:space="0" w:color="auto"/>
            </w:tcBorders>
          </w:tcPr>
          <w:p w:rsidR="00B31539" w:rsidRPr="004A7857" w:rsidRDefault="00B31539" w:rsidP="004A7857">
            <w:pPr>
              <w:numPr>
                <w:ilvl w:val="0"/>
                <w:numId w:val="38"/>
              </w:numPr>
              <w:ind w:left="176" w:hanging="176"/>
              <w:contextualSpacing/>
              <w:jc w:val="both"/>
              <w:rPr>
                <w:rFonts w:ascii="Times New Roman" w:hAnsi="Times New Roman" w:cs="Times New Roman"/>
                <w:sz w:val="20"/>
                <w:szCs w:val="20"/>
              </w:rPr>
            </w:pPr>
            <w:r w:rsidRPr="004A7857">
              <w:rPr>
                <w:rFonts w:ascii="Times New Roman" w:hAnsi="Times New Roman" w:cs="Times New Roman"/>
                <w:sz w:val="20"/>
                <w:szCs w:val="20"/>
                <w:lang w:eastAsia="fr-FR"/>
              </w:rPr>
              <w:t>Dans le cadre d’un groupe de travail mené sur l’optimisation du PNB généré par le Crédit à la consommation</w:t>
            </w:r>
            <w:r w:rsidRPr="004A7857">
              <w:rPr>
                <w:rFonts w:ascii="Times New Roman" w:hAnsi="Times New Roman" w:cs="Times New Roman"/>
                <w:b/>
                <w:sz w:val="20"/>
                <w:szCs w:val="20"/>
                <w:lang w:eastAsia="fr-FR"/>
              </w:rPr>
              <w:t>, un nouveau suivi hebdomadaire est mis à votre disposition pour vous permettre de piloter la facturation des frais de dossier</w:t>
            </w:r>
            <w:r w:rsidRPr="004A7857">
              <w:rPr>
                <w:rFonts w:ascii="Times New Roman" w:hAnsi="Times New Roman" w:cs="Times New Roman"/>
                <w:sz w:val="20"/>
                <w:szCs w:val="20"/>
                <w:lang w:eastAsia="fr-FR"/>
              </w:rPr>
              <w:t xml:space="preserve">. </w:t>
            </w:r>
            <w:hyperlink r:id="rId33" w:history="1">
              <w:r w:rsidRPr="004A7857">
                <w:rPr>
                  <w:rStyle w:val="Lienhypertexte"/>
                  <w:rFonts w:ascii="Times New Roman" w:hAnsi="Times New Roman" w:cs="Times New Roman"/>
                  <w:sz w:val="20"/>
                  <w:szCs w:val="20"/>
                  <w:lang w:eastAsia="fr-FR"/>
                </w:rPr>
                <w:t>CLIQUEZ ICI</w:t>
              </w:r>
            </w:hyperlink>
            <w:r w:rsidRPr="004A7857">
              <w:rPr>
                <w:rFonts w:ascii="Times New Roman" w:hAnsi="Times New Roman" w:cs="Times New Roman"/>
                <w:sz w:val="20"/>
                <w:szCs w:val="20"/>
                <w:lang w:eastAsia="fr-FR"/>
              </w:rPr>
              <w:t xml:space="preserve"> pour consulter le fichier arrêté au 27 janvier 2018.</w:t>
            </w:r>
          </w:p>
        </w:tc>
      </w:tr>
      <w:tr w:rsidR="004A7857"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4A7857" w:rsidRPr="0059761E" w:rsidRDefault="004A7857" w:rsidP="00A57700">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top w:val="single" w:sz="4" w:space="0" w:color="auto"/>
              <w:left w:val="single" w:sz="4" w:space="0" w:color="auto"/>
              <w:bottom w:val="single" w:sz="4" w:space="0" w:color="auto"/>
              <w:right w:val="single" w:sz="4" w:space="0" w:color="auto"/>
            </w:tcBorders>
          </w:tcPr>
          <w:p w:rsidR="004A7857" w:rsidRDefault="004A7857">
            <w:pPr>
              <w:rPr>
                <w:rFonts w:ascii="Calibri" w:hAnsi="Calibri" w:cs="Calibri"/>
              </w:rPr>
            </w:pPr>
            <w:r>
              <w:rPr>
                <w:rFonts w:ascii="Times New Roman" w:hAnsi="Times New Roman" w:cs="Times New Roman"/>
                <w:b/>
                <w:bCs/>
                <w:sz w:val="20"/>
                <w:szCs w:val="20"/>
              </w:rPr>
              <w:t>Suivi du Fonds de Commerce</w:t>
            </w:r>
          </w:p>
        </w:tc>
        <w:tc>
          <w:tcPr>
            <w:tcW w:w="12332" w:type="dxa"/>
            <w:tcBorders>
              <w:top w:val="single" w:sz="4" w:space="0" w:color="auto"/>
              <w:left w:val="single" w:sz="4" w:space="0" w:color="auto"/>
              <w:bottom w:val="single" w:sz="4" w:space="0" w:color="auto"/>
              <w:right w:val="single" w:sz="4" w:space="0" w:color="auto"/>
            </w:tcBorders>
          </w:tcPr>
          <w:p w:rsidR="004A7857" w:rsidRPr="004A7857" w:rsidRDefault="004A7857" w:rsidP="004A7857">
            <w:pPr>
              <w:numPr>
                <w:ilvl w:val="0"/>
                <w:numId w:val="44"/>
              </w:numPr>
              <w:ind w:left="176" w:hanging="176"/>
              <w:contextualSpacing/>
              <w:jc w:val="both"/>
              <w:rPr>
                <w:rFonts w:ascii="Times New Roman" w:hAnsi="Times New Roman" w:cs="Times New Roman"/>
                <w:sz w:val="20"/>
                <w:szCs w:val="20"/>
              </w:rPr>
            </w:pPr>
            <w:r w:rsidRPr="004A7857">
              <w:rPr>
                <w:rFonts w:ascii="Times New Roman" w:hAnsi="Times New Roman" w:cs="Times New Roman"/>
                <w:color w:val="000000"/>
                <w:sz w:val="20"/>
                <w:szCs w:val="20"/>
                <w:lang w:eastAsia="fr-FR"/>
              </w:rPr>
              <w:t xml:space="preserve">Le suivi du Fonds de Commerce Pro à fin décembre est disponible dans </w:t>
            </w:r>
            <w:hyperlink r:id="rId34" w:history="1">
              <w:r w:rsidRPr="004A7857">
                <w:rPr>
                  <w:rStyle w:val="Lienhypertexte"/>
                  <w:rFonts w:ascii="Times New Roman" w:hAnsi="Times New Roman" w:cs="Times New Roman"/>
                  <w:sz w:val="20"/>
                  <w:szCs w:val="20"/>
                  <w:lang w:eastAsia="fr-FR"/>
                </w:rPr>
                <w:t>l’Espace Pros de la Rubrique des Commerciaux / Fonds de Commerce / Résultats Fonds de Commerce Pros / 20171231 Résultats Fonds de Commerce Pro</w:t>
              </w:r>
            </w:hyperlink>
            <w:r w:rsidRPr="004A7857">
              <w:rPr>
                <w:rFonts w:ascii="Times New Roman" w:hAnsi="Times New Roman" w:cs="Times New Roman"/>
                <w:color w:val="000000"/>
                <w:sz w:val="20"/>
                <w:szCs w:val="20"/>
                <w:lang w:eastAsia="fr-FR"/>
              </w:rPr>
              <w:t>.</w:t>
            </w:r>
          </w:p>
        </w:tc>
      </w:tr>
      <w:tr w:rsidR="002E0938"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E0938" w:rsidRPr="0036331E" w:rsidRDefault="002E0938" w:rsidP="0036331E">
            <w:pPr>
              <w:rPr>
                <w:rFonts w:ascii="Times New Roman" w:hAnsi="Times New Roman" w:cs="Times New Roman"/>
                <w:b/>
                <w:bCs/>
                <w:sz w:val="20"/>
                <w:szCs w:val="20"/>
              </w:rPr>
            </w:pPr>
            <w:r w:rsidRPr="0036331E">
              <w:rPr>
                <w:rFonts w:ascii="Times New Roman" w:hAnsi="Times New Roman" w:cs="Times New Roman"/>
                <w:b/>
                <w:bCs/>
                <w:sz w:val="20"/>
                <w:szCs w:val="20"/>
              </w:rPr>
              <w:t xml:space="preserve">Com. </w:t>
            </w:r>
            <w:r w:rsidR="0036331E">
              <w:rPr>
                <w:rFonts w:ascii="Times New Roman" w:hAnsi="Times New Roman" w:cs="Times New Roman"/>
                <w:b/>
                <w:bCs/>
                <w:sz w:val="20"/>
                <w:szCs w:val="20"/>
              </w:rPr>
              <w:t>Crédits</w:t>
            </w:r>
          </w:p>
        </w:tc>
        <w:tc>
          <w:tcPr>
            <w:tcW w:w="1843" w:type="dxa"/>
            <w:tcBorders>
              <w:top w:val="single" w:sz="4" w:space="0" w:color="auto"/>
              <w:left w:val="single" w:sz="4" w:space="0" w:color="auto"/>
              <w:bottom w:val="single" w:sz="4" w:space="0" w:color="auto"/>
              <w:right w:val="single" w:sz="4" w:space="0" w:color="auto"/>
            </w:tcBorders>
          </w:tcPr>
          <w:p w:rsidR="002E0938" w:rsidRPr="0036331E" w:rsidRDefault="002E0938" w:rsidP="00A57700">
            <w:pPr>
              <w:rPr>
                <w:rFonts w:ascii="Times New Roman" w:hAnsi="Times New Roman" w:cs="Times New Roman"/>
                <w:b/>
                <w:bCs/>
                <w:color w:val="000000"/>
                <w:sz w:val="20"/>
                <w:szCs w:val="20"/>
              </w:rPr>
            </w:pPr>
            <w:r w:rsidRPr="0036331E">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2E0938" w:rsidRPr="004A7857" w:rsidRDefault="002E0938" w:rsidP="004A7857">
            <w:pPr>
              <w:pStyle w:val="Paragraphedeliste"/>
              <w:numPr>
                <w:ilvl w:val="0"/>
                <w:numId w:val="2"/>
              </w:numPr>
              <w:ind w:left="176" w:hanging="176"/>
              <w:jc w:val="both"/>
              <w:rPr>
                <w:rFonts w:ascii="Times New Roman" w:hAnsi="Times New Roman" w:cs="Times New Roman"/>
                <w:bCs/>
                <w:sz w:val="20"/>
                <w:szCs w:val="20"/>
                <w:lang w:eastAsia="fr-FR"/>
              </w:rPr>
            </w:pPr>
            <w:r w:rsidRPr="004A7857">
              <w:rPr>
                <w:rFonts w:ascii="Times New Roman" w:hAnsi="Times New Roman" w:cs="Times New Roman"/>
                <w:sz w:val="20"/>
                <w:szCs w:val="20"/>
              </w:rPr>
              <w:t xml:space="preserve">Vous trouverez en </w:t>
            </w:r>
            <w:hyperlink r:id="rId35" w:history="1">
              <w:r w:rsidRPr="004A7857">
                <w:rPr>
                  <w:rStyle w:val="Lienhypertexte"/>
                  <w:rFonts w:ascii="Times New Roman" w:hAnsi="Times New Roman" w:cs="Times New Roman"/>
                  <w:sz w:val="20"/>
                  <w:szCs w:val="20"/>
                </w:rPr>
                <w:t>cliquant ici</w:t>
              </w:r>
            </w:hyperlink>
            <w:r w:rsidRPr="004A7857">
              <w:rPr>
                <w:rFonts w:ascii="Times New Roman" w:hAnsi="Times New Roman" w:cs="Times New Roman"/>
                <w:sz w:val="20"/>
                <w:szCs w:val="20"/>
              </w:rPr>
              <w:t xml:space="preserve"> </w:t>
            </w:r>
            <w:r w:rsidRPr="004A7857">
              <w:rPr>
                <w:rFonts w:ascii="Times New Roman" w:hAnsi="Times New Roman" w:cs="Times New Roman"/>
                <w:b/>
                <w:sz w:val="20"/>
                <w:szCs w:val="20"/>
              </w:rPr>
              <w:t>l</w:t>
            </w:r>
            <w:r w:rsidR="00FC10BC" w:rsidRPr="004A7857">
              <w:rPr>
                <w:rFonts w:ascii="Times New Roman" w:hAnsi="Times New Roman" w:cs="Times New Roman"/>
                <w:b/>
                <w:sz w:val="20"/>
                <w:szCs w:val="20"/>
              </w:rPr>
              <w:t>a</w:t>
            </w:r>
            <w:r w:rsidR="0036331E" w:rsidRPr="004A7857">
              <w:rPr>
                <w:rFonts w:ascii="Times New Roman" w:hAnsi="Times New Roman" w:cs="Times New Roman"/>
                <w:b/>
                <w:sz w:val="20"/>
                <w:szCs w:val="20"/>
              </w:rPr>
              <w:t xml:space="preserve"> météo des crédits arrêtée au 26</w:t>
            </w:r>
            <w:r w:rsidRPr="004A7857">
              <w:rPr>
                <w:rFonts w:ascii="Times New Roman" w:hAnsi="Times New Roman" w:cs="Times New Roman"/>
                <w:b/>
                <w:sz w:val="20"/>
                <w:szCs w:val="20"/>
              </w:rPr>
              <w:t>/01/2017.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6"/>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1726" w:rsidRDefault="00891726" w:rsidP="0035465A">
      <w:pPr>
        <w:spacing w:after="0" w:line="240" w:lineRule="auto"/>
      </w:pPr>
      <w:r>
        <w:separator/>
      </w:r>
    </w:p>
  </w:endnote>
  <w:endnote w:type="continuationSeparator" w:id="0">
    <w:p w:rsidR="00891726" w:rsidRDefault="00891726"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1726" w:rsidRDefault="00891726" w:rsidP="0035465A">
      <w:pPr>
        <w:spacing w:after="0" w:line="240" w:lineRule="auto"/>
      </w:pPr>
      <w:r>
        <w:separator/>
      </w:r>
    </w:p>
  </w:footnote>
  <w:footnote w:type="continuationSeparator" w:id="0">
    <w:p w:rsidR="00891726" w:rsidRDefault="00891726"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A0839"/>
    <w:multiLevelType w:val="hybridMultilevel"/>
    <w:tmpl w:val="2C0ACF3E"/>
    <w:lvl w:ilvl="0" w:tplc="040C0003">
      <w:start w:val="1"/>
      <w:numFmt w:val="bullet"/>
      <w:lvlText w:val="o"/>
      <w:lvlJc w:val="left"/>
      <w:pPr>
        <w:ind w:left="536" w:hanging="360"/>
      </w:pPr>
      <w:rPr>
        <w:rFonts w:ascii="Courier New" w:hAnsi="Courier New" w:cs="Courier New" w:hint="default"/>
      </w:rPr>
    </w:lvl>
    <w:lvl w:ilvl="1" w:tplc="040C0003">
      <w:start w:val="1"/>
      <w:numFmt w:val="bullet"/>
      <w:lvlText w:val="o"/>
      <w:lvlJc w:val="left"/>
      <w:pPr>
        <w:ind w:left="1256" w:hanging="360"/>
      </w:pPr>
      <w:rPr>
        <w:rFonts w:ascii="Courier New" w:hAnsi="Courier New" w:cs="Courier New" w:hint="default"/>
      </w:rPr>
    </w:lvl>
    <w:lvl w:ilvl="2" w:tplc="040C0005">
      <w:start w:val="1"/>
      <w:numFmt w:val="bullet"/>
      <w:lvlText w:val=""/>
      <w:lvlJc w:val="left"/>
      <w:pPr>
        <w:ind w:left="1976" w:hanging="360"/>
      </w:pPr>
      <w:rPr>
        <w:rFonts w:ascii="Wingdings" w:hAnsi="Wingdings" w:hint="default"/>
      </w:rPr>
    </w:lvl>
    <w:lvl w:ilvl="3" w:tplc="040C0001">
      <w:start w:val="1"/>
      <w:numFmt w:val="bullet"/>
      <w:lvlText w:val=""/>
      <w:lvlJc w:val="left"/>
      <w:pPr>
        <w:ind w:left="2696" w:hanging="360"/>
      </w:pPr>
      <w:rPr>
        <w:rFonts w:ascii="Symbol" w:hAnsi="Symbol" w:hint="default"/>
      </w:rPr>
    </w:lvl>
    <w:lvl w:ilvl="4" w:tplc="040C0003">
      <w:start w:val="1"/>
      <w:numFmt w:val="bullet"/>
      <w:lvlText w:val="o"/>
      <w:lvlJc w:val="left"/>
      <w:pPr>
        <w:ind w:left="3416" w:hanging="360"/>
      </w:pPr>
      <w:rPr>
        <w:rFonts w:ascii="Courier New" w:hAnsi="Courier New" w:cs="Courier New" w:hint="default"/>
      </w:rPr>
    </w:lvl>
    <w:lvl w:ilvl="5" w:tplc="040C0005">
      <w:start w:val="1"/>
      <w:numFmt w:val="bullet"/>
      <w:lvlText w:val=""/>
      <w:lvlJc w:val="left"/>
      <w:pPr>
        <w:ind w:left="4136" w:hanging="360"/>
      </w:pPr>
      <w:rPr>
        <w:rFonts w:ascii="Wingdings" w:hAnsi="Wingdings" w:hint="default"/>
      </w:rPr>
    </w:lvl>
    <w:lvl w:ilvl="6" w:tplc="040C0001">
      <w:start w:val="1"/>
      <w:numFmt w:val="bullet"/>
      <w:lvlText w:val=""/>
      <w:lvlJc w:val="left"/>
      <w:pPr>
        <w:ind w:left="4856" w:hanging="360"/>
      </w:pPr>
      <w:rPr>
        <w:rFonts w:ascii="Symbol" w:hAnsi="Symbol" w:hint="default"/>
      </w:rPr>
    </w:lvl>
    <w:lvl w:ilvl="7" w:tplc="040C0003">
      <w:start w:val="1"/>
      <w:numFmt w:val="bullet"/>
      <w:lvlText w:val="o"/>
      <w:lvlJc w:val="left"/>
      <w:pPr>
        <w:ind w:left="5576" w:hanging="360"/>
      </w:pPr>
      <w:rPr>
        <w:rFonts w:ascii="Courier New" w:hAnsi="Courier New" w:cs="Courier New" w:hint="default"/>
      </w:rPr>
    </w:lvl>
    <w:lvl w:ilvl="8" w:tplc="040C0005">
      <w:start w:val="1"/>
      <w:numFmt w:val="bullet"/>
      <w:lvlText w:val=""/>
      <w:lvlJc w:val="left"/>
      <w:pPr>
        <w:ind w:left="6296" w:hanging="360"/>
      </w:pPr>
      <w:rPr>
        <w:rFonts w:ascii="Wingdings" w:hAnsi="Wingdings" w:hint="default"/>
      </w:rPr>
    </w:lvl>
  </w:abstractNum>
  <w:abstractNum w:abstractNumId="1">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0FE617BF"/>
    <w:multiLevelType w:val="hybridMultilevel"/>
    <w:tmpl w:val="6004F438"/>
    <w:lvl w:ilvl="0" w:tplc="C66A73E4">
      <w:start w:val="1"/>
      <w:numFmt w:val="bullet"/>
      <w:lvlText w:val=""/>
      <w:lvlJc w:val="left"/>
      <w:pPr>
        <w:ind w:left="360" w:hanging="360"/>
      </w:pPr>
      <w:rPr>
        <w:rFonts w:ascii="Wingdings" w:hAnsi="Wingdings" w:hint="default"/>
        <w:color w:val="000000"/>
        <w:sz w:val="20"/>
        <w:szCs w:val="2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4">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nsid w:val="17513CCA"/>
    <w:multiLevelType w:val="hybridMultilevel"/>
    <w:tmpl w:val="A0544380"/>
    <w:lvl w:ilvl="0" w:tplc="040C0003">
      <w:start w:val="1"/>
      <w:numFmt w:val="bullet"/>
      <w:lvlText w:val="o"/>
      <w:lvlJc w:val="left"/>
      <w:pPr>
        <w:ind w:left="535" w:hanging="360"/>
      </w:pPr>
      <w:rPr>
        <w:rFonts w:ascii="Courier New" w:hAnsi="Courier New" w:cs="Courier New" w:hint="default"/>
      </w:rPr>
    </w:lvl>
    <w:lvl w:ilvl="1" w:tplc="040C0003">
      <w:start w:val="1"/>
      <w:numFmt w:val="bullet"/>
      <w:lvlText w:val="o"/>
      <w:lvlJc w:val="left"/>
      <w:pPr>
        <w:ind w:left="1255" w:hanging="360"/>
      </w:pPr>
      <w:rPr>
        <w:rFonts w:ascii="Courier New" w:hAnsi="Courier New" w:cs="Courier New" w:hint="default"/>
      </w:rPr>
    </w:lvl>
    <w:lvl w:ilvl="2" w:tplc="040C0005">
      <w:start w:val="1"/>
      <w:numFmt w:val="bullet"/>
      <w:lvlText w:val=""/>
      <w:lvlJc w:val="left"/>
      <w:pPr>
        <w:ind w:left="1975" w:hanging="360"/>
      </w:pPr>
      <w:rPr>
        <w:rFonts w:ascii="Wingdings" w:hAnsi="Wingdings" w:hint="default"/>
      </w:rPr>
    </w:lvl>
    <w:lvl w:ilvl="3" w:tplc="040C0001">
      <w:start w:val="1"/>
      <w:numFmt w:val="bullet"/>
      <w:lvlText w:val=""/>
      <w:lvlJc w:val="left"/>
      <w:pPr>
        <w:ind w:left="2695" w:hanging="360"/>
      </w:pPr>
      <w:rPr>
        <w:rFonts w:ascii="Symbol" w:hAnsi="Symbol" w:hint="default"/>
      </w:rPr>
    </w:lvl>
    <w:lvl w:ilvl="4" w:tplc="040C0003">
      <w:start w:val="1"/>
      <w:numFmt w:val="bullet"/>
      <w:lvlText w:val="o"/>
      <w:lvlJc w:val="left"/>
      <w:pPr>
        <w:ind w:left="3415" w:hanging="360"/>
      </w:pPr>
      <w:rPr>
        <w:rFonts w:ascii="Courier New" w:hAnsi="Courier New" w:cs="Courier New" w:hint="default"/>
      </w:rPr>
    </w:lvl>
    <w:lvl w:ilvl="5" w:tplc="040C0005">
      <w:start w:val="1"/>
      <w:numFmt w:val="bullet"/>
      <w:lvlText w:val=""/>
      <w:lvlJc w:val="left"/>
      <w:pPr>
        <w:ind w:left="4135" w:hanging="360"/>
      </w:pPr>
      <w:rPr>
        <w:rFonts w:ascii="Wingdings" w:hAnsi="Wingdings" w:hint="default"/>
      </w:rPr>
    </w:lvl>
    <w:lvl w:ilvl="6" w:tplc="040C0001">
      <w:start w:val="1"/>
      <w:numFmt w:val="bullet"/>
      <w:lvlText w:val=""/>
      <w:lvlJc w:val="left"/>
      <w:pPr>
        <w:ind w:left="4855" w:hanging="360"/>
      </w:pPr>
      <w:rPr>
        <w:rFonts w:ascii="Symbol" w:hAnsi="Symbol" w:hint="default"/>
      </w:rPr>
    </w:lvl>
    <w:lvl w:ilvl="7" w:tplc="040C0003">
      <w:start w:val="1"/>
      <w:numFmt w:val="bullet"/>
      <w:lvlText w:val="o"/>
      <w:lvlJc w:val="left"/>
      <w:pPr>
        <w:ind w:left="5575" w:hanging="360"/>
      </w:pPr>
      <w:rPr>
        <w:rFonts w:ascii="Courier New" w:hAnsi="Courier New" w:cs="Courier New" w:hint="default"/>
      </w:rPr>
    </w:lvl>
    <w:lvl w:ilvl="8" w:tplc="040C0005">
      <w:start w:val="1"/>
      <w:numFmt w:val="bullet"/>
      <w:lvlText w:val=""/>
      <w:lvlJc w:val="left"/>
      <w:pPr>
        <w:ind w:left="6295" w:hanging="360"/>
      </w:pPr>
      <w:rPr>
        <w:rFonts w:ascii="Wingdings" w:hAnsi="Wingdings" w:hint="default"/>
      </w:rPr>
    </w:lvl>
  </w:abstractNum>
  <w:abstractNum w:abstractNumId="6">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1EA73040"/>
    <w:multiLevelType w:val="hybridMultilevel"/>
    <w:tmpl w:val="1F520AFC"/>
    <w:lvl w:ilvl="0" w:tplc="C66A73E4">
      <w:start w:val="1"/>
      <w:numFmt w:val="bullet"/>
      <w:lvlText w:val=""/>
      <w:lvlJc w:val="left"/>
      <w:pPr>
        <w:ind w:left="360" w:hanging="360"/>
      </w:pPr>
      <w:rPr>
        <w:rFonts w:ascii="Wingdings" w:hAnsi="Wingdings" w:hint="default"/>
        <w:color w:val="000000"/>
        <w:sz w:val="20"/>
        <w:szCs w:val="2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8">
    <w:nsid w:val="1F013033"/>
    <w:multiLevelType w:val="hybridMultilevel"/>
    <w:tmpl w:val="C5ACE3E6"/>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22D92455"/>
    <w:multiLevelType w:val="hybridMultilevel"/>
    <w:tmpl w:val="C5D65F00"/>
    <w:lvl w:ilvl="0" w:tplc="7DEEA20A">
      <w:numFmt w:val="bullet"/>
      <w:lvlText w:val="-"/>
      <w:lvlJc w:val="left"/>
      <w:pPr>
        <w:ind w:left="536" w:hanging="360"/>
      </w:pPr>
      <w:rPr>
        <w:rFonts w:ascii="Times New Roman" w:eastAsia="Calibri" w:hAnsi="Times New Roman" w:cs="Times New Roman" w:hint="default"/>
      </w:rPr>
    </w:lvl>
    <w:lvl w:ilvl="1" w:tplc="040C0003">
      <w:start w:val="1"/>
      <w:numFmt w:val="bullet"/>
      <w:lvlText w:val="o"/>
      <w:lvlJc w:val="left"/>
      <w:pPr>
        <w:ind w:left="1256" w:hanging="360"/>
      </w:pPr>
      <w:rPr>
        <w:rFonts w:ascii="Courier New" w:hAnsi="Courier New" w:cs="Courier New" w:hint="default"/>
      </w:rPr>
    </w:lvl>
    <w:lvl w:ilvl="2" w:tplc="040C0005">
      <w:start w:val="1"/>
      <w:numFmt w:val="bullet"/>
      <w:lvlText w:val=""/>
      <w:lvlJc w:val="left"/>
      <w:pPr>
        <w:ind w:left="1976" w:hanging="360"/>
      </w:pPr>
      <w:rPr>
        <w:rFonts w:ascii="Wingdings" w:hAnsi="Wingdings" w:hint="default"/>
      </w:rPr>
    </w:lvl>
    <w:lvl w:ilvl="3" w:tplc="040C0001">
      <w:start w:val="1"/>
      <w:numFmt w:val="bullet"/>
      <w:lvlText w:val=""/>
      <w:lvlJc w:val="left"/>
      <w:pPr>
        <w:ind w:left="2696" w:hanging="360"/>
      </w:pPr>
      <w:rPr>
        <w:rFonts w:ascii="Symbol" w:hAnsi="Symbol" w:hint="default"/>
      </w:rPr>
    </w:lvl>
    <w:lvl w:ilvl="4" w:tplc="040C0003">
      <w:start w:val="1"/>
      <w:numFmt w:val="bullet"/>
      <w:lvlText w:val="o"/>
      <w:lvlJc w:val="left"/>
      <w:pPr>
        <w:ind w:left="3416" w:hanging="360"/>
      </w:pPr>
      <w:rPr>
        <w:rFonts w:ascii="Courier New" w:hAnsi="Courier New" w:cs="Courier New" w:hint="default"/>
      </w:rPr>
    </w:lvl>
    <w:lvl w:ilvl="5" w:tplc="040C0005">
      <w:start w:val="1"/>
      <w:numFmt w:val="bullet"/>
      <w:lvlText w:val=""/>
      <w:lvlJc w:val="left"/>
      <w:pPr>
        <w:ind w:left="4136" w:hanging="360"/>
      </w:pPr>
      <w:rPr>
        <w:rFonts w:ascii="Wingdings" w:hAnsi="Wingdings" w:hint="default"/>
      </w:rPr>
    </w:lvl>
    <w:lvl w:ilvl="6" w:tplc="040C0001">
      <w:start w:val="1"/>
      <w:numFmt w:val="bullet"/>
      <w:lvlText w:val=""/>
      <w:lvlJc w:val="left"/>
      <w:pPr>
        <w:ind w:left="4856" w:hanging="360"/>
      </w:pPr>
      <w:rPr>
        <w:rFonts w:ascii="Symbol" w:hAnsi="Symbol" w:hint="default"/>
      </w:rPr>
    </w:lvl>
    <w:lvl w:ilvl="7" w:tplc="040C0003">
      <w:start w:val="1"/>
      <w:numFmt w:val="bullet"/>
      <w:lvlText w:val="o"/>
      <w:lvlJc w:val="left"/>
      <w:pPr>
        <w:ind w:left="5576" w:hanging="360"/>
      </w:pPr>
      <w:rPr>
        <w:rFonts w:ascii="Courier New" w:hAnsi="Courier New" w:cs="Courier New" w:hint="default"/>
      </w:rPr>
    </w:lvl>
    <w:lvl w:ilvl="8" w:tplc="040C0005">
      <w:start w:val="1"/>
      <w:numFmt w:val="bullet"/>
      <w:lvlText w:val=""/>
      <w:lvlJc w:val="left"/>
      <w:pPr>
        <w:ind w:left="6296" w:hanging="360"/>
      </w:pPr>
      <w:rPr>
        <w:rFonts w:ascii="Wingdings" w:hAnsi="Wingdings" w:hint="default"/>
      </w:rPr>
    </w:lvl>
  </w:abstractNum>
  <w:abstractNum w:abstractNumId="10">
    <w:nsid w:val="2CA919C5"/>
    <w:multiLevelType w:val="hybridMultilevel"/>
    <w:tmpl w:val="8B581318"/>
    <w:lvl w:ilvl="0" w:tplc="94E6B4E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57876C6"/>
    <w:multiLevelType w:val="hybridMultilevel"/>
    <w:tmpl w:val="A46C3C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38A6011E"/>
    <w:multiLevelType w:val="hybridMultilevel"/>
    <w:tmpl w:val="F372152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38CD4EC4"/>
    <w:multiLevelType w:val="hybridMultilevel"/>
    <w:tmpl w:val="D1986370"/>
    <w:lvl w:ilvl="0" w:tplc="BBBA6D4C">
      <w:start w:val="1"/>
      <w:numFmt w:val="bullet"/>
      <w:lvlText w:val="−"/>
      <w:lvlJc w:val="left"/>
      <w:pPr>
        <w:ind w:left="720" w:hanging="360"/>
      </w:pPr>
      <w:rPr>
        <w:rFonts w:ascii="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5">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3C890298"/>
    <w:multiLevelType w:val="hybridMultilevel"/>
    <w:tmpl w:val="D2A0D0D6"/>
    <w:lvl w:ilvl="0" w:tplc="2778B1AE">
      <w:start w:val="1"/>
      <w:numFmt w:val="bullet"/>
      <w:suff w:val="space"/>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8">
    <w:nsid w:val="45714BEF"/>
    <w:multiLevelType w:val="hybridMultilevel"/>
    <w:tmpl w:val="1526A012"/>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9">
    <w:nsid w:val="4CCE3A7A"/>
    <w:multiLevelType w:val="hybridMultilevel"/>
    <w:tmpl w:val="3FCE522A"/>
    <w:lvl w:ilvl="0" w:tplc="93F0E78A">
      <w:start w:val="1"/>
      <w:numFmt w:val="bullet"/>
      <w:lvlText w:val=""/>
      <w:lvlJc w:val="left"/>
      <w:pPr>
        <w:tabs>
          <w:tab w:val="num" w:pos="720"/>
        </w:tabs>
        <w:ind w:left="720" w:hanging="360"/>
      </w:pPr>
      <w:rPr>
        <w:rFonts w:ascii="Wingdings" w:hAnsi="Wingdings" w:hint="default"/>
      </w:rPr>
    </w:lvl>
    <w:lvl w:ilvl="1" w:tplc="1B74B91A">
      <w:start w:val="1"/>
      <w:numFmt w:val="bullet"/>
      <w:lvlText w:val=""/>
      <w:lvlJc w:val="left"/>
      <w:pPr>
        <w:tabs>
          <w:tab w:val="num" w:pos="1440"/>
        </w:tabs>
        <w:ind w:left="1440" w:hanging="360"/>
      </w:pPr>
      <w:rPr>
        <w:rFonts w:ascii="Wingdings" w:hAnsi="Wingdings" w:hint="default"/>
      </w:rPr>
    </w:lvl>
    <w:lvl w:ilvl="2" w:tplc="C0A62BB8">
      <w:start w:val="1"/>
      <w:numFmt w:val="bullet"/>
      <w:lvlText w:val=""/>
      <w:lvlJc w:val="left"/>
      <w:pPr>
        <w:tabs>
          <w:tab w:val="num" w:pos="2160"/>
        </w:tabs>
        <w:ind w:left="2160" w:hanging="360"/>
      </w:pPr>
      <w:rPr>
        <w:rFonts w:ascii="Wingdings" w:hAnsi="Wingdings" w:hint="default"/>
      </w:rPr>
    </w:lvl>
    <w:lvl w:ilvl="3" w:tplc="B5921182">
      <w:start w:val="1"/>
      <w:numFmt w:val="bullet"/>
      <w:lvlText w:val=""/>
      <w:lvlJc w:val="left"/>
      <w:pPr>
        <w:tabs>
          <w:tab w:val="num" w:pos="2880"/>
        </w:tabs>
        <w:ind w:left="2880" w:hanging="360"/>
      </w:pPr>
      <w:rPr>
        <w:rFonts w:ascii="Wingdings" w:hAnsi="Wingdings" w:hint="default"/>
      </w:rPr>
    </w:lvl>
    <w:lvl w:ilvl="4" w:tplc="EE4464A4">
      <w:start w:val="1"/>
      <w:numFmt w:val="bullet"/>
      <w:lvlText w:val=""/>
      <w:lvlJc w:val="left"/>
      <w:pPr>
        <w:tabs>
          <w:tab w:val="num" w:pos="3600"/>
        </w:tabs>
        <w:ind w:left="3600" w:hanging="360"/>
      </w:pPr>
      <w:rPr>
        <w:rFonts w:ascii="Wingdings" w:hAnsi="Wingdings" w:hint="default"/>
      </w:rPr>
    </w:lvl>
    <w:lvl w:ilvl="5" w:tplc="4FACF166">
      <w:start w:val="1"/>
      <w:numFmt w:val="bullet"/>
      <w:lvlText w:val=""/>
      <w:lvlJc w:val="left"/>
      <w:pPr>
        <w:tabs>
          <w:tab w:val="num" w:pos="4320"/>
        </w:tabs>
        <w:ind w:left="4320" w:hanging="360"/>
      </w:pPr>
      <w:rPr>
        <w:rFonts w:ascii="Wingdings" w:hAnsi="Wingdings" w:hint="default"/>
      </w:rPr>
    </w:lvl>
    <w:lvl w:ilvl="6" w:tplc="6B2618B6">
      <w:start w:val="1"/>
      <w:numFmt w:val="bullet"/>
      <w:lvlText w:val=""/>
      <w:lvlJc w:val="left"/>
      <w:pPr>
        <w:tabs>
          <w:tab w:val="num" w:pos="5040"/>
        </w:tabs>
        <w:ind w:left="5040" w:hanging="360"/>
      </w:pPr>
      <w:rPr>
        <w:rFonts w:ascii="Wingdings" w:hAnsi="Wingdings" w:hint="default"/>
      </w:rPr>
    </w:lvl>
    <w:lvl w:ilvl="7" w:tplc="78F01F0C">
      <w:start w:val="1"/>
      <w:numFmt w:val="bullet"/>
      <w:lvlText w:val=""/>
      <w:lvlJc w:val="left"/>
      <w:pPr>
        <w:tabs>
          <w:tab w:val="num" w:pos="5760"/>
        </w:tabs>
        <w:ind w:left="5760" w:hanging="360"/>
      </w:pPr>
      <w:rPr>
        <w:rFonts w:ascii="Wingdings" w:hAnsi="Wingdings" w:hint="default"/>
      </w:rPr>
    </w:lvl>
    <w:lvl w:ilvl="8" w:tplc="61601168">
      <w:start w:val="1"/>
      <w:numFmt w:val="bullet"/>
      <w:lvlText w:val=""/>
      <w:lvlJc w:val="left"/>
      <w:pPr>
        <w:tabs>
          <w:tab w:val="num" w:pos="6480"/>
        </w:tabs>
        <w:ind w:left="6480" w:hanging="360"/>
      </w:pPr>
      <w:rPr>
        <w:rFonts w:ascii="Wingdings" w:hAnsi="Wingdings" w:hint="default"/>
      </w:rPr>
    </w:lvl>
  </w:abstractNum>
  <w:abstractNum w:abstractNumId="20">
    <w:nsid w:val="4E8C16E2"/>
    <w:multiLevelType w:val="hybridMultilevel"/>
    <w:tmpl w:val="292A9F12"/>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1">
    <w:nsid w:val="5C72573D"/>
    <w:multiLevelType w:val="hybridMultilevel"/>
    <w:tmpl w:val="C298FA8A"/>
    <w:lvl w:ilvl="0" w:tplc="D60E865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5CD367C1"/>
    <w:multiLevelType w:val="hybridMultilevel"/>
    <w:tmpl w:val="672457E8"/>
    <w:lvl w:ilvl="0" w:tplc="D2C8C298">
      <w:start w:val="1"/>
      <w:numFmt w:val="bullet"/>
      <w:lvlText w:val=""/>
      <w:lvlJc w:val="left"/>
      <w:pPr>
        <w:ind w:left="187" w:hanging="187"/>
      </w:pPr>
      <w:rPr>
        <w:rFonts w:ascii="Symbol" w:hAnsi="Symbol" w:hint="default"/>
        <w:strike w:val="0"/>
        <w:dstrike w:val="0"/>
        <w:color w:val="000000"/>
        <w:sz w:val="20"/>
        <w:szCs w:val="20"/>
        <w:u w:val="none"/>
        <w:effect w:val="none"/>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3">
    <w:nsid w:val="62162891"/>
    <w:multiLevelType w:val="hybridMultilevel"/>
    <w:tmpl w:val="697C1234"/>
    <w:lvl w:ilvl="0" w:tplc="5CA6C3FC">
      <w:start w:val="1"/>
      <w:numFmt w:val="bullet"/>
      <w:lvlText w:val=""/>
      <w:lvlJc w:val="left"/>
      <w:pPr>
        <w:ind w:left="547" w:hanging="360"/>
      </w:pPr>
      <w:rPr>
        <w:rFonts w:ascii="Wingdings" w:hAnsi="Wingdings" w:hint="default"/>
        <w:color w:val="000000"/>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24">
    <w:nsid w:val="662F593F"/>
    <w:multiLevelType w:val="hybridMultilevel"/>
    <w:tmpl w:val="B4DE4CE2"/>
    <w:lvl w:ilvl="0" w:tplc="040C0001">
      <w:start w:val="1"/>
      <w:numFmt w:val="bullet"/>
      <w:lvlText w:val=""/>
      <w:lvlJc w:val="left"/>
      <w:pPr>
        <w:ind w:left="363" w:hanging="360"/>
      </w:pPr>
      <w:rPr>
        <w:rFonts w:ascii="Symbol" w:hAnsi="Symbol" w:hint="default"/>
      </w:rPr>
    </w:lvl>
    <w:lvl w:ilvl="1" w:tplc="040C0003">
      <w:start w:val="1"/>
      <w:numFmt w:val="bullet"/>
      <w:lvlText w:val="o"/>
      <w:lvlJc w:val="left"/>
      <w:pPr>
        <w:ind w:left="1083" w:hanging="360"/>
      </w:pPr>
      <w:rPr>
        <w:rFonts w:ascii="Courier New" w:hAnsi="Courier New" w:cs="Courier New" w:hint="default"/>
      </w:rPr>
    </w:lvl>
    <w:lvl w:ilvl="2" w:tplc="040C0005">
      <w:start w:val="1"/>
      <w:numFmt w:val="bullet"/>
      <w:lvlText w:val=""/>
      <w:lvlJc w:val="left"/>
      <w:pPr>
        <w:ind w:left="1803" w:hanging="360"/>
      </w:pPr>
      <w:rPr>
        <w:rFonts w:ascii="Wingdings" w:hAnsi="Wingdings" w:hint="default"/>
      </w:rPr>
    </w:lvl>
    <w:lvl w:ilvl="3" w:tplc="040C0001">
      <w:start w:val="1"/>
      <w:numFmt w:val="bullet"/>
      <w:lvlText w:val=""/>
      <w:lvlJc w:val="left"/>
      <w:pPr>
        <w:ind w:left="2523" w:hanging="360"/>
      </w:pPr>
      <w:rPr>
        <w:rFonts w:ascii="Symbol" w:hAnsi="Symbol" w:hint="default"/>
      </w:rPr>
    </w:lvl>
    <w:lvl w:ilvl="4" w:tplc="040C0003">
      <w:start w:val="1"/>
      <w:numFmt w:val="bullet"/>
      <w:lvlText w:val="o"/>
      <w:lvlJc w:val="left"/>
      <w:pPr>
        <w:ind w:left="3243" w:hanging="360"/>
      </w:pPr>
      <w:rPr>
        <w:rFonts w:ascii="Courier New" w:hAnsi="Courier New" w:cs="Courier New" w:hint="default"/>
      </w:rPr>
    </w:lvl>
    <w:lvl w:ilvl="5" w:tplc="040C0005">
      <w:start w:val="1"/>
      <w:numFmt w:val="bullet"/>
      <w:lvlText w:val=""/>
      <w:lvlJc w:val="left"/>
      <w:pPr>
        <w:ind w:left="3963" w:hanging="360"/>
      </w:pPr>
      <w:rPr>
        <w:rFonts w:ascii="Wingdings" w:hAnsi="Wingdings" w:hint="default"/>
      </w:rPr>
    </w:lvl>
    <w:lvl w:ilvl="6" w:tplc="040C0001">
      <w:start w:val="1"/>
      <w:numFmt w:val="bullet"/>
      <w:lvlText w:val=""/>
      <w:lvlJc w:val="left"/>
      <w:pPr>
        <w:ind w:left="4683" w:hanging="360"/>
      </w:pPr>
      <w:rPr>
        <w:rFonts w:ascii="Symbol" w:hAnsi="Symbol" w:hint="default"/>
      </w:rPr>
    </w:lvl>
    <w:lvl w:ilvl="7" w:tplc="040C0003">
      <w:start w:val="1"/>
      <w:numFmt w:val="bullet"/>
      <w:lvlText w:val="o"/>
      <w:lvlJc w:val="left"/>
      <w:pPr>
        <w:ind w:left="5403" w:hanging="360"/>
      </w:pPr>
      <w:rPr>
        <w:rFonts w:ascii="Courier New" w:hAnsi="Courier New" w:cs="Courier New" w:hint="default"/>
      </w:rPr>
    </w:lvl>
    <w:lvl w:ilvl="8" w:tplc="040C0005">
      <w:start w:val="1"/>
      <w:numFmt w:val="bullet"/>
      <w:lvlText w:val=""/>
      <w:lvlJc w:val="left"/>
      <w:pPr>
        <w:ind w:left="6123" w:hanging="360"/>
      </w:pPr>
      <w:rPr>
        <w:rFonts w:ascii="Wingdings" w:hAnsi="Wingdings" w:hint="default"/>
      </w:rPr>
    </w:lvl>
  </w:abstractNum>
  <w:abstractNum w:abstractNumId="25">
    <w:nsid w:val="799C29EE"/>
    <w:multiLevelType w:val="hybridMultilevel"/>
    <w:tmpl w:val="9E1406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7C2F5BC5"/>
    <w:multiLevelType w:val="hybridMultilevel"/>
    <w:tmpl w:val="A2CAB3F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nsid w:val="7F274FBB"/>
    <w:multiLevelType w:val="hybridMultilevel"/>
    <w:tmpl w:val="DE3068CE"/>
    <w:lvl w:ilvl="0" w:tplc="761C6CB2">
      <w:numFmt w:val="bullet"/>
      <w:lvlText w:val="-"/>
      <w:lvlJc w:val="left"/>
      <w:pPr>
        <w:ind w:left="187" w:hanging="187"/>
      </w:pPr>
      <w:rPr>
        <w:rFonts w:ascii="Calibri" w:eastAsia="Calibri" w:hAnsi="Calibri" w:cs="Calibri" w:hint="default"/>
        <w:strike w:val="0"/>
        <w:dstrike w:val="0"/>
        <w:color w:val="000000"/>
        <w:sz w:val="20"/>
        <w:szCs w:val="20"/>
        <w:u w:val="none"/>
        <w:effect w:val="none"/>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14"/>
  </w:num>
  <w:num w:numId="2">
    <w:abstractNumId w:val="1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
  </w:num>
  <w:num w:numId="6">
    <w:abstractNumId w:val="17"/>
  </w:num>
  <w:num w:numId="7">
    <w:abstractNumId w:val="17"/>
  </w:num>
  <w:num w:numId="8">
    <w:abstractNumId w:val="22"/>
  </w:num>
  <w:num w:numId="9">
    <w:abstractNumId w:val="17"/>
  </w:num>
  <w:num w:numId="10">
    <w:abstractNumId w:val="17"/>
  </w:num>
  <w:num w:numId="11">
    <w:abstractNumId w:val="17"/>
  </w:num>
  <w:num w:numId="12">
    <w:abstractNumId w:val="15"/>
  </w:num>
  <w:num w:numId="13">
    <w:abstractNumId w:val="2"/>
  </w:num>
  <w:num w:numId="14">
    <w:abstractNumId w:val="17"/>
  </w:num>
  <w:num w:numId="15">
    <w:abstractNumId w:val="20"/>
  </w:num>
  <w:num w:numId="16">
    <w:abstractNumId w:val="16"/>
  </w:num>
  <w:num w:numId="17">
    <w:abstractNumId w:val="5"/>
  </w:num>
  <w:num w:numId="18">
    <w:abstractNumId w:val="17"/>
  </w:num>
  <w:num w:numId="19">
    <w:abstractNumId w:val="9"/>
  </w:num>
  <w:num w:numId="20">
    <w:abstractNumId w:val="9"/>
  </w:num>
  <w:num w:numId="21">
    <w:abstractNumId w:val="0"/>
  </w:num>
  <w:num w:numId="22">
    <w:abstractNumId w:val="25"/>
  </w:num>
  <w:num w:numId="23">
    <w:abstractNumId w:val="21"/>
  </w:num>
  <w:num w:numId="24">
    <w:abstractNumId w:val="15"/>
  </w:num>
  <w:num w:numId="25">
    <w:abstractNumId w:val="17"/>
  </w:num>
  <w:num w:numId="26">
    <w:abstractNumId w:val="17"/>
  </w:num>
  <w:num w:numId="27">
    <w:abstractNumId w:val="7"/>
  </w:num>
  <w:num w:numId="28">
    <w:abstractNumId w:val="3"/>
  </w:num>
  <w:num w:numId="29">
    <w:abstractNumId w:val="23"/>
  </w:num>
  <w:num w:numId="30">
    <w:abstractNumId w:val="26"/>
  </w:num>
  <w:num w:numId="31">
    <w:abstractNumId w:val="27"/>
  </w:num>
  <w:num w:numId="32">
    <w:abstractNumId w:val="17"/>
  </w:num>
  <w:num w:numId="33">
    <w:abstractNumId w:val="8"/>
  </w:num>
  <w:num w:numId="34">
    <w:abstractNumId w:val="13"/>
  </w:num>
  <w:num w:numId="35">
    <w:abstractNumId w:val="11"/>
  </w:num>
  <w:num w:numId="36">
    <w:abstractNumId w:val="18"/>
  </w:num>
  <w:num w:numId="37">
    <w:abstractNumId w:val="10"/>
  </w:num>
  <w:num w:numId="38">
    <w:abstractNumId w:val="17"/>
  </w:num>
  <w:num w:numId="39">
    <w:abstractNumId w:val="24"/>
  </w:num>
  <w:num w:numId="40">
    <w:abstractNumId w:val="12"/>
  </w:num>
  <w:num w:numId="41">
    <w:abstractNumId w:val="5"/>
  </w:num>
  <w:num w:numId="42">
    <w:abstractNumId w:val="15"/>
  </w:num>
  <w:num w:numId="43">
    <w:abstractNumId w:val="19"/>
  </w:num>
  <w:num w:numId="44">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DE7"/>
    <w:rsid w:val="0000556A"/>
    <w:rsid w:val="000058A4"/>
    <w:rsid w:val="000061FB"/>
    <w:rsid w:val="000103F6"/>
    <w:rsid w:val="000115E3"/>
    <w:rsid w:val="00011C2E"/>
    <w:rsid w:val="00011DEB"/>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843"/>
    <w:rsid w:val="00047C87"/>
    <w:rsid w:val="00050D7E"/>
    <w:rsid w:val="00050E40"/>
    <w:rsid w:val="000519FA"/>
    <w:rsid w:val="00051AAA"/>
    <w:rsid w:val="00053205"/>
    <w:rsid w:val="00054A3D"/>
    <w:rsid w:val="0005503E"/>
    <w:rsid w:val="000555CA"/>
    <w:rsid w:val="000562E5"/>
    <w:rsid w:val="00057B73"/>
    <w:rsid w:val="00060CBC"/>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6A1"/>
    <w:rsid w:val="000C36C3"/>
    <w:rsid w:val="000C39C5"/>
    <w:rsid w:val="000C3EF2"/>
    <w:rsid w:val="000C51EC"/>
    <w:rsid w:val="000C56EB"/>
    <w:rsid w:val="000D1063"/>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60AE"/>
    <w:rsid w:val="00117E30"/>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6AC"/>
    <w:rsid w:val="00215F40"/>
    <w:rsid w:val="00216199"/>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5E2C"/>
    <w:rsid w:val="00237381"/>
    <w:rsid w:val="0023747F"/>
    <w:rsid w:val="002376D6"/>
    <w:rsid w:val="00237C64"/>
    <w:rsid w:val="00237CAC"/>
    <w:rsid w:val="00240468"/>
    <w:rsid w:val="00240FC0"/>
    <w:rsid w:val="00241BD7"/>
    <w:rsid w:val="002421D5"/>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FC7"/>
    <w:rsid w:val="00267353"/>
    <w:rsid w:val="002673E5"/>
    <w:rsid w:val="00267DBD"/>
    <w:rsid w:val="00267F3E"/>
    <w:rsid w:val="00270A38"/>
    <w:rsid w:val="00271105"/>
    <w:rsid w:val="002725D1"/>
    <w:rsid w:val="00272DCB"/>
    <w:rsid w:val="002733AE"/>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EDA"/>
    <w:rsid w:val="002B5F3D"/>
    <w:rsid w:val="002B68CA"/>
    <w:rsid w:val="002B6AB3"/>
    <w:rsid w:val="002B6ABC"/>
    <w:rsid w:val="002B777A"/>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E41"/>
    <w:rsid w:val="00304D3E"/>
    <w:rsid w:val="00304F9A"/>
    <w:rsid w:val="00305490"/>
    <w:rsid w:val="003058CD"/>
    <w:rsid w:val="00305AA1"/>
    <w:rsid w:val="00310560"/>
    <w:rsid w:val="00310B1F"/>
    <w:rsid w:val="00310D5A"/>
    <w:rsid w:val="00312347"/>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49A9"/>
    <w:rsid w:val="00337007"/>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531B"/>
    <w:rsid w:val="003758B7"/>
    <w:rsid w:val="00375CBD"/>
    <w:rsid w:val="0037642E"/>
    <w:rsid w:val="0037647F"/>
    <w:rsid w:val="00376CC9"/>
    <w:rsid w:val="003770E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11C"/>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2537"/>
    <w:rsid w:val="0044265D"/>
    <w:rsid w:val="004429E4"/>
    <w:rsid w:val="00443FAA"/>
    <w:rsid w:val="0044422F"/>
    <w:rsid w:val="004450BE"/>
    <w:rsid w:val="00446525"/>
    <w:rsid w:val="00446805"/>
    <w:rsid w:val="00446AF2"/>
    <w:rsid w:val="00446B14"/>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E94"/>
    <w:rsid w:val="005037DA"/>
    <w:rsid w:val="005048AC"/>
    <w:rsid w:val="00504996"/>
    <w:rsid w:val="00505D55"/>
    <w:rsid w:val="005061A3"/>
    <w:rsid w:val="00506CBD"/>
    <w:rsid w:val="00506D7B"/>
    <w:rsid w:val="00506DCF"/>
    <w:rsid w:val="00506EA9"/>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6375"/>
    <w:rsid w:val="005264B2"/>
    <w:rsid w:val="00527384"/>
    <w:rsid w:val="00531097"/>
    <w:rsid w:val="005329F3"/>
    <w:rsid w:val="005331A5"/>
    <w:rsid w:val="0053511E"/>
    <w:rsid w:val="00535300"/>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A53"/>
    <w:rsid w:val="00557B9A"/>
    <w:rsid w:val="005600E5"/>
    <w:rsid w:val="00561CDA"/>
    <w:rsid w:val="00562207"/>
    <w:rsid w:val="005627F4"/>
    <w:rsid w:val="00562E5E"/>
    <w:rsid w:val="00564F97"/>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AA3"/>
    <w:rsid w:val="00632B65"/>
    <w:rsid w:val="00632DCE"/>
    <w:rsid w:val="00633140"/>
    <w:rsid w:val="00634673"/>
    <w:rsid w:val="00635514"/>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FCC"/>
    <w:rsid w:val="006A4C24"/>
    <w:rsid w:val="006A5587"/>
    <w:rsid w:val="006A64DE"/>
    <w:rsid w:val="006A7545"/>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1479"/>
    <w:rsid w:val="00701D45"/>
    <w:rsid w:val="00702EC5"/>
    <w:rsid w:val="007030F6"/>
    <w:rsid w:val="00703618"/>
    <w:rsid w:val="00704310"/>
    <w:rsid w:val="007047C8"/>
    <w:rsid w:val="00704ED3"/>
    <w:rsid w:val="00704F09"/>
    <w:rsid w:val="0070548E"/>
    <w:rsid w:val="007054FC"/>
    <w:rsid w:val="00705702"/>
    <w:rsid w:val="00705719"/>
    <w:rsid w:val="00705C0C"/>
    <w:rsid w:val="00706743"/>
    <w:rsid w:val="00707070"/>
    <w:rsid w:val="00707256"/>
    <w:rsid w:val="007074DD"/>
    <w:rsid w:val="00710267"/>
    <w:rsid w:val="00710D3B"/>
    <w:rsid w:val="00710D6A"/>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3195"/>
    <w:rsid w:val="007832D1"/>
    <w:rsid w:val="00783932"/>
    <w:rsid w:val="00783B6E"/>
    <w:rsid w:val="00783D34"/>
    <w:rsid w:val="007842E3"/>
    <w:rsid w:val="00784A8E"/>
    <w:rsid w:val="007866B2"/>
    <w:rsid w:val="007868B5"/>
    <w:rsid w:val="00786AB6"/>
    <w:rsid w:val="00786B3A"/>
    <w:rsid w:val="00786BC3"/>
    <w:rsid w:val="00787659"/>
    <w:rsid w:val="0078771A"/>
    <w:rsid w:val="00787936"/>
    <w:rsid w:val="00790A36"/>
    <w:rsid w:val="007910B1"/>
    <w:rsid w:val="007933EC"/>
    <w:rsid w:val="0079778F"/>
    <w:rsid w:val="007A0808"/>
    <w:rsid w:val="007A0912"/>
    <w:rsid w:val="007A266B"/>
    <w:rsid w:val="007A2BB9"/>
    <w:rsid w:val="007A2C84"/>
    <w:rsid w:val="007A2E02"/>
    <w:rsid w:val="007A3500"/>
    <w:rsid w:val="007A3831"/>
    <w:rsid w:val="007A3BB5"/>
    <w:rsid w:val="007A3BDF"/>
    <w:rsid w:val="007A3D40"/>
    <w:rsid w:val="007A4200"/>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F3B"/>
    <w:rsid w:val="007B60D4"/>
    <w:rsid w:val="007B6F7B"/>
    <w:rsid w:val="007B7861"/>
    <w:rsid w:val="007C0B89"/>
    <w:rsid w:val="007C0C5C"/>
    <w:rsid w:val="007C0CC2"/>
    <w:rsid w:val="007C22C0"/>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AA5"/>
    <w:rsid w:val="00886FE1"/>
    <w:rsid w:val="00887445"/>
    <w:rsid w:val="0088744F"/>
    <w:rsid w:val="00887BAE"/>
    <w:rsid w:val="00890089"/>
    <w:rsid w:val="00891726"/>
    <w:rsid w:val="00891EDE"/>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AD"/>
    <w:rsid w:val="008A26E6"/>
    <w:rsid w:val="008A2939"/>
    <w:rsid w:val="008A2C16"/>
    <w:rsid w:val="008A3806"/>
    <w:rsid w:val="008A404B"/>
    <w:rsid w:val="008A4B24"/>
    <w:rsid w:val="008A54EA"/>
    <w:rsid w:val="008A5B2B"/>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76E"/>
    <w:rsid w:val="008C2898"/>
    <w:rsid w:val="008C2AB5"/>
    <w:rsid w:val="008C316C"/>
    <w:rsid w:val="008C4767"/>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8B0"/>
    <w:rsid w:val="008F3423"/>
    <w:rsid w:val="008F52E1"/>
    <w:rsid w:val="008F532D"/>
    <w:rsid w:val="008F63BB"/>
    <w:rsid w:val="008F7037"/>
    <w:rsid w:val="00900EBC"/>
    <w:rsid w:val="00902132"/>
    <w:rsid w:val="009022EE"/>
    <w:rsid w:val="0090290A"/>
    <w:rsid w:val="00903BD6"/>
    <w:rsid w:val="00903DCE"/>
    <w:rsid w:val="009044CE"/>
    <w:rsid w:val="009049CE"/>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D3A"/>
    <w:rsid w:val="0094354C"/>
    <w:rsid w:val="0094373D"/>
    <w:rsid w:val="009443A2"/>
    <w:rsid w:val="009444C9"/>
    <w:rsid w:val="00944902"/>
    <w:rsid w:val="0094514B"/>
    <w:rsid w:val="009462CB"/>
    <w:rsid w:val="00946351"/>
    <w:rsid w:val="009468D5"/>
    <w:rsid w:val="0094768E"/>
    <w:rsid w:val="00950A3A"/>
    <w:rsid w:val="00950AFE"/>
    <w:rsid w:val="0095295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CB0"/>
    <w:rsid w:val="009B45E7"/>
    <w:rsid w:val="009B4CCA"/>
    <w:rsid w:val="009B4D07"/>
    <w:rsid w:val="009B4DC8"/>
    <w:rsid w:val="009B4FE4"/>
    <w:rsid w:val="009B5337"/>
    <w:rsid w:val="009B57E6"/>
    <w:rsid w:val="009B58F2"/>
    <w:rsid w:val="009B5BE8"/>
    <w:rsid w:val="009B5F46"/>
    <w:rsid w:val="009B6518"/>
    <w:rsid w:val="009B6A86"/>
    <w:rsid w:val="009B6E72"/>
    <w:rsid w:val="009B76F7"/>
    <w:rsid w:val="009B7B2B"/>
    <w:rsid w:val="009C0EC8"/>
    <w:rsid w:val="009C0F2D"/>
    <w:rsid w:val="009C1154"/>
    <w:rsid w:val="009C173A"/>
    <w:rsid w:val="009C197B"/>
    <w:rsid w:val="009C3732"/>
    <w:rsid w:val="009C3A64"/>
    <w:rsid w:val="009C4A97"/>
    <w:rsid w:val="009C5595"/>
    <w:rsid w:val="009C6008"/>
    <w:rsid w:val="009C602E"/>
    <w:rsid w:val="009C73E2"/>
    <w:rsid w:val="009C750A"/>
    <w:rsid w:val="009C7A96"/>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E5B"/>
    <w:rsid w:val="00A47504"/>
    <w:rsid w:val="00A47C2F"/>
    <w:rsid w:val="00A47E8E"/>
    <w:rsid w:val="00A504ED"/>
    <w:rsid w:val="00A507CB"/>
    <w:rsid w:val="00A50D79"/>
    <w:rsid w:val="00A51111"/>
    <w:rsid w:val="00A51243"/>
    <w:rsid w:val="00A51B7E"/>
    <w:rsid w:val="00A5343E"/>
    <w:rsid w:val="00A55192"/>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6B0"/>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C65"/>
    <w:rsid w:val="00D27214"/>
    <w:rsid w:val="00D30CDC"/>
    <w:rsid w:val="00D30FE8"/>
    <w:rsid w:val="00D311CC"/>
    <w:rsid w:val="00D31C27"/>
    <w:rsid w:val="00D32083"/>
    <w:rsid w:val="00D325F3"/>
    <w:rsid w:val="00D3285F"/>
    <w:rsid w:val="00D33956"/>
    <w:rsid w:val="00D3399D"/>
    <w:rsid w:val="00D339EC"/>
    <w:rsid w:val="00D34CA0"/>
    <w:rsid w:val="00D34DC8"/>
    <w:rsid w:val="00D351A2"/>
    <w:rsid w:val="00D351A4"/>
    <w:rsid w:val="00D35326"/>
    <w:rsid w:val="00D3541B"/>
    <w:rsid w:val="00D35AA8"/>
    <w:rsid w:val="00D37ED2"/>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6454"/>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2F97"/>
    <w:rsid w:val="00E239B6"/>
    <w:rsid w:val="00E23DBC"/>
    <w:rsid w:val="00E23F4A"/>
    <w:rsid w:val="00E24624"/>
    <w:rsid w:val="00E24D2A"/>
    <w:rsid w:val="00E24EEB"/>
    <w:rsid w:val="00E26074"/>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2762"/>
    <w:rsid w:val="00E42CDB"/>
    <w:rsid w:val="00E42FE9"/>
    <w:rsid w:val="00E43FD9"/>
    <w:rsid w:val="00E444FA"/>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101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C0599"/>
    <w:rsid w:val="00EC105D"/>
    <w:rsid w:val="00EC1D19"/>
    <w:rsid w:val="00EC2A5C"/>
    <w:rsid w:val="00EC356C"/>
    <w:rsid w:val="00EC35AD"/>
    <w:rsid w:val="00EC3864"/>
    <w:rsid w:val="00EC4771"/>
    <w:rsid w:val="00EC4BA1"/>
    <w:rsid w:val="00EC5163"/>
    <w:rsid w:val="00EC530B"/>
    <w:rsid w:val="00EC53B5"/>
    <w:rsid w:val="00EC5845"/>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1E"/>
    <w:rsid w:val="00F27229"/>
    <w:rsid w:val="00F30064"/>
    <w:rsid w:val="00F30A25"/>
    <w:rsid w:val="00F31FFE"/>
    <w:rsid w:val="00F33921"/>
    <w:rsid w:val="00F33BDB"/>
    <w:rsid w:val="00F34299"/>
    <w:rsid w:val="00F34E93"/>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BC"/>
    <w:rsid w:val="00FC2B1C"/>
    <w:rsid w:val="00FC3168"/>
    <w:rsid w:val="00FC336A"/>
    <w:rsid w:val="00FC433C"/>
    <w:rsid w:val="00FC49E6"/>
    <w:rsid w:val="00FC4DC3"/>
    <w:rsid w:val="00FC5B50"/>
    <w:rsid w:val="00FC6C94"/>
    <w:rsid w:val="00FC7383"/>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nsgprw1.celca.caisse-epargne.fr/app/bci/INF/DSB_INF_17_05.pdf" TargetMode="External"/><Relationship Id="rId18" Type="http://schemas.openxmlformats.org/officeDocument/2006/relationships/hyperlink" Target="http://commerciaux.celca.caisse-epargne.fr/download/1212/brief-hebdo/6759/brief-hebdo-tableau-recapitulatif-2018.docx" TargetMode="External"/><Relationship Id="rId26" Type="http://schemas.openxmlformats.org/officeDocument/2006/relationships/hyperlink" Target="http://service-celca-moss.sigce.caisse-epargne.fr/sites/lca1/SiteDirectory/Obj_Quali/BDD/Forms/AllItems.aspx?RootFolder=%2Fsites%2Flca1%2FSiteDirectory%2FObj%5FQuali%2FBDD%2FR%C3%A9sultats%2FQHD%2FR%C3%A9sultats%202017%2F12%2DD%C3%A9cembre%202017&amp;FolderCTID=0x012000549A1825CC86B445AB8DB45A0172167C&amp;View=%7B252A23C3%2D24A7%2D455E%2DA0DF%2D5765C7E93558%7D" TargetMode="External"/><Relationship Id="rId3" Type="http://schemas.openxmlformats.org/officeDocument/2006/relationships/styles" Target="styles.xml"/><Relationship Id="rId21" Type="http://schemas.openxmlformats.org/officeDocument/2006/relationships/hyperlink" Target="http://commerciaux.celca.caisse-epargne.fr/download/1176/documents-hors-arbo-2/6777/article-de-presse-loi-bourquin.jpg" TargetMode="External"/><Relationship Id="rId34" Type="http://schemas.openxmlformats.org/officeDocument/2006/relationships/hyperlink" Target="http://commerciaux.celca.caisse-epargne.fr/download/431/resultats-fdc-pros/6782/20171231_resultats-fdc-pros.xlsx" TargetMode="External"/><Relationship Id="rId7" Type="http://schemas.openxmlformats.org/officeDocument/2006/relationships/footnotes" Target="footnotes.xml"/><Relationship Id="rId12" Type="http://schemas.openxmlformats.org/officeDocument/2006/relationships/hyperlink" Target="http://commerciaux.celca.caisse-epargne.fr/download/1078/izivente-izicarte-oav/3541/fichier-izicartes-en-instance-3.xlsx" TargetMode="External"/><Relationship Id="rId17" Type="http://schemas.openxmlformats.org/officeDocument/2006/relationships/image" Target="media/image1.jpeg"/><Relationship Id="rId25" Type="http://schemas.openxmlformats.org/officeDocument/2006/relationships/hyperlink" Target="http://wnsgprw1.celca.caisse-epargne.fr/app/bci/INF/DMA_INF_N114_17.pdf" TargetMode="External"/><Relationship Id="rId33" Type="http://schemas.openxmlformats.org/officeDocument/2006/relationships/hyperlink" Target="http://commerciaux.celca.caisse-epargne.fr/global-bdd/pilotage/la-production-commerciale/le-suivi-des-frais-de-dossiers-credits-conso/"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commerciaux.celca.caisse-epargne.fr/download/1157/fichiers-a-traiter/4147/mb_dossiers-domilis-a-saisir-mode-operatoire.docx" TargetMode="External"/><Relationship Id="rId20" Type="http://schemas.openxmlformats.org/officeDocument/2006/relationships/image" Target="media/image3.png"/><Relationship Id="rId29" Type="http://schemas.openxmlformats.org/officeDocument/2006/relationships/hyperlink" Target="http://commerciaux.celca.caisse-epargne.fr/download/411/modes-operatoires/6698/180122-evolutions-dsc-defi-revision-annuelle.ppt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commerciaux.celca.caisse-epargne.fr/particuliers/iard-et-prevoyance-3/assurances-iard/directive-sur-la-distribution-dassurances/" TargetMode="External"/><Relationship Id="rId32" Type="http://schemas.openxmlformats.org/officeDocument/2006/relationships/hyperlink" Target="http://commerciaux.celca.caisse-epargne.fr/download/1176/documents-hors-arbo-2/6743/suivi-commercialisation-iris-2.xlsx"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commerciaux.celca.caisse-epargne.fr/download/1157/fichiers-a-traiter/4960/mb_dossiers-domilis-a-saisir.xls" TargetMode="External"/><Relationship Id="rId23" Type="http://schemas.openxmlformats.org/officeDocument/2006/relationships/hyperlink" Target="http://commerciaux.celca.caisse-epargne.fr/particuliers/epargne-2/comptes-dattente-avec-solde-2-000e/" TargetMode="External"/><Relationship Id="rId28" Type="http://schemas.openxmlformats.org/officeDocument/2006/relationships/hyperlink" Target="http://commerciaux.celca.caisse-epargne.fr/download/1176/documents-hors-arbo-2/6818/bsm-part-ce-2017.pptx" TargetMode="External"/><Relationship Id="rId36" Type="http://schemas.openxmlformats.org/officeDocument/2006/relationships/footer" Target="footer1.xml"/><Relationship Id="rId10" Type="http://schemas.openxmlformats.org/officeDocument/2006/relationships/hyperlink" Target="http://commerciaux.celca.caisse-epargne.fr/particuliers/iard-et-prevoyance-3/lutte-anti-resiliation/lutte-anti-resiliation/" TargetMode="External"/><Relationship Id="rId19" Type="http://schemas.openxmlformats.org/officeDocument/2006/relationships/image" Target="media/image2.png"/><Relationship Id="rId31" Type="http://schemas.openxmlformats.org/officeDocument/2006/relationships/hyperlink" Target="http://commerciaux.celca.caisse-epargne.fr/download/1176/documents-hors-arbo-2/6742/2-suivi-commercialisation-helios.xlsx" TargetMode="External"/><Relationship Id="rId4" Type="http://schemas.microsoft.com/office/2007/relationships/stylesWithEffects" Target="stylesWithEffects.xml"/><Relationship Id="rId9" Type="http://schemas.openxmlformats.org/officeDocument/2006/relationships/hyperlink" Target="http://commerciaux.celca.caisse-epargne.fr/particuliers/epargne-2/epargne-logement/epargne-logement/" TargetMode="External"/><Relationship Id="rId14" Type="http://schemas.openxmlformats.org/officeDocument/2006/relationships/hyperlink" Target="http://commerciaux.celca.caisse-epargne.fr/particuliers/epargne-2/livrets/livret-a-lep-ldd-livret-jeune/livret-a-lep-ldd-livret-jeune/" TargetMode="External"/><Relationship Id="rId22" Type="http://schemas.openxmlformats.org/officeDocument/2006/relationships/hyperlink" Target="http://commerciaux.celca.caisse-epargne.fr/download/1176/documents-hors-arbo-2/6807/2018_01_11_hdj-dispositif-parade.pptx" TargetMode="External"/><Relationship Id="rId27" Type="http://schemas.openxmlformats.org/officeDocument/2006/relationships/hyperlink" Target="http://service-celca-moss.sigce.caisse-epargne.fr/sites/lca1/SiteDirectory/Obj_Quali/default.aspx" TargetMode="External"/><Relationship Id="rId30" Type="http://schemas.openxmlformats.org/officeDocument/2006/relationships/hyperlink" Target="http://commerciaux.celca.caisse-epargne.fr/download/439/offre-monetique/6813/catalogue-tpe-acceptation-2018.pdf" TargetMode="External"/><Relationship Id="rId35" Type="http://schemas.openxmlformats.org/officeDocument/2006/relationships/hyperlink" Target="http://commerciaux.celca.caisse-epargne.fr/download/1176/documents-hors-arbo-2/5429/delai-de-traitement-bdd-dircred-2017.xls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75F401-F498-47A1-B425-D5A4E9616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370</TotalTime>
  <Pages>3</Pages>
  <Words>2104</Words>
  <Characters>11574</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13651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20</cp:revision>
  <dcterms:created xsi:type="dcterms:W3CDTF">2018-01-22T16:25:00Z</dcterms:created>
  <dcterms:modified xsi:type="dcterms:W3CDTF">2018-02-01T13:54:00Z</dcterms:modified>
</cp:coreProperties>
</file>