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952DD1">
              <w:rPr>
                <w:rFonts w:ascii="Times New Roman" w:hAnsi="Times New Roman" w:cs="Times New Roman"/>
                <w:b/>
                <w:sz w:val="32"/>
                <w:szCs w:val="40"/>
              </w:rPr>
              <w:t>6</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5D7D64">
        <w:trPr>
          <w:trHeight w:val="290"/>
        </w:trPr>
        <w:tc>
          <w:tcPr>
            <w:tcW w:w="15735" w:type="dxa"/>
            <w:gridSpan w:val="3"/>
            <w:tcBorders>
              <w:bottom w:val="single" w:sz="4" w:space="0" w:color="auto"/>
            </w:tcBorders>
            <w:shd w:val="clear" w:color="auto" w:fill="548DD4" w:themeFill="text2" w:themeFillTint="99"/>
          </w:tcPr>
          <w:p w:rsidR="0051254F" w:rsidRPr="00E81F6E" w:rsidRDefault="005D7D64" w:rsidP="00ED547C">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8F2114" w:rsidRPr="00E81F6E" w:rsidTr="00AF3BE3">
        <w:trPr>
          <w:trHeight w:val="169"/>
        </w:trPr>
        <w:tc>
          <w:tcPr>
            <w:tcW w:w="1560" w:type="dxa"/>
            <w:tcBorders>
              <w:bottom w:val="single" w:sz="4" w:space="0" w:color="auto"/>
            </w:tcBorders>
            <w:shd w:val="clear" w:color="auto" w:fill="FFFFFF" w:themeFill="background1"/>
          </w:tcPr>
          <w:p w:rsidR="008F2114" w:rsidRPr="008F2114" w:rsidRDefault="008F2114" w:rsidP="00B60E23">
            <w:pPr>
              <w:rPr>
                <w:rFonts w:ascii="Times New Roman" w:hAnsi="Times New Roman" w:cs="Times New Roman"/>
                <w:sz w:val="20"/>
                <w:szCs w:val="20"/>
              </w:rPr>
            </w:pPr>
            <w:r w:rsidRPr="008F2114">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F2114" w:rsidRPr="008F2114" w:rsidRDefault="008F2114">
            <w:pPr>
              <w:rPr>
                <w:rFonts w:ascii="Times New Roman" w:hAnsi="Times New Roman" w:cs="Times New Roman"/>
                <w:b/>
                <w:bCs/>
                <w:color w:val="000000"/>
                <w:sz w:val="20"/>
                <w:szCs w:val="20"/>
              </w:rPr>
            </w:pPr>
            <w:r w:rsidRPr="008F2114">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8F2114" w:rsidRPr="008F2114" w:rsidRDefault="00A91250" w:rsidP="007B511B">
            <w:pPr>
              <w:numPr>
                <w:ilvl w:val="0"/>
                <w:numId w:val="14"/>
              </w:numPr>
              <w:ind w:left="176" w:hanging="176"/>
              <w:contextualSpacing/>
              <w:jc w:val="both"/>
              <w:rPr>
                <w:rFonts w:ascii="Times New Roman" w:hAnsi="Times New Roman" w:cs="Times New Roman"/>
                <w:b/>
                <w:bCs/>
                <w:color w:val="000000"/>
                <w:sz w:val="20"/>
                <w:szCs w:val="20"/>
              </w:rPr>
            </w:pPr>
            <w:hyperlink r:id="rId9" w:history="1">
              <w:r w:rsidR="008F2114" w:rsidRPr="008F2114">
                <w:rPr>
                  <w:rStyle w:val="Lienhypertexte"/>
                  <w:rFonts w:ascii="Times New Roman" w:hAnsi="Times New Roman" w:cs="Times New Roman"/>
                  <w:color w:val="000000"/>
                  <w:sz w:val="20"/>
                  <w:szCs w:val="20"/>
                  <w:lang w:eastAsia="fr-FR"/>
                </w:rPr>
                <w:t>CLIQUEZ ICI</w:t>
              </w:r>
            </w:hyperlink>
            <w:r w:rsidR="008F2114" w:rsidRPr="008F2114">
              <w:rPr>
                <w:rFonts w:ascii="Times New Roman" w:hAnsi="Times New Roman" w:cs="Times New Roman"/>
                <w:color w:val="000000"/>
                <w:sz w:val="20"/>
                <w:szCs w:val="20"/>
                <w:lang w:eastAsia="fr-FR"/>
              </w:rPr>
              <w:t xml:space="preserve"> pour accéder à la liste des PEL potentiellement en non-respect arrêté au 04 février 2018 qui seront clôturés à J+1 de la date anniversaire (volumétrie 566 clients)</w:t>
            </w:r>
            <w:r w:rsidR="008F2114">
              <w:rPr>
                <w:rFonts w:ascii="Times New Roman" w:hAnsi="Times New Roman" w:cs="Times New Roman"/>
                <w:color w:val="000000"/>
                <w:sz w:val="20"/>
                <w:szCs w:val="20"/>
                <w:lang w:eastAsia="fr-FR"/>
              </w:rPr>
              <w:t>.</w:t>
            </w:r>
          </w:p>
        </w:tc>
      </w:tr>
      <w:tr w:rsidR="008F2114" w:rsidRPr="00E81F6E" w:rsidTr="00AF3BE3">
        <w:trPr>
          <w:trHeight w:val="334"/>
        </w:trPr>
        <w:tc>
          <w:tcPr>
            <w:tcW w:w="1560" w:type="dxa"/>
            <w:tcBorders>
              <w:bottom w:val="single" w:sz="4" w:space="0" w:color="auto"/>
            </w:tcBorders>
            <w:shd w:val="clear" w:color="auto" w:fill="FFFFFF" w:themeFill="background1"/>
          </w:tcPr>
          <w:p w:rsidR="008F2114" w:rsidRPr="008F2114" w:rsidRDefault="008F2114" w:rsidP="00B60E23">
            <w:pPr>
              <w:rPr>
                <w:rFonts w:ascii="Times New Roman" w:hAnsi="Times New Roman" w:cs="Times New Roman"/>
                <w:sz w:val="20"/>
                <w:szCs w:val="20"/>
              </w:rPr>
            </w:pPr>
            <w:r w:rsidRPr="008F2114">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F2114" w:rsidRPr="008F2114" w:rsidRDefault="008F2114">
            <w:pPr>
              <w:rPr>
                <w:rFonts w:ascii="Times New Roman" w:hAnsi="Times New Roman" w:cs="Times New Roman"/>
                <w:b/>
                <w:bCs/>
                <w:color w:val="000000"/>
                <w:sz w:val="20"/>
                <w:szCs w:val="20"/>
              </w:rPr>
            </w:pPr>
            <w:r w:rsidRPr="008F2114">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8F2114" w:rsidRPr="008F2114" w:rsidRDefault="00A91250" w:rsidP="007B511B">
            <w:pPr>
              <w:numPr>
                <w:ilvl w:val="0"/>
                <w:numId w:val="14"/>
              </w:numPr>
              <w:ind w:left="176" w:hanging="176"/>
              <w:contextualSpacing/>
              <w:jc w:val="both"/>
              <w:rPr>
                <w:rFonts w:ascii="Times New Roman" w:hAnsi="Times New Roman" w:cs="Times New Roman"/>
                <w:color w:val="000000"/>
                <w:sz w:val="20"/>
                <w:szCs w:val="20"/>
                <w:lang w:eastAsia="fr-FR"/>
              </w:rPr>
            </w:pPr>
            <w:hyperlink r:id="rId10" w:history="1">
              <w:r w:rsidR="008F2114" w:rsidRPr="008F2114">
                <w:rPr>
                  <w:rStyle w:val="Lienhypertexte"/>
                  <w:rFonts w:ascii="Times New Roman" w:hAnsi="Times New Roman" w:cs="Times New Roman"/>
                  <w:color w:val="000000"/>
                  <w:sz w:val="20"/>
                  <w:szCs w:val="20"/>
                  <w:lang w:eastAsia="fr-FR"/>
                </w:rPr>
                <w:t>CLIQUEZ ICI</w:t>
              </w:r>
            </w:hyperlink>
            <w:r w:rsidR="008F2114" w:rsidRPr="008F2114">
              <w:rPr>
                <w:rFonts w:ascii="Times New Roman" w:hAnsi="Times New Roman" w:cs="Times New Roman"/>
                <w:color w:val="000000"/>
                <w:sz w:val="20"/>
                <w:szCs w:val="20"/>
                <w:lang w:eastAsia="fr-FR"/>
              </w:rPr>
              <w:t xml:space="preserve"> pour accéder au fichier Lutte anti-résiliation IARD arrêté au 22 janvier 2018 (volumétrie 291 clients). </w:t>
            </w:r>
          </w:p>
        </w:tc>
      </w:tr>
      <w:tr w:rsidR="008F2114" w:rsidRPr="00E81F6E" w:rsidTr="00AF3BE3">
        <w:trPr>
          <w:trHeight w:val="365"/>
        </w:trPr>
        <w:tc>
          <w:tcPr>
            <w:tcW w:w="1560" w:type="dxa"/>
            <w:tcBorders>
              <w:bottom w:val="single" w:sz="4" w:space="0" w:color="auto"/>
            </w:tcBorders>
            <w:shd w:val="clear" w:color="auto" w:fill="FFFFFF" w:themeFill="background1"/>
          </w:tcPr>
          <w:p w:rsidR="008F2114" w:rsidRPr="008F2114" w:rsidRDefault="008F2114" w:rsidP="00B60E23">
            <w:pPr>
              <w:rPr>
                <w:rFonts w:ascii="Times New Roman" w:hAnsi="Times New Roman" w:cs="Times New Roman"/>
                <w:b/>
                <w:bCs/>
                <w:sz w:val="20"/>
                <w:szCs w:val="20"/>
              </w:rPr>
            </w:pPr>
            <w:r w:rsidRPr="008F2114">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8F2114" w:rsidRPr="008F2114" w:rsidRDefault="008F2114">
            <w:pPr>
              <w:rPr>
                <w:rFonts w:ascii="Times New Roman" w:hAnsi="Times New Roman" w:cs="Times New Roman"/>
                <w:b/>
                <w:bCs/>
                <w:color w:val="000000"/>
                <w:sz w:val="20"/>
                <w:szCs w:val="20"/>
              </w:rPr>
            </w:pPr>
            <w:r w:rsidRPr="008F2114">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8F2114" w:rsidRPr="008F2114" w:rsidRDefault="00A91250" w:rsidP="007B511B">
            <w:pPr>
              <w:numPr>
                <w:ilvl w:val="0"/>
                <w:numId w:val="14"/>
              </w:numPr>
              <w:ind w:left="176" w:hanging="176"/>
              <w:contextualSpacing/>
              <w:jc w:val="both"/>
              <w:rPr>
                <w:rFonts w:ascii="Times New Roman" w:hAnsi="Times New Roman" w:cs="Times New Roman"/>
                <w:color w:val="000000"/>
                <w:sz w:val="20"/>
                <w:szCs w:val="20"/>
                <w:lang w:eastAsia="fr-FR"/>
              </w:rPr>
            </w:pPr>
            <w:hyperlink r:id="rId11" w:history="1">
              <w:r w:rsidR="008F2114" w:rsidRPr="008F2114">
                <w:rPr>
                  <w:rStyle w:val="Lienhypertexte"/>
                  <w:rFonts w:ascii="Times New Roman" w:hAnsi="Times New Roman" w:cs="Times New Roman"/>
                  <w:color w:val="000000"/>
                  <w:sz w:val="20"/>
                  <w:szCs w:val="20"/>
                  <w:lang w:eastAsia="fr-FR"/>
                </w:rPr>
                <w:t>CLIQUEZ ICI</w:t>
              </w:r>
            </w:hyperlink>
            <w:r w:rsidR="008F2114" w:rsidRPr="008F2114">
              <w:rPr>
                <w:rFonts w:ascii="Times New Roman" w:hAnsi="Times New Roman" w:cs="Times New Roman"/>
                <w:color w:val="000000"/>
                <w:sz w:val="20"/>
                <w:szCs w:val="20"/>
                <w:lang w:eastAsia="fr-FR"/>
              </w:rPr>
              <w:t xml:space="preserve"> pour accéder au fichier de surveillance IARD de février et mars 2018 (volumétrie 189 clients).</w:t>
            </w:r>
          </w:p>
        </w:tc>
      </w:tr>
      <w:tr w:rsidR="00566BD8" w:rsidRPr="00E81F6E" w:rsidTr="00AF3BE3">
        <w:trPr>
          <w:trHeight w:val="169"/>
        </w:trPr>
        <w:tc>
          <w:tcPr>
            <w:tcW w:w="1560" w:type="dxa"/>
            <w:tcBorders>
              <w:bottom w:val="single" w:sz="4" w:space="0" w:color="auto"/>
            </w:tcBorders>
            <w:shd w:val="clear" w:color="auto" w:fill="FFFFFF" w:themeFill="background1"/>
          </w:tcPr>
          <w:p w:rsidR="00566BD8" w:rsidRPr="00566BD8" w:rsidRDefault="00566BD8" w:rsidP="00B60E23">
            <w:pPr>
              <w:rPr>
                <w:rFonts w:ascii="Times New Roman" w:hAnsi="Times New Roman" w:cs="Times New Roman"/>
                <w:b/>
                <w:bCs/>
                <w:sz w:val="20"/>
                <w:szCs w:val="20"/>
              </w:rPr>
            </w:pPr>
            <w:r w:rsidRPr="00566BD8">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566BD8" w:rsidRDefault="00566BD8">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566BD8" w:rsidRPr="008F2114" w:rsidRDefault="00A91250" w:rsidP="007B511B">
            <w:pPr>
              <w:numPr>
                <w:ilvl w:val="0"/>
                <w:numId w:val="12"/>
              </w:numPr>
              <w:spacing w:after="200" w:line="276" w:lineRule="auto"/>
              <w:ind w:left="176" w:hanging="176"/>
              <w:contextualSpacing/>
              <w:jc w:val="both"/>
              <w:rPr>
                <w:rFonts w:ascii="Times New Roman" w:hAnsi="Times New Roman" w:cs="Times New Roman"/>
                <w:sz w:val="20"/>
                <w:szCs w:val="20"/>
                <w:lang w:eastAsia="fr-FR"/>
              </w:rPr>
            </w:pPr>
            <w:hyperlink r:id="rId12" w:history="1">
              <w:r w:rsidR="00566BD8" w:rsidRPr="008F2114">
                <w:rPr>
                  <w:rStyle w:val="Lienhypertexte"/>
                  <w:rFonts w:ascii="Times New Roman" w:hAnsi="Times New Roman" w:cs="Times New Roman"/>
                  <w:sz w:val="20"/>
                  <w:szCs w:val="20"/>
                  <w:lang w:eastAsia="fr-FR"/>
                </w:rPr>
                <w:t>CLIQUEZ ICI</w:t>
              </w:r>
            </w:hyperlink>
            <w:r w:rsidR="00566BD8" w:rsidRPr="008F2114">
              <w:rPr>
                <w:rFonts w:ascii="Times New Roman" w:hAnsi="Times New Roman" w:cs="Times New Roman"/>
                <w:sz w:val="20"/>
                <w:szCs w:val="20"/>
                <w:lang w:eastAsia="fr-FR"/>
              </w:rPr>
              <w:t xml:space="preserve"> pour trouver le fichier des IZICARTES en attente de saisie d’une date de signature (volumétrie : 262 cartes en attente). Tant que les 2 étapes « mise en force » et « saisie la date de signature » ne seront pas faites, nos clients ne recevront pas leur carte.</w:t>
            </w:r>
          </w:p>
        </w:tc>
      </w:tr>
      <w:tr w:rsidR="008F2114" w:rsidRPr="00E81F6E" w:rsidTr="00AF3BE3">
        <w:trPr>
          <w:trHeight w:val="169"/>
        </w:trPr>
        <w:tc>
          <w:tcPr>
            <w:tcW w:w="1560" w:type="dxa"/>
            <w:tcBorders>
              <w:bottom w:val="single" w:sz="4" w:space="0" w:color="auto"/>
            </w:tcBorders>
            <w:shd w:val="clear" w:color="auto" w:fill="FFFFFF" w:themeFill="background1"/>
          </w:tcPr>
          <w:p w:rsidR="008F2114" w:rsidRPr="008F2114" w:rsidRDefault="008F2114" w:rsidP="008F2114">
            <w:pPr>
              <w:rPr>
                <w:rFonts w:ascii="Times New Roman" w:hAnsi="Times New Roman" w:cs="Times New Roman"/>
                <w:b/>
                <w:bCs/>
                <w:sz w:val="20"/>
                <w:szCs w:val="20"/>
              </w:rPr>
            </w:pPr>
            <w:r w:rsidRPr="008F2114">
              <w:rPr>
                <w:rFonts w:ascii="Times New Roman" w:hAnsi="Times New Roman" w:cs="Times New Roman"/>
                <w:b/>
                <w:bCs/>
                <w:sz w:val="20"/>
                <w:szCs w:val="20"/>
              </w:rPr>
              <w:t>Com. DSB</w:t>
            </w:r>
          </w:p>
        </w:tc>
        <w:tc>
          <w:tcPr>
            <w:tcW w:w="1843" w:type="dxa"/>
            <w:tcBorders>
              <w:bottom w:val="single" w:sz="4" w:space="0" w:color="auto"/>
            </w:tcBorders>
            <w:shd w:val="clear" w:color="auto" w:fill="FFFFFF" w:themeFill="background1"/>
          </w:tcPr>
          <w:p w:rsidR="008F2114" w:rsidRPr="008F2114" w:rsidRDefault="008F2114" w:rsidP="008F2114">
            <w:pPr>
              <w:rPr>
                <w:rFonts w:ascii="Times New Roman" w:hAnsi="Times New Roman" w:cs="Times New Roman"/>
                <w:b/>
                <w:bCs/>
                <w:color w:val="000000"/>
                <w:sz w:val="20"/>
                <w:szCs w:val="20"/>
              </w:rPr>
            </w:pPr>
            <w:r w:rsidRPr="008F2114">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8F2114" w:rsidRPr="008F2114" w:rsidRDefault="008F2114" w:rsidP="007B511B">
            <w:pPr>
              <w:numPr>
                <w:ilvl w:val="0"/>
                <w:numId w:val="14"/>
              </w:numPr>
              <w:ind w:left="176" w:hanging="176"/>
              <w:contextualSpacing/>
              <w:jc w:val="both"/>
              <w:rPr>
                <w:rFonts w:ascii="Times New Roman" w:hAnsi="Times New Roman" w:cs="Times New Roman"/>
                <w:color w:val="000000"/>
                <w:sz w:val="20"/>
                <w:szCs w:val="20"/>
              </w:rPr>
            </w:pPr>
            <w:r w:rsidRPr="008F2114">
              <w:rPr>
                <w:rFonts w:ascii="Times New Roman" w:hAnsi="Times New Roman" w:cs="Times New Roman"/>
                <w:color w:val="000000"/>
                <w:sz w:val="20"/>
                <w:szCs w:val="20"/>
                <w:lang w:eastAsia="fr-FR"/>
              </w:rPr>
              <w:t xml:space="preserve">Comme indiqué dans la note </w:t>
            </w:r>
            <w:hyperlink r:id="rId13" w:history="1">
              <w:r w:rsidRPr="008F2114">
                <w:rPr>
                  <w:rStyle w:val="Lienhypertexte"/>
                  <w:rFonts w:ascii="Times New Roman" w:hAnsi="Times New Roman" w:cs="Times New Roman"/>
                  <w:color w:val="000000"/>
                  <w:sz w:val="20"/>
                  <w:szCs w:val="20"/>
                  <w:lang w:eastAsia="fr-FR"/>
                </w:rPr>
                <w:t>DSB INF17/05</w:t>
              </w:r>
            </w:hyperlink>
            <w:r w:rsidRPr="008F2114">
              <w:rPr>
                <w:rFonts w:ascii="Times New Roman" w:hAnsi="Times New Roman" w:cs="Times New Roman"/>
                <w:color w:val="000000"/>
                <w:sz w:val="20"/>
                <w:szCs w:val="20"/>
                <w:lang w:eastAsia="fr-FR"/>
              </w:rPr>
              <w:t>, vous trouverez la liste des Livrets A ouverts en décembre</w:t>
            </w:r>
            <w:r w:rsidR="006A3ECC">
              <w:rPr>
                <w:rFonts w:ascii="Times New Roman" w:hAnsi="Times New Roman" w:cs="Times New Roman"/>
                <w:color w:val="000000"/>
                <w:sz w:val="20"/>
                <w:szCs w:val="20"/>
                <w:lang w:eastAsia="fr-FR"/>
              </w:rPr>
              <w:t xml:space="preserve"> </w:t>
            </w:r>
            <w:r w:rsidRPr="008F2114">
              <w:rPr>
                <w:rFonts w:ascii="Times New Roman" w:hAnsi="Times New Roman" w:cs="Times New Roman"/>
                <w:color w:val="000000"/>
                <w:sz w:val="20"/>
                <w:szCs w:val="20"/>
                <w:lang w:eastAsia="fr-FR"/>
              </w:rPr>
              <w:t xml:space="preserve">suite à clôture à la concurrence en </w:t>
            </w:r>
            <w:hyperlink r:id="rId14" w:history="1">
              <w:r w:rsidRPr="008F2114">
                <w:rPr>
                  <w:rStyle w:val="Lienhypertexte"/>
                  <w:rFonts w:ascii="Times New Roman" w:hAnsi="Times New Roman" w:cs="Times New Roman"/>
                  <w:color w:val="000000"/>
                  <w:sz w:val="20"/>
                  <w:szCs w:val="20"/>
                  <w:lang w:eastAsia="fr-FR"/>
                </w:rPr>
                <w:t>cliquant ici</w:t>
              </w:r>
            </w:hyperlink>
            <w:r w:rsidRPr="008F2114">
              <w:rPr>
                <w:rFonts w:ascii="Times New Roman" w:hAnsi="Times New Roman" w:cs="Times New Roman"/>
                <w:color w:val="000000"/>
                <w:sz w:val="20"/>
                <w:szCs w:val="20"/>
                <w:lang w:eastAsia="fr-FR"/>
              </w:rPr>
              <w:t xml:space="preserve"> (274 clients)</w:t>
            </w:r>
          </w:p>
        </w:tc>
      </w:tr>
      <w:tr w:rsidR="00A90ECC" w:rsidRPr="00E81F6E" w:rsidTr="00AF3BE3">
        <w:trPr>
          <w:trHeight w:val="515"/>
        </w:trPr>
        <w:tc>
          <w:tcPr>
            <w:tcW w:w="1560" w:type="dxa"/>
            <w:tcBorders>
              <w:bottom w:val="single" w:sz="4" w:space="0" w:color="auto"/>
            </w:tcBorders>
            <w:shd w:val="clear" w:color="auto" w:fill="FFFFFF" w:themeFill="background1"/>
          </w:tcPr>
          <w:p w:rsidR="00A90ECC" w:rsidRPr="00A90ECC" w:rsidRDefault="00A90ECC" w:rsidP="008103A8">
            <w:pPr>
              <w:rPr>
                <w:rFonts w:ascii="Times New Roman" w:hAnsi="Times New Roman" w:cs="Times New Roman"/>
                <w:b/>
                <w:bCs/>
                <w:sz w:val="20"/>
                <w:szCs w:val="20"/>
              </w:rPr>
            </w:pPr>
            <w:r w:rsidRPr="00A90EC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A90ECC" w:rsidRDefault="00A90ECC" w:rsidP="00A90ECC">
            <w:pPr>
              <w:rPr>
                <w:rFonts w:ascii="Times New Roman" w:hAnsi="Times New Roman" w:cs="Times New Roman"/>
                <w:b/>
                <w:bCs/>
                <w:sz w:val="20"/>
                <w:szCs w:val="20"/>
              </w:rPr>
            </w:pPr>
            <w:r>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A90ECC" w:rsidRDefault="00A91250" w:rsidP="007B511B">
            <w:pPr>
              <w:numPr>
                <w:ilvl w:val="0"/>
                <w:numId w:val="15"/>
              </w:numPr>
              <w:ind w:left="176" w:hanging="176"/>
              <w:contextualSpacing/>
              <w:jc w:val="both"/>
              <w:rPr>
                <w:rFonts w:ascii="Times New Roman" w:hAnsi="Times New Roman" w:cs="Times New Roman"/>
                <w:sz w:val="20"/>
                <w:szCs w:val="20"/>
                <w:lang w:eastAsia="fr-FR"/>
              </w:rPr>
            </w:pPr>
            <w:hyperlink r:id="rId15" w:history="1">
              <w:r w:rsidR="00A90ECC">
                <w:rPr>
                  <w:rStyle w:val="Lienhypertexte"/>
                  <w:rFonts w:ascii="Times New Roman" w:hAnsi="Times New Roman" w:cs="Times New Roman"/>
                  <w:sz w:val="20"/>
                  <w:szCs w:val="20"/>
                  <w:lang w:eastAsia="fr-FR"/>
                </w:rPr>
                <w:t>CLIQUEZ ICI</w:t>
              </w:r>
            </w:hyperlink>
            <w:r w:rsidR="00A90ECC">
              <w:rPr>
                <w:rStyle w:val="Lienhypertexte"/>
                <w:rFonts w:ascii="Times New Roman" w:hAnsi="Times New Roman" w:cs="Times New Roman"/>
                <w:sz w:val="20"/>
                <w:szCs w:val="20"/>
                <w:lang w:eastAsia="fr-FR"/>
              </w:rPr>
              <w:t xml:space="preserve"> </w:t>
            </w:r>
            <w:r w:rsidR="00A90ECC">
              <w:rPr>
                <w:rFonts w:ascii="Times New Roman" w:hAnsi="Times New Roman" w:cs="Times New Roman"/>
                <w:sz w:val="20"/>
                <w:szCs w:val="20"/>
                <w:lang w:eastAsia="fr-FR"/>
              </w:rPr>
              <w:t>pour trouver</w:t>
            </w:r>
            <w:r w:rsidR="006A3ECC">
              <w:rPr>
                <w:rFonts w:ascii="Times New Roman" w:hAnsi="Times New Roman" w:cs="Times New Roman"/>
                <w:sz w:val="20"/>
                <w:szCs w:val="20"/>
                <w:lang w:eastAsia="fr-FR"/>
              </w:rPr>
              <w:t xml:space="preserve"> </w:t>
            </w:r>
            <w:r w:rsidR="00A90ECC">
              <w:rPr>
                <w:rFonts w:ascii="Times New Roman" w:hAnsi="Times New Roman" w:cs="Times New Roman"/>
                <w:sz w:val="20"/>
                <w:szCs w:val="20"/>
                <w:lang w:eastAsia="fr-FR"/>
              </w:rPr>
              <w:t xml:space="preserve">la liste des dossiers Domilis à initier, qui sont pour l’heure en échec suite au rejet des mandats (volumétrie : 463 mandats au 5 février 2018) </w:t>
            </w:r>
            <w:hyperlink r:id="rId16" w:history="1">
              <w:r w:rsidR="00A90ECC">
                <w:rPr>
                  <w:rStyle w:val="Lienhypertexte"/>
                  <w:rFonts w:ascii="Times New Roman" w:hAnsi="Times New Roman" w:cs="Times New Roman"/>
                  <w:sz w:val="20"/>
                  <w:szCs w:val="20"/>
                  <w:lang w:eastAsia="fr-FR"/>
                </w:rPr>
                <w:t>CLIQUEZ ICI</w:t>
              </w:r>
            </w:hyperlink>
            <w:r w:rsidR="00A90ECC">
              <w:rPr>
                <w:rFonts w:ascii="Times New Roman" w:hAnsi="Times New Roman" w:cs="Times New Roman"/>
                <w:sz w:val="20"/>
                <w:szCs w:val="20"/>
                <w:lang w:eastAsia="fr-FR"/>
              </w:rPr>
              <w:t xml:space="preserve"> pour accéder au mode opératoire.</w:t>
            </w:r>
          </w:p>
        </w:tc>
      </w:tr>
      <w:tr w:rsidR="007C29A2" w:rsidRPr="00E81F6E" w:rsidTr="007C29A2">
        <w:trPr>
          <w:trHeight w:val="466"/>
        </w:trPr>
        <w:tc>
          <w:tcPr>
            <w:tcW w:w="1560" w:type="dxa"/>
            <w:tcBorders>
              <w:bottom w:val="single" w:sz="4" w:space="0" w:color="auto"/>
            </w:tcBorders>
            <w:shd w:val="clear" w:color="auto" w:fill="FFFFFF" w:themeFill="background1"/>
          </w:tcPr>
          <w:p w:rsidR="007C29A2" w:rsidRPr="007C29A2" w:rsidRDefault="007C29A2" w:rsidP="007C29A2">
            <w:pPr>
              <w:rPr>
                <w:rFonts w:ascii="Times New Roman" w:hAnsi="Times New Roman" w:cs="Times New Roman"/>
                <w:b/>
                <w:bCs/>
                <w:strike/>
                <w:sz w:val="20"/>
                <w:szCs w:val="20"/>
              </w:rPr>
            </w:pPr>
            <w:r w:rsidRPr="007C29A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C29A2" w:rsidRPr="007C29A2" w:rsidRDefault="007C29A2" w:rsidP="007C29A2">
            <w:pPr>
              <w:rPr>
                <w:rFonts w:ascii="Times New Roman" w:hAnsi="Times New Roman" w:cs="Times New Roman"/>
                <w:sz w:val="20"/>
                <w:szCs w:val="20"/>
              </w:rPr>
            </w:pPr>
            <w:r w:rsidRPr="007C29A2">
              <w:rPr>
                <w:rFonts w:ascii="Times New Roman" w:hAnsi="Times New Roman" w:cs="Times New Roman"/>
                <w:b/>
                <w:bCs/>
                <w:sz w:val="20"/>
                <w:szCs w:val="20"/>
              </w:rPr>
              <w:t>Liste des Crédits Projets</w:t>
            </w:r>
          </w:p>
        </w:tc>
        <w:tc>
          <w:tcPr>
            <w:tcW w:w="12332" w:type="dxa"/>
            <w:tcBorders>
              <w:bottom w:val="single" w:sz="4" w:space="0" w:color="auto"/>
            </w:tcBorders>
            <w:shd w:val="clear" w:color="auto" w:fill="FFFFFF" w:themeFill="background1"/>
          </w:tcPr>
          <w:p w:rsidR="007C29A2" w:rsidRPr="008F2114" w:rsidRDefault="00A91250" w:rsidP="007B511B">
            <w:pPr>
              <w:pStyle w:val="Paragraphedeliste"/>
              <w:numPr>
                <w:ilvl w:val="0"/>
                <w:numId w:val="13"/>
              </w:numPr>
              <w:ind w:left="176" w:hanging="176"/>
              <w:jc w:val="both"/>
              <w:rPr>
                <w:rFonts w:ascii="Times New Roman" w:hAnsi="Times New Roman" w:cs="Times New Roman"/>
                <w:color w:val="1F497D"/>
                <w:sz w:val="20"/>
                <w:szCs w:val="20"/>
              </w:rPr>
            </w:pPr>
            <w:hyperlink r:id="rId17" w:history="1">
              <w:r w:rsidR="007C29A2" w:rsidRPr="008F2114">
                <w:rPr>
                  <w:rStyle w:val="Lienhypertexte"/>
                  <w:rFonts w:ascii="Times New Roman" w:hAnsi="Times New Roman" w:cs="Times New Roman"/>
                  <w:sz w:val="20"/>
                  <w:szCs w:val="20"/>
                </w:rPr>
                <w:t>CLIQUEZ ICI</w:t>
              </w:r>
            </w:hyperlink>
            <w:r w:rsidR="007C29A2" w:rsidRPr="008F2114">
              <w:rPr>
                <w:rFonts w:ascii="Times New Roman" w:hAnsi="Times New Roman" w:cs="Times New Roman"/>
                <w:sz w:val="20"/>
                <w:szCs w:val="20"/>
              </w:rPr>
              <w:t xml:space="preserve"> pour consulter la liste des crédits projets mis en force entre août et janvier 2018. </w:t>
            </w:r>
          </w:p>
        </w:tc>
      </w:tr>
      <w:tr w:rsidR="00A62E1D" w:rsidRPr="00E81F6E" w:rsidTr="00681C34">
        <w:trPr>
          <w:trHeight w:val="20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266531" w:rsidRPr="00E81F6E" w:rsidTr="00AF3BE3">
        <w:trPr>
          <w:trHeight w:val="248"/>
        </w:trPr>
        <w:tc>
          <w:tcPr>
            <w:tcW w:w="1560" w:type="dxa"/>
            <w:tcBorders>
              <w:bottom w:val="single" w:sz="4" w:space="0" w:color="auto"/>
            </w:tcBorders>
          </w:tcPr>
          <w:p w:rsidR="00266531" w:rsidRPr="00952DD1" w:rsidRDefault="00266531" w:rsidP="00C9523A">
            <w:pPr>
              <w:rPr>
                <w:rFonts w:ascii="Times New Roman" w:hAnsi="Times New Roman" w:cs="Times New Roman"/>
                <w:b/>
                <w:bCs/>
                <w:strike/>
                <w:sz w:val="20"/>
                <w:szCs w:val="20"/>
              </w:rPr>
            </w:pPr>
            <w:r w:rsidRPr="00576DCF">
              <w:rPr>
                <w:rFonts w:ascii="Times New Roman" w:hAnsi="Times New Roman" w:cs="Times New Roman"/>
                <w:b/>
                <w:bCs/>
                <w:sz w:val="20"/>
                <w:szCs w:val="20"/>
              </w:rPr>
              <w:t>Com. DMA</w:t>
            </w:r>
            <w:r>
              <w:rPr>
                <w:rFonts w:ascii="Times New Roman" w:hAnsi="Times New Roman" w:cs="Times New Roman"/>
                <w:b/>
                <w:bCs/>
                <w:sz w:val="20"/>
                <w:szCs w:val="20"/>
              </w:rPr>
              <w:t>/BDR</w:t>
            </w:r>
          </w:p>
        </w:tc>
        <w:tc>
          <w:tcPr>
            <w:tcW w:w="1843" w:type="dxa"/>
            <w:tcBorders>
              <w:bottom w:val="single" w:sz="4" w:space="0" w:color="auto"/>
            </w:tcBorders>
          </w:tcPr>
          <w:p w:rsidR="00266531" w:rsidRPr="00266531" w:rsidRDefault="00266531" w:rsidP="00C9523A">
            <w:pPr>
              <w:rPr>
                <w:rFonts w:ascii="Times New Roman" w:hAnsi="Times New Roman" w:cs="Times New Roman"/>
                <w:b/>
                <w:bCs/>
                <w:sz w:val="20"/>
                <w:szCs w:val="20"/>
                <w:highlight w:val="red"/>
              </w:rPr>
            </w:pPr>
            <w:r w:rsidRPr="00266531">
              <w:rPr>
                <w:rFonts w:ascii="Times New Roman" w:hAnsi="Times New Roman" w:cs="Times New Roman"/>
                <w:b/>
                <w:bCs/>
                <w:sz w:val="20"/>
                <w:szCs w:val="20"/>
              </w:rPr>
              <w:t>Personnes protégées et intervention des GCPP</w:t>
            </w:r>
          </w:p>
        </w:tc>
        <w:tc>
          <w:tcPr>
            <w:tcW w:w="12332" w:type="dxa"/>
            <w:tcBorders>
              <w:bottom w:val="single" w:sz="4" w:space="0" w:color="auto"/>
            </w:tcBorders>
            <w:shd w:val="clear" w:color="auto" w:fill="auto"/>
          </w:tcPr>
          <w:p w:rsidR="00266531" w:rsidRPr="00266531" w:rsidRDefault="00B14463" w:rsidP="007B511B">
            <w:pPr>
              <w:numPr>
                <w:ilvl w:val="0"/>
                <w:numId w:val="10"/>
              </w:numPr>
              <w:ind w:left="176" w:hanging="176"/>
              <w:contextualSpacing/>
              <w:jc w:val="both"/>
              <w:rPr>
                <w:rFonts w:ascii="Times New Roman" w:hAnsi="Times New Roman" w:cs="Times New Roman"/>
                <w:sz w:val="20"/>
                <w:szCs w:val="20"/>
              </w:rPr>
            </w:pPr>
            <w:r w:rsidRPr="00B14463">
              <w:rPr>
                <w:rFonts w:ascii="Times New Roman" w:hAnsi="Times New Roman" w:cs="Times New Roman"/>
                <w:b/>
                <w:sz w:val="20"/>
                <w:szCs w:val="20"/>
              </w:rPr>
              <w:t>Personnes protégées : association systématique des GCPP pour toute opération d’investissement ou de désinvestissement</w:t>
            </w:r>
            <w:r w:rsidR="006F3C08">
              <w:rPr>
                <w:rFonts w:ascii="Times New Roman" w:hAnsi="Times New Roman" w:cs="Times New Roman"/>
                <w:b/>
                <w:sz w:val="20"/>
                <w:szCs w:val="20"/>
              </w:rPr>
              <w:t xml:space="preserve">. </w:t>
            </w:r>
            <w:r w:rsidR="00266531" w:rsidRPr="00266531">
              <w:rPr>
                <w:rFonts w:ascii="Times New Roman" w:hAnsi="Times New Roman" w:cs="Times New Roman"/>
                <w:sz w:val="20"/>
                <w:szCs w:val="20"/>
              </w:rPr>
              <w:t>Pour garantir la bonne application de la réglementation en vigueur, les GCPP doivent être associés pour toutes les opérations d’investissement (y compris ouverture très réglementée d’un compte d’épargne) ou de désinvestissement (y compris clôture très réglementée d’un compte d’épargne)</w:t>
            </w:r>
            <w:r w:rsidR="00266531">
              <w:rPr>
                <w:rFonts w:ascii="Times New Roman" w:hAnsi="Times New Roman" w:cs="Times New Roman"/>
                <w:sz w:val="20"/>
                <w:szCs w:val="20"/>
              </w:rPr>
              <w:t>.</w:t>
            </w:r>
          </w:p>
          <w:p w:rsidR="00266531" w:rsidRPr="00266531" w:rsidRDefault="00266531" w:rsidP="007B511B">
            <w:pPr>
              <w:numPr>
                <w:ilvl w:val="0"/>
                <w:numId w:val="10"/>
              </w:numPr>
              <w:ind w:left="176" w:hanging="176"/>
              <w:contextualSpacing/>
              <w:jc w:val="both"/>
              <w:rPr>
                <w:rFonts w:ascii="Times New Roman" w:hAnsi="Times New Roman" w:cs="Times New Roman"/>
                <w:sz w:val="20"/>
                <w:szCs w:val="20"/>
              </w:rPr>
            </w:pPr>
            <w:r w:rsidRPr="00FC100B">
              <w:rPr>
                <w:rFonts w:ascii="Times New Roman" w:hAnsi="Times New Roman" w:cs="Times New Roman"/>
                <w:b/>
                <w:sz w:val="20"/>
                <w:szCs w:val="20"/>
              </w:rPr>
              <w:t xml:space="preserve">Retrouvez toutes les infos utiles au marché des Personnes Protégées dans l’HDJ du </w:t>
            </w:r>
            <w:r w:rsidR="00B14463" w:rsidRPr="00FC100B">
              <w:rPr>
                <w:rFonts w:ascii="Times New Roman" w:hAnsi="Times New Roman" w:cs="Times New Roman"/>
                <w:b/>
                <w:sz w:val="20"/>
                <w:szCs w:val="20"/>
              </w:rPr>
              <w:t>10 mars 2016</w:t>
            </w:r>
            <w:r w:rsidR="00B14463">
              <w:rPr>
                <w:rFonts w:ascii="Times New Roman" w:hAnsi="Times New Roman" w:cs="Times New Roman"/>
                <w:sz w:val="20"/>
                <w:szCs w:val="20"/>
              </w:rPr>
              <w:t xml:space="preserve"> disponible dans votre espace HDJ de la Rubrique des Commerciaux (</w:t>
            </w:r>
            <w:hyperlink r:id="rId18" w:history="1">
              <w:r w:rsidR="00B14463" w:rsidRPr="00B14463">
                <w:rPr>
                  <w:rStyle w:val="Lienhypertexte"/>
                  <w:rFonts w:ascii="Times New Roman" w:hAnsi="Times New Roman" w:cs="Times New Roman"/>
                  <w:sz w:val="20"/>
                  <w:szCs w:val="20"/>
                </w:rPr>
                <w:t>cliquez ici</w:t>
              </w:r>
            </w:hyperlink>
            <w:r w:rsidR="00B14463">
              <w:rPr>
                <w:rFonts w:ascii="Times New Roman" w:hAnsi="Times New Roman" w:cs="Times New Roman"/>
                <w:sz w:val="20"/>
                <w:szCs w:val="20"/>
              </w:rPr>
              <w:t>).</w:t>
            </w:r>
          </w:p>
        </w:tc>
      </w:tr>
      <w:tr w:rsidR="00886465" w:rsidRPr="00E81F6E" w:rsidTr="00AF3BE3">
        <w:trPr>
          <w:trHeight w:val="248"/>
        </w:trPr>
        <w:tc>
          <w:tcPr>
            <w:tcW w:w="1560" w:type="dxa"/>
            <w:tcBorders>
              <w:bottom w:val="single" w:sz="4" w:space="0" w:color="auto"/>
            </w:tcBorders>
          </w:tcPr>
          <w:p w:rsidR="00886465" w:rsidRDefault="00886465">
            <w:r w:rsidRPr="001542A4">
              <w:rPr>
                <w:rFonts w:ascii="Times New Roman" w:hAnsi="Times New Roman" w:cs="Times New Roman"/>
                <w:b/>
                <w:bCs/>
                <w:sz w:val="20"/>
                <w:szCs w:val="20"/>
              </w:rPr>
              <w:t>Com. DMA</w:t>
            </w:r>
          </w:p>
        </w:tc>
        <w:tc>
          <w:tcPr>
            <w:tcW w:w="1843" w:type="dxa"/>
            <w:tcBorders>
              <w:bottom w:val="single" w:sz="4" w:space="0" w:color="auto"/>
            </w:tcBorders>
          </w:tcPr>
          <w:p w:rsidR="005E17AE" w:rsidRDefault="00886465">
            <w:pPr>
              <w:rPr>
                <w:rFonts w:ascii="Times New Roman" w:hAnsi="Times New Roman" w:cs="Times New Roman"/>
                <w:b/>
                <w:bCs/>
                <w:sz w:val="20"/>
                <w:szCs w:val="20"/>
              </w:rPr>
            </w:pPr>
            <w:r>
              <w:rPr>
                <w:rFonts w:ascii="Times New Roman" w:hAnsi="Times New Roman" w:cs="Times New Roman"/>
                <w:b/>
                <w:bCs/>
                <w:sz w:val="20"/>
                <w:szCs w:val="20"/>
              </w:rPr>
              <w:t>Echéance </w:t>
            </w:r>
          </w:p>
          <w:p w:rsidR="00886465" w:rsidRDefault="00886465">
            <w:pPr>
              <w:rPr>
                <w:rFonts w:ascii="Times New Roman" w:hAnsi="Times New Roman" w:cs="Times New Roman"/>
                <w:b/>
                <w:bCs/>
                <w:color w:val="1F497D"/>
                <w:sz w:val="20"/>
                <w:szCs w:val="20"/>
              </w:rPr>
            </w:pPr>
            <w:r>
              <w:rPr>
                <w:rFonts w:ascii="Times New Roman" w:hAnsi="Times New Roman" w:cs="Times New Roman"/>
                <w:b/>
                <w:bCs/>
                <w:sz w:val="20"/>
                <w:szCs w:val="20"/>
              </w:rPr>
              <w:t>Emprunt</w:t>
            </w:r>
            <w:r>
              <w:rPr>
                <w:rFonts w:ascii="Times New Roman" w:hAnsi="Times New Roman" w:cs="Times New Roman"/>
                <w:b/>
                <w:bCs/>
                <w:color w:val="1F497D"/>
                <w:sz w:val="20"/>
                <w:szCs w:val="20"/>
              </w:rPr>
              <w:t xml:space="preserve"> </w:t>
            </w:r>
            <w:r>
              <w:rPr>
                <w:rFonts w:ascii="Times New Roman" w:hAnsi="Times New Roman" w:cs="Times New Roman"/>
                <w:b/>
                <w:bCs/>
                <w:sz w:val="20"/>
                <w:szCs w:val="20"/>
              </w:rPr>
              <w:t xml:space="preserve">4,55% et </w:t>
            </w:r>
          </w:p>
          <w:p w:rsidR="00886465" w:rsidRDefault="00886465">
            <w:pPr>
              <w:rPr>
                <w:rFonts w:ascii="Times New Roman" w:hAnsi="Times New Roman" w:cs="Times New Roman"/>
                <w:strike/>
                <w:sz w:val="20"/>
                <w:szCs w:val="20"/>
              </w:rPr>
            </w:pPr>
            <w:r>
              <w:rPr>
                <w:rFonts w:ascii="Times New Roman" w:hAnsi="Times New Roman" w:cs="Times New Roman"/>
                <w:b/>
                <w:bCs/>
                <w:sz w:val="20"/>
                <w:szCs w:val="20"/>
              </w:rPr>
              <w:t xml:space="preserve">Echéance Emprunt 3,75% </w:t>
            </w:r>
          </w:p>
        </w:tc>
        <w:tc>
          <w:tcPr>
            <w:tcW w:w="12332" w:type="dxa"/>
            <w:tcBorders>
              <w:bottom w:val="single" w:sz="4" w:space="0" w:color="auto"/>
            </w:tcBorders>
            <w:shd w:val="clear" w:color="auto" w:fill="auto"/>
          </w:tcPr>
          <w:p w:rsidR="00886465" w:rsidRPr="00886465" w:rsidRDefault="00886465" w:rsidP="00886465">
            <w:pPr>
              <w:pStyle w:val="wordsection1"/>
              <w:numPr>
                <w:ilvl w:val="0"/>
                <w:numId w:val="23"/>
              </w:numPr>
              <w:spacing w:before="0" w:beforeAutospacing="0" w:after="0" w:afterAutospacing="0"/>
              <w:ind w:left="187" w:hanging="187"/>
              <w:jc w:val="both"/>
              <w:rPr>
                <w:b/>
                <w:sz w:val="20"/>
                <w:szCs w:val="20"/>
              </w:rPr>
            </w:pPr>
            <w:r w:rsidRPr="00886465">
              <w:rPr>
                <w:b/>
                <w:color w:val="000000"/>
                <w:sz w:val="20"/>
                <w:szCs w:val="20"/>
              </w:rPr>
              <w:t>2 Emprunt</w:t>
            </w:r>
            <w:r w:rsidRPr="005E17AE">
              <w:rPr>
                <w:b/>
                <w:color w:val="000000"/>
                <w:sz w:val="20"/>
                <w:szCs w:val="20"/>
              </w:rPr>
              <w:t>s</w:t>
            </w:r>
            <w:r w:rsidRPr="00886465">
              <w:rPr>
                <w:b/>
                <w:color w:val="000000"/>
                <w:sz w:val="20"/>
                <w:szCs w:val="20"/>
              </w:rPr>
              <w:t xml:space="preserve"> </w:t>
            </w:r>
            <w:r w:rsidRPr="00886465">
              <w:rPr>
                <w:b/>
                <w:sz w:val="20"/>
                <w:szCs w:val="20"/>
              </w:rPr>
              <w:t>arrivent à échéance en février sur CTO uniquement :</w:t>
            </w:r>
          </w:p>
          <w:p w:rsidR="00886465" w:rsidRPr="00886465" w:rsidRDefault="00886465" w:rsidP="00886465">
            <w:pPr>
              <w:numPr>
                <w:ilvl w:val="0"/>
                <w:numId w:val="7"/>
              </w:numPr>
              <w:contextualSpacing/>
              <w:jc w:val="both"/>
              <w:rPr>
                <w:rFonts w:ascii="Times New Roman" w:hAnsi="Times New Roman" w:cs="Times New Roman"/>
                <w:sz w:val="20"/>
                <w:szCs w:val="20"/>
              </w:rPr>
            </w:pPr>
            <w:r w:rsidRPr="00886465">
              <w:rPr>
                <w:rFonts w:ascii="Times New Roman" w:hAnsi="Times New Roman" w:cs="Times New Roman"/>
                <w:sz w:val="20"/>
                <w:szCs w:val="20"/>
              </w:rPr>
              <w:t>Emprunt 4,55%, le 22 février 2018 pour 16,4 M€</w:t>
            </w:r>
            <w:r w:rsidRPr="00886465">
              <w:rPr>
                <w:rFonts w:ascii="Times New Roman" w:hAnsi="Times New Roman" w:cs="Times New Roman"/>
                <w:color w:val="1F497D"/>
                <w:sz w:val="20"/>
                <w:szCs w:val="20"/>
              </w:rPr>
              <w:t>,</w:t>
            </w:r>
            <w:r w:rsidRPr="00886465">
              <w:rPr>
                <w:rFonts w:ascii="Times New Roman" w:hAnsi="Times New Roman" w:cs="Times New Roman"/>
                <w:sz w:val="20"/>
                <w:szCs w:val="20"/>
              </w:rPr>
              <w:t xml:space="preserve"> 1 471 clients sont concernés.</w:t>
            </w:r>
          </w:p>
          <w:p w:rsidR="00886465" w:rsidRPr="00886465" w:rsidRDefault="00886465" w:rsidP="00886465">
            <w:pPr>
              <w:numPr>
                <w:ilvl w:val="0"/>
                <w:numId w:val="7"/>
              </w:numPr>
              <w:contextualSpacing/>
              <w:jc w:val="both"/>
              <w:rPr>
                <w:rFonts w:ascii="Times New Roman" w:hAnsi="Times New Roman" w:cs="Times New Roman"/>
                <w:sz w:val="20"/>
                <w:szCs w:val="20"/>
              </w:rPr>
            </w:pPr>
            <w:r w:rsidRPr="00886465">
              <w:rPr>
                <w:rFonts w:ascii="Times New Roman" w:hAnsi="Times New Roman" w:cs="Times New Roman"/>
                <w:sz w:val="20"/>
                <w:szCs w:val="20"/>
              </w:rPr>
              <w:t>Emprunt 3,75%, le 24 février 2018 pour 8 M€, 953 clients sont concernés.</w:t>
            </w:r>
          </w:p>
          <w:p w:rsidR="00886465" w:rsidRPr="00886465" w:rsidRDefault="00886465" w:rsidP="00886465">
            <w:pPr>
              <w:pStyle w:val="wordsection1"/>
              <w:numPr>
                <w:ilvl w:val="0"/>
                <w:numId w:val="23"/>
              </w:numPr>
              <w:spacing w:before="0" w:beforeAutospacing="0" w:after="0" w:afterAutospacing="0"/>
              <w:ind w:left="187" w:hanging="187"/>
              <w:jc w:val="both"/>
              <w:rPr>
                <w:color w:val="000000"/>
                <w:sz w:val="20"/>
                <w:szCs w:val="20"/>
              </w:rPr>
            </w:pPr>
            <w:r>
              <w:rPr>
                <w:sz w:val="20"/>
                <w:szCs w:val="20"/>
              </w:rPr>
              <w:t xml:space="preserve">Aussi, </w:t>
            </w:r>
            <w:r w:rsidRPr="00886465">
              <w:rPr>
                <w:sz w:val="20"/>
                <w:szCs w:val="20"/>
              </w:rPr>
              <w:t>2 évènements sont à votre disposition dans</w:t>
            </w:r>
            <w:r>
              <w:rPr>
                <w:sz w:val="20"/>
                <w:szCs w:val="20"/>
              </w:rPr>
              <w:t xml:space="preserve"> la GERC jusqu’au 24 mars 2018 pour contacter les clients concernés. </w:t>
            </w:r>
            <w:r w:rsidRPr="00886465">
              <w:rPr>
                <w:sz w:val="20"/>
                <w:szCs w:val="20"/>
              </w:rPr>
              <w:t>Vous retrouverez prochainement tous les détails dans les notes DMA-INF/18.017 pour l’Emprunt 4,55% et DMA-INF/18.018 pour l’Emprunt 3,75%.</w:t>
            </w:r>
          </w:p>
        </w:tc>
      </w:tr>
      <w:tr w:rsidR="00886465" w:rsidRPr="00E81F6E" w:rsidTr="00AF3BE3">
        <w:trPr>
          <w:trHeight w:val="248"/>
        </w:trPr>
        <w:tc>
          <w:tcPr>
            <w:tcW w:w="1560" w:type="dxa"/>
            <w:tcBorders>
              <w:bottom w:val="single" w:sz="4" w:space="0" w:color="auto"/>
            </w:tcBorders>
          </w:tcPr>
          <w:p w:rsidR="00886465" w:rsidRDefault="00886465">
            <w:r w:rsidRPr="001542A4">
              <w:rPr>
                <w:rFonts w:ascii="Times New Roman" w:hAnsi="Times New Roman" w:cs="Times New Roman"/>
                <w:b/>
                <w:bCs/>
                <w:sz w:val="20"/>
                <w:szCs w:val="20"/>
              </w:rPr>
              <w:t>Com. DMA</w:t>
            </w:r>
          </w:p>
        </w:tc>
        <w:tc>
          <w:tcPr>
            <w:tcW w:w="1843" w:type="dxa"/>
            <w:tcBorders>
              <w:bottom w:val="single" w:sz="4" w:space="0" w:color="auto"/>
            </w:tcBorders>
          </w:tcPr>
          <w:p w:rsidR="00886465" w:rsidRDefault="00886465">
            <w:pPr>
              <w:pStyle w:val="wordsection1"/>
              <w:rPr>
                <w:b/>
                <w:bCs/>
                <w:sz w:val="20"/>
                <w:szCs w:val="20"/>
                <w:highlight w:val="red"/>
              </w:rPr>
            </w:pPr>
            <w:r>
              <w:rPr>
                <w:b/>
                <w:bCs/>
                <w:sz w:val="20"/>
                <w:szCs w:val="20"/>
              </w:rPr>
              <w:t>ASSOCIATIONS DE PROXIMITE – Suppression rémunération des comptes</w:t>
            </w:r>
          </w:p>
        </w:tc>
        <w:tc>
          <w:tcPr>
            <w:tcW w:w="12332" w:type="dxa"/>
            <w:tcBorders>
              <w:bottom w:val="single" w:sz="4" w:space="0" w:color="auto"/>
            </w:tcBorders>
            <w:shd w:val="clear" w:color="auto" w:fill="auto"/>
          </w:tcPr>
          <w:p w:rsidR="00886465" w:rsidRPr="00886465" w:rsidRDefault="00886465" w:rsidP="00886465">
            <w:pPr>
              <w:pStyle w:val="wordsection1"/>
              <w:numPr>
                <w:ilvl w:val="0"/>
                <w:numId w:val="23"/>
              </w:numPr>
              <w:ind w:left="187" w:hanging="187"/>
              <w:jc w:val="both"/>
              <w:rPr>
                <w:sz w:val="20"/>
                <w:szCs w:val="20"/>
              </w:rPr>
            </w:pPr>
            <w:r w:rsidRPr="00886465">
              <w:rPr>
                <w:sz w:val="20"/>
                <w:szCs w:val="20"/>
              </w:rPr>
              <w:t xml:space="preserve">La suppression de la rémunération des comptes courants est intervenue pour nos clients professionnels le 31/12/2015 (code marché MN 102). Or, certaines associations, également en code marché MN 102, ont continué à bénéficier d’une rémunération de leur compte. Les associations </w:t>
            </w:r>
            <w:r w:rsidRPr="00886465">
              <w:rPr>
                <w:b/>
                <w:bCs/>
                <w:sz w:val="20"/>
                <w:szCs w:val="20"/>
              </w:rPr>
              <w:t>non équipées de forfait</w:t>
            </w:r>
            <w:r w:rsidRPr="00886465">
              <w:rPr>
                <w:sz w:val="20"/>
                <w:szCs w:val="20"/>
              </w:rPr>
              <w:t xml:space="preserve"> ont également continué à être prélevées de 2,50€/trimestre (correspondant à la tarification trimestrielle du service rémunération).</w:t>
            </w:r>
          </w:p>
          <w:p w:rsidR="00886465" w:rsidRPr="00886465" w:rsidRDefault="00886465" w:rsidP="00886465">
            <w:pPr>
              <w:pStyle w:val="wordsection1"/>
              <w:numPr>
                <w:ilvl w:val="0"/>
                <w:numId w:val="23"/>
              </w:numPr>
              <w:spacing w:before="0" w:beforeAutospacing="0" w:after="0" w:afterAutospacing="0"/>
              <w:ind w:left="187" w:hanging="187"/>
              <w:jc w:val="both"/>
              <w:rPr>
                <w:sz w:val="20"/>
                <w:szCs w:val="20"/>
              </w:rPr>
            </w:pPr>
            <w:r w:rsidRPr="00886465">
              <w:rPr>
                <w:sz w:val="20"/>
                <w:szCs w:val="20"/>
              </w:rPr>
              <w:t>Un courrier sera envoyé cette semaine aux 298 clients concernés pour les informer de l’arrêt définitif du Service Rémunération à compter du 1</w:t>
            </w:r>
            <w:r w:rsidRPr="00886465">
              <w:rPr>
                <w:sz w:val="20"/>
                <w:szCs w:val="20"/>
                <w:vertAlign w:val="superscript"/>
              </w:rPr>
              <w:t>er</w:t>
            </w:r>
            <w:r w:rsidRPr="00886465">
              <w:rPr>
                <w:sz w:val="20"/>
                <w:szCs w:val="20"/>
              </w:rPr>
              <w:t xml:space="preserve"> avril 2018. En conséquence, à compter du 01/04/2018, les comptes courants associations de proximité ne seront plus ni rémunérés ni tarifés des 2,50€ / trimestre. Pour information, le barème rémunération était le suivant : 0,25% jusqu’à 2 500€ puis 0,75% jusqu’à 10 000€.</w:t>
            </w:r>
          </w:p>
        </w:tc>
      </w:tr>
      <w:tr w:rsidR="00886465" w:rsidRPr="00E81F6E" w:rsidTr="00AF3BE3">
        <w:trPr>
          <w:trHeight w:val="248"/>
        </w:trPr>
        <w:tc>
          <w:tcPr>
            <w:tcW w:w="1560" w:type="dxa"/>
            <w:tcBorders>
              <w:bottom w:val="single" w:sz="4" w:space="0" w:color="auto"/>
            </w:tcBorders>
          </w:tcPr>
          <w:p w:rsidR="00886465" w:rsidRDefault="00886465">
            <w:r w:rsidRPr="001542A4">
              <w:rPr>
                <w:rFonts w:ascii="Times New Roman" w:hAnsi="Times New Roman" w:cs="Times New Roman"/>
                <w:b/>
                <w:bCs/>
                <w:sz w:val="20"/>
                <w:szCs w:val="20"/>
              </w:rPr>
              <w:t>Com. DMA</w:t>
            </w:r>
          </w:p>
        </w:tc>
        <w:tc>
          <w:tcPr>
            <w:tcW w:w="1843" w:type="dxa"/>
            <w:tcBorders>
              <w:bottom w:val="single" w:sz="4" w:space="0" w:color="auto"/>
            </w:tcBorders>
          </w:tcPr>
          <w:p w:rsidR="00886465" w:rsidRDefault="00886465">
            <w:pPr>
              <w:pStyle w:val="wordsection1"/>
              <w:rPr>
                <w:b/>
                <w:bCs/>
                <w:sz w:val="20"/>
                <w:szCs w:val="20"/>
              </w:rPr>
            </w:pPr>
            <w:r>
              <w:rPr>
                <w:b/>
                <w:bCs/>
                <w:sz w:val="20"/>
                <w:szCs w:val="20"/>
              </w:rPr>
              <w:t>WEBEX MIFII : "Portefeuilles Modèles"</w:t>
            </w:r>
          </w:p>
        </w:tc>
        <w:tc>
          <w:tcPr>
            <w:tcW w:w="12332" w:type="dxa"/>
            <w:tcBorders>
              <w:bottom w:val="single" w:sz="4" w:space="0" w:color="auto"/>
            </w:tcBorders>
            <w:shd w:val="clear" w:color="auto" w:fill="auto"/>
          </w:tcPr>
          <w:p w:rsidR="00886465" w:rsidRPr="00886465" w:rsidRDefault="00886465" w:rsidP="00886465">
            <w:pPr>
              <w:pStyle w:val="wordsection1"/>
              <w:numPr>
                <w:ilvl w:val="0"/>
                <w:numId w:val="23"/>
              </w:numPr>
              <w:spacing w:before="0" w:beforeAutospacing="0" w:after="0" w:afterAutospacing="0"/>
              <w:ind w:left="187" w:hanging="187"/>
              <w:rPr>
                <w:color w:val="1F497D"/>
                <w:sz w:val="20"/>
                <w:szCs w:val="20"/>
              </w:rPr>
            </w:pPr>
            <w:r w:rsidRPr="00886465">
              <w:rPr>
                <w:sz w:val="20"/>
                <w:szCs w:val="20"/>
              </w:rPr>
              <w:t>Nous vous rappelons que les sessions Webex « Portefeuilles Modèles » débutent le m</w:t>
            </w:r>
            <w:r>
              <w:rPr>
                <w:sz w:val="20"/>
                <w:szCs w:val="20"/>
              </w:rPr>
              <w:t xml:space="preserve">ardi 6 février et le mercredi </w:t>
            </w:r>
            <w:r w:rsidRPr="00886465">
              <w:rPr>
                <w:sz w:val="20"/>
                <w:szCs w:val="20"/>
              </w:rPr>
              <w:t>7 février pour les manag</w:t>
            </w:r>
            <w:r>
              <w:rPr>
                <w:sz w:val="20"/>
                <w:szCs w:val="20"/>
              </w:rPr>
              <w:t xml:space="preserve">ers. Elles se poursuivront les </w:t>
            </w:r>
            <w:r w:rsidRPr="00886465">
              <w:rPr>
                <w:sz w:val="20"/>
                <w:szCs w:val="20"/>
              </w:rPr>
              <w:t>9, 13 et 14 février pour l’ensemble des collaborateurs.</w:t>
            </w:r>
            <w:r>
              <w:rPr>
                <w:sz w:val="20"/>
                <w:szCs w:val="20"/>
              </w:rPr>
              <w:t xml:space="preserve"> </w:t>
            </w:r>
            <w:r w:rsidRPr="00886465">
              <w:rPr>
                <w:sz w:val="20"/>
                <w:szCs w:val="20"/>
              </w:rPr>
              <w:t>Pour information, seulement 47% des collaborateurs et 60% des managers se sont inscrits. Une relance est prévue cette semaine.</w:t>
            </w:r>
          </w:p>
          <w:p w:rsidR="00886465" w:rsidRPr="00886465" w:rsidRDefault="00886465" w:rsidP="00886465">
            <w:pPr>
              <w:pStyle w:val="wordsection1"/>
              <w:spacing w:before="0" w:beforeAutospacing="0" w:after="0" w:afterAutospacing="0"/>
              <w:ind w:left="187"/>
              <w:rPr>
                <w:color w:val="1F497D"/>
                <w:sz w:val="20"/>
                <w:szCs w:val="20"/>
              </w:rPr>
            </w:pPr>
          </w:p>
        </w:tc>
      </w:tr>
      <w:tr w:rsidR="000124A1" w:rsidRPr="00E81F6E" w:rsidTr="00AF3BE3">
        <w:trPr>
          <w:trHeight w:val="248"/>
        </w:trPr>
        <w:tc>
          <w:tcPr>
            <w:tcW w:w="1560" w:type="dxa"/>
            <w:tcBorders>
              <w:bottom w:val="single" w:sz="4" w:space="0" w:color="auto"/>
            </w:tcBorders>
          </w:tcPr>
          <w:p w:rsidR="000124A1" w:rsidRDefault="000124A1">
            <w:r w:rsidRPr="00640993">
              <w:rPr>
                <w:rFonts w:ascii="Times New Roman" w:hAnsi="Times New Roman" w:cs="Times New Roman"/>
                <w:b/>
                <w:bCs/>
                <w:sz w:val="20"/>
                <w:szCs w:val="20"/>
              </w:rPr>
              <w:t>Com. DMA</w:t>
            </w:r>
          </w:p>
        </w:tc>
        <w:tc>
          <w:tcPr>
            <w:tcW w:w="1843" w:type="dxa"/>
            <w:tcBorders>
              <w:bottom w:val="single" w:sz="4" w:space="0" w:color="auto"/>
            </w:tcBorders>
          </w:tcPr>
          <w:p w:rsidR="000124A1" w:rsidRDefault="000124A1">
            <w:pPr>
              <w:pStyle w:val="wordsection1"/>
              <w:spacing w:before="0" w:beforeAutospacing="0" w:after="0" w:afterAutospacing="0"/>
              <w:rPr>
                <w:b/>
                <w:bCs/>
                <w:sz w:val="20"/>
                <w:szCs w:val="20"/>
                <w:lang w:eastAsia="en-US"/>
              </w:rPr>
            </w:pPr>
            <w:r>
              <w:rPr>
                <w:b/>
                <w:bCs/>
                <w:sz w:val="20"/>
                <w:szCs w:val="20"/>
              </w:rPr>
              <w:t>Assurance vie - Evolution de la fiscalité en cas de rachat</w:t>
            </w:r>
          </w:p>
        </w:tc>
        <w:tc>
          <w:tcPr>
            <w:tcW w:w="12332" w:type="dxa"/>
            <w:tcBorders>
              <w:bottom w:val="single" w:sz="4" w:space="0" w:color="auto"/>
            </w:tcBorders>
            <w:shd w:val="clear" w:color="auto" w:fill="auto"/>
          </w:tcPr>
          <w:p w:rsidR="000124A1" w:rsidRDefault="000124A1" w:rsidP="000124A1">
            <w:pPr>
              <w:pStyle w:val="wordsection1"/>
              <w:numPr>
                <w:ilvl w:val="0"/>
                <w:numId w:val="25"/>
              </w:numPr>
              <w:spacing w:before="0" w:beforeAutospacing="0" w:after="0" w:afterAutospacing="0"/>
              <w:ind w:left="187" w:hanging="187"/>
              <w:rPr>
                <w:color w:val="1F497D"/>
                <w:sz w:val="20"/>
                <w:szCs w:val="20"/>
              </w:rPr>
            </w:pPr>
            <w:r>
              <w:rPr>
                <w:sz w:val="20"/>
                <w:szCs w:val="20"/>
              </w:rPr>
              <w:t xml:space="preserve">La loi de Finances pour 2018 a modifié le régime d’imposition en cas de rachats des contrats d’assurance vie ainsi que des contrats de capitalisation, en instaurant un nouveau prélèvement, le Prélèvement Forfaitaire Unique (« PFU ») également appelé « Flat </w:t>
            </w:r>
            <w:proofErr w:type="spellStart"/>
            <w:r>
              <w:rPr>
                <w:sz w:val="20"/>
                <w:szCs w:val="20"/>
              </w:rPr>
              <w:t>Tax</w:t>
            </w:r>
            <w:proofErr w:type="spellEnd"/>
            <w:r>
              <w:rPr>
                <w:sz w:val="20"/>
                <w:szCs w:val="20"/>
              </w:rPr>
              <w:t xml:space="preserve"> ». Vous trouverez la fiscalité applicable aux rachats à compter du 1</w:t>
            </w:r>
            <w:r>
              <w:rPr>
                <w:sz w:val="20"/>
                <w:szCs w:val="20"/>
                <w:vertAlign w:val="superscript"/>
              </w:rPr>
              <w:t>er</w:t>
            </w:r>
            <w:r w:rsidR="00E60D00">
              <w:rPr>
                <w:sz w:val="20"/>
                <w:szCs w:val="20"/>
              </w:rPr>
              <w:t xml:space="preserve"> </w:t>
            </w:r>
            <w:r>
              <w:rPr>
                <w:sz w:val="20"/>
                <w:szCs w:val="20"/>
              </w:rPr>
              <w:t xml:space="preserve">janvier 2018 dans la rubrique des commerciaux en cliquant </w:t>
            </w:r>
            <w:hyperlink r:id="rId19" w:history="1">
              <w:r>
                <w:rPr>
                  <w:rStyle w:val="Lienhypertexte"/>
                  <w:sz w:val="20"/>
                  <w:szCs w:val="20"/>
                </w:rPr>
                <w:t>ici</w:t>
              </w:r>
            </w:hyperlink>
            <w:r>
              <w:rPr>
                <w:sz w:val="20"/>
                <w:szCs w:val="20"/>
              </w:rPr>
              <w:t>.</w:t>
            </w:r>
          </w:p>
        </w:tc>
      </w:tr>
      <w:tr w:rsidR="000124A1" w:rsidRPr="00E81F6E" w:rsidTr="00AF3BE3">
        <w:trPr>
          <w:trHeight w:val="248"/>
        </w:trPr>
        <w:tc>
          <w:tcPr>
            <w:tcW w:w="1560" w:type="dxa"/>
            <w:tcBorders>
              <w:bottom w:val="single" w:sz="4" w:space="0" w:color="auto"/>
            </w:tcBorders>
          </w:tcPr>
          <w:p w:rsidR="000124A1" w:rsidRDefault="000124A1">
            <w:r w:rsidRPr="00640993">
              <w:rPr>
                <w:rFonts w:ascii="Times New Roman" w:hAnsi="Times New Roman" w:cs="Times New Roman"/>
                <w:b/>
                <w:bCs/>
                <w:sz w:val="20"/>
                <w:szCs w:val="20"/>
              </w:rPr>
              <w:lastRenderedPageBreak/>
              <w:t>Com. DMA</w:t>
            </w:r>
          </w:p>
        </w:tc>
        <w:tc>
          <w:tcPr>
            <w:tcW w:w="1843" w:type="dxa"/>
            <w:tcBorders>
              <w:bottom w:val="single" w:sz="4" w:space="0" w:color="auto"/>
            </w:tcBorders>
          </w:tcPr>
          <w:p w:rsidR="000124A1" w:rsidRDefault="000124A1">
            <w:pPr>
              <w:pStyle w:val="wordsection1"/>
              <w:spacing w:before="0" w:beforeAutospacing="0" w:after="0" w:afterAutospacing="0"/>
              <w:rPr>
                <w:b/>
                <w:bCs/>
                <w:sz w:val="20"/>
                <w:szCs w:val="20"/>
                <w:lang w:eastAsia="en-US"/>
              </w:rPr>
            </w:pPr>
            <w:r>
              <w:rPr>
                <w:b/>
                <w:bCs/>
                <w:sz w:val="20"/>
                <w:szCs w:val="20"/>
              </w:rPr>
              <w:t>Assurance vie – Accès ISI</w:t>
            </w:r>
          </w:p>
        </w:tc>
        <w:tc>
          <w:tcPr>
            <w:tcW w:w="12332" w:type="dxa"/>
            <w:tcBorders>
              <w:bottom w:val="single" w:sz="4" w:space="0" w:color="auto"/>
            </w:tcBorders>
            <w:shd w:val="clear" w:color="auto" w:fill="auto"/>
          </w:tcPr>
          <w:p w:rsidR="000124A1" w:rsidRDefault="000124A1" w:rsidP="000124A1">
            <w:pPr>
              <w:pStyle w:val="wordsection1"/>
              <w:numPr>
                <w:ilvl w:val="0"/>
                <w:numId w:val="25"/>
              </w:numPr>
              <w:spacing w:before="0" w:beforeAutospacing="0" w:after="0" w:afterAutospacing="0"/>
              <w:ind w:left="187" w:hanging="187"/>
              <w:rPr>
                <w:color w:val="1F497D"/>
                <w:sz w:val="20"/>
                <w:szCs w:val="20"/>
              </w:rPr>
            </w:pPr>
            <w:r>
              <w:rPr>
                <w:sz w:val="20"/>
                <w:szCs w:val="20"/>
              </w:rPr>
              <w:t>Le chemin d’accès à ISI via PUMA a été modifié. L’onglet « Saisie des Imprimés (ISI) » a été supprimé et est remplacé par l’ajout du choix « Autre opération » dans la liste des opérations accessibles sur le contrat.</w:t>
            </w:r>
          </w:p>
        </w:tc>
      </w:tr>
      <w:tr w:rsidR="00317E86" w:rsidRPr="00E81F6E" w:rsidTr="00317E86">
        <w:trPr>
          <w:trHeight w:val="248"/>
        </w:trPr>
        <w:tc>
          <w:tcPr>
            <w:tcW w:w="15735" w:type="dxa"/>
            <w:gridSpan w:val="3"/>
            <w:tcBorders>
              <w:bottom w:val="single" w:sz="4" w:space="0" w:color="auto"/>
            </w:tcBorders>
            <w:shd w:val="clear" w:color="auto" w:fill="BFBFBF" w:themeFill="background1" w:themeFillShade="BF"/>
          </w:tcPr>
          <w:p w:rsidR="00317E86" w:rsidRPr="00317E86" w:rsidRDefault="00C817F1" w:rsidP="00317E86">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A90ECC" w:rsidRPr="00E81F6E" w:rsidTr="00AF3BE3">
        <w:trPr>
          <w:trHeight w:val="248"/>
        </w:trPr>
        <w:tc>
          <w:tcPr>
            <w:tcW w:w="1560" w:type="dxa"/>
            <w:tcBorders>
              <w:bottom w:val="single" w:sz="4" w:space="0" w:color="auto"/>
            </w:tcBorders>
          </w:tcPr>
          <w:p w:rsidR="00A90ECC" w:rsidRPr="00576DCF" w:rsidRDefault="00A90ECC">
            <w:pPr>
              <w:rPr>
                <w:rFonts w:ascii="Times New Roman" w:hAnsi="Times New Roman" w:cs="Times New Roman"/>
                <w:b/>
                <w:bCs/>
                <w:sz w:val="20"/>
                <w:szCs w:val="20"/>
              </w:rPr>
            </w:pPr>
            <w:r w:rsidRPr="00576DCF">
              <w:rPr>
                <w:rFonts w:ascii="Times New Roman" w:hAnsi="Times New Roman" w:cs="Times New Roman"/>
                <w:b/>
                <w:bCs/>
                <w:sz w:val="20"/>
                <w:szCs w:val="20"/>
              </w:rPr>
              <w:t>Com. DMA</w:t>
            </w:r>
          </w:p>
        </w:tc>
        <w:tc>
          <w:tcPr>
            <w:tcW w:w="1843" w:type="dxa"/>
            <w:tcBorders>
              <w:bottom w:val="single" w:sz="4" w:space="0" w:color="auto"/>
            </w:tcBorders>
          </w:tcPr>
          <w:p w:rsidR="00A90ECC" w:rsidRPr="00A90ECC" w:rsidRDefault="00A90ECC">
            <w:pPr>
              <w:spacing w:after="200" w:line="276" w:lineRule="auto"/>
              <w:rPr>
                <w:rFonts w:ascii="Times New Roman" w:hAnsi="Times New Roman" w:cs="Times New Roman"/>
                <w:b/>
                <w:bCs/>
                <w:sz w:val="20"/>
                <w:szCs w:val="20"/>
              </w:rPr>
            </w:pPr>
            <w:r w:rsidRPr="00A90ECC">
              <w:rPr>
                <w:rFonts w:ascii="Times New Roman" w:hAnsi="Times New Roman" w:cs="Times New Roman"/>
                <w:b/>
                <w:bCs/>
                <w:sz w:val="20"/>
                <w:szCs w:val="20"/>
              </w:rPr>
              <w:t>Virement SEPA Instantané</w:t>
            </w:r>
          </w:p>
        </w:tc>
        <w:tc>
          <w:tcPr>
            <w:tcW w:w="12332" w:type="dxa"/>
            <w:tcBorders>
              <w:bottom w:val="single" w:sz="4" w:space="0" w:color="auto"/>
            </w:tcBorders>
            <w:shd w:val="clear" w:color="auto" w:fill="auto"/>
          </w:tcPr>
          <w:p w:rsidR="00A90ECC" w:rsidRPr="0055727B" w:rsidRDefault="00A90ECC" w:rsidP="0055727B">
            <w:pPr>
              <w:pStyle w:val="Paragraphedeliste"/>
              <w:numPr>
                <w:ilvl w:val="0"/>
                <w:numId w:val="16"/>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Fin mai 2018, les établissements du groupe BPCE seront les </w:t>
            </w:r>
            <w:r w:rsidRPr="0055727B">
              <w:rPr>
                <w:rFonts w:ascii="Times New Roman" w:hAnsi="Times New Roman" w:cs="Times New Roman"/>
                <w:b/>
                <w:bCs/>
                <w:sz w:val="20"/>
                <w:szCs w:val="20"/>
              </w:rPr>
              <w:t>premiers en France</w:t>
            </w:r>
            <w:r w:rsidRPr="0055727B">
              <w:rPr>
                <w:rFonts w:ascii="Times New Roman" w:hAnsi="Times New Roman" w:cs="Times New Roman"/>
                <w:sz w:val="20"/>
                <w:szCs w:val="20"/>
              </w:rPr>
              <w:t xml:space="preserve"> à proposer à leurs Clients sur les applications </w:t>
            </w:r>
            <w:r w:rsidRPr="0055727B">
              <w:rPr>
                <w:rFonts w:ascii="Times New Roman" w:hAnsi="Times New Roman" w:cs="Times New Roman"/>
                <w:b/>
                <w:bCs/>
                <w:sz w:val="20"/>
                <w:szCs w:val="20"/>
              </w:rPr>
              <w:t>mobiles</w:t>
            </w:r>
            <w:r w:rsidRPr="0055727B">
              <w:rPr>
                <w:rFonts w:ascii="Times New Roman" w:hAnsi="Times New Roman" w:cs="Times New Roman"/>
                <w:sz w:val="20"/>
                <w:szCs w:val="20"/>
              </w:rPr>
              <w:t xml:space="preserve"> (Android et IOS) et en </w:t>
            </w:r>
            <w:r w:rsidRPr="0055727B">
              <w:rPr>
                <w:rFonts w:ascii="Times New Roman" w:hAnsi="Times New Roman" w:cs="Times New Roman"/>
                <w:b/>
                <w:bCs/>
                <w:sz w:val="20"/>
                <w:szCs w:val="20"/>
              </w:rPr>
              <w:t>agence,</w:t>
            </w:r>
            <w:r w:rsidRPr="0055727B">
              <w:rPr>
                <w:rFonts w:ascii="Times New Roman" w:hAnsi="Times New Roman" w:cs="Times New Roman"/>
                <w:sz w:val="20"/>
                <w:szCs w:val="20"/>
              </w:rPr>
              <w:t xml:space="preserve"> le service de </w:t>
            </w:r>
            <w:r w:rsidRPr="0055727B">
              <w:rPr>
                <w:rFonts w:ascii="Times New Roman" w:hAnsi="Times New Roman" w:cs="Times New Roman"/>
                <w:b/>
                <w:bCs/>
                <w:sz w:val="20"/>
                <w:szCs w:val="20"/>
              </w:rPr>
              <w:t>virement SEPA instantané</w:t>
            </w:r>
            <w:r w:rsidRPr="0055727B">
              <w:rPr>
                <w:rFonts w:ascii="Times New Roman" w:hAnsi="Times New Roman" w:cs="Times New Roman"/>
                <w:sz w:val="20"/>
                <w:szCs w:val="20"/>
              </w:rPr>
              <w:t xml:space="preserve">. </w:t>
            </w:r>
          </w:p>
          <w:p w:rsidR="00A90ECC" w:rsidRPr="0055727B" w:rsidRDefault="00A90ECC" w:rsidP="0055727B">
            <w:pPr>
              <w:pStyle w:val="Paragraphedeliste"/>
              <w:numPr>
                <w:ilvl w:val="0"/>
                <w:numId w:val="16"/>
              </w:numPr>
              <w:ind w:left="176" w:hanging="176"/>
              <w:contextualSpacing w:val="0"/>
              <w:jc w:val="both"/>
              <w:rPr>
                <w:rFonts w:ascii="Times New Roman" w:eastAsia="Times New Roman" w:hAnsi="Times New Roman" w:cs="Times New Roman"/>
                <w:sz w:val="20"/>
                <w:szCs w:val="20"/>
                <w:lang w:eastAsia="fr-FR"/>
              </w:rPr>
            </w:pPr>
            <w:r w:rsidRPr="0055727B">
              <w:rPr>
                <w:rFonts w:ascii="Times New Roman" w:hAnsi="Times New Roman" w:cs="Times New Roman"/>
                <w:sz w:val="20"/>
                <w:szCs w:val="20"/>
              </w:rPr>
              <w:t>Dans un premier temps,</w:t>
            </w:r>
            <w:r w:rsidRPr="0055727B">
              <w:rPr>
                <w:rFonts w:ascii="Times New Roman" w:hAnsi="Times New Roman" w:cs="Times New Roman"/>
                <w:b/>
                <w:bCs/>
                <w:sz w:val="20"/>
                <w:szCs w:val="20"/>
              </w:rPr>
              <w:t xml:space="preserve"> les clients des Banques Populaires et des Caisses d’Epargne pourront recevoir et émettre des virements instantanés entre les seuls établissements du Groupe</w:t>
            </w:r>
            <w:r w:rsidRPr="0055727B">
              <w:rPr>
                <w:rFonts w:ascii="Times New Roman" w:hAnsi="Times New Roman" w:cs="Times New Roman"/>
                <w:sz w:val="20"/>
                <w:szCs w:val="20"/>
              </w:rPr>
              <w:t xml:space="preserve"> et sur le seul territoire national. Les autres établissements bancaires français et de la zone SEPA devraient déployer ce service au cours du second semestre 2018 et courant 2019.</w:t>
            </w:r>
          </w:p>
          <w:p w:rsidR="00A90ECC" w:rsidRPr="0055727B" w:rsidRDefault="00A90ECC" w:rsidP="0055727B">
            <w:pPr>
              <w:pStyle w:val="Paragraphedeliste"/>
              <w:numPr>
                <w:ilvl w:val="0"/>
                <w:numId w:val="16"/>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Le virement SEPA instantané sera paramétré avec un montant maximum de 15 000 euros :</w:t>
            </w:r>
          </w:p>
          <w:p w:rsidR="00A90ECC" w:rsidRPr="0055727B" w:rsidRDefault="00A90ECC" w:rsidP="0055727B">
            <w:pPr>
              <w:numPr>
                <w:ilvl w:val="0"/>
                <w:numId w:val="17"/>
              </w:numPr>
              <w:ind w:left="460" w:hanging="176"/>
              <w:jc w:val="both"/>
              <w:rPr>
                <w:rFonts w:ascii="Times New Roman" w:hAnsi="Times New Roman" w:cs="Times New Roman"/>
                <w:sz w:val="20"/>
                <w:szCs w:val="20"/>
              </w:rPr>
            </w:pPr>
            <w:r w:rsidRPr="0055727B">
              <w:rPr>
                <w:rFonts w:ascii="Times New Roman" w:hAnsi="Times New Roman" w:cs="Times New Roman"/>
                <w:sz w:val="20"/>
                <w:szCs w:val="20"/>
              </w:rPr>
              <w:t xml:space="preserve">Le bénéficiaire reçoit son argent en </w:t>
            </w:r>
            <w:r w:rsidRPr="0055727B">
              <w:rPr>
                <w:rFonts w:ascii="Times New Roman" w:hAnsi="Times New Roman" w:cs="Times New Roman"/>
                <w:b/>
                <w:bCs/>
                <w:sz w:val="20"/>
                <w:szCs w:val="20"/>
              </w:rPr>
              <w:t>moins de 10 secondes</w:t>
            </w:r>
            <w:r w:rsidRPr="0055727B">
              <w:rPr>
                <w:rFonts w:ascii="Times New Roman" w:hAnsi="Times New Roman" w:cs="Times New Roman"/>
                <w:sz w:val="20"/>
                <w:szCs w:val="20"/>
              </w:rPr>
              <w:t xml:space="preserve"> (délai moyen qui ne peut dépasser 20 secondes).</w:t>
            </w:r>
          </w:p>
          <w:p w:rsidR="00A90ECC" w:rsidRPr="0055727B" w:rsidRDefault="00A90ECC" w:rsidP="0055727B">
            <w:pPr>
              <w:numPr>
                <w:ilvl w:val="0"/>
                <w:numId w:val="17"/>
              </w:numPr>
              <w:ind w:left="460" w:hanging="176"/>
              <w:jc w:val="both"/>
              <w:rPr>
                <w:rFonts w:ascii="Times New Roman" w:hAnsi="Times New Roman" w:cs="Times New Roman"/>
                <w:sz w:val="20"/>
                <w:szCs w:val="20"/>
              </w:rPr>
            </w:pPr>
            <w:r w:rsidRPr="0055727B">
              <w:rPr>
                <w:rFonts w:ascii="Times New Roman" w:hAnsi="Times New Roman" w:cs="Times New Roman"/>
                <w:sz w:val="20"/>
                <w:szCs w:val="20"/>
              </w:rPr>
              <w:t xml:space="preserve">Le service est disponible sans interruption </w:t>
            </w:r>
            <w:r w:rsidRPr="0055727B">
              <w:rPr>
                <w:rFonts w:ascii="Times New Roman" w:hAnsi="Times New Roman" w:cs="Times New Roman"/>
                <w:b/>
                <w:bCs/>
                <w:sz w:val="20"/>
                <w:szCs w:val="20"/>
              </w:rPr>
              <w:t>24 h/ 24, 7 j/7 tous les jours de l’année</w:t>
            </w:r>
            <w:r w:rsidRPr="0055727B">
              <w:rPr>
                <w:rFonts w:ascii="Times New Roman" w:hAnsi="Times New Roman" w:cs="Times New Roman"/>
                <w:sz w:val="20"/>
                <w:szCs w:val="20"/>
              </w:rPr>
              <w:t>.</w:t>
            </w:r>
          </w:p>
          <w:p w:rsidR="00A90ECC" w:rsidRPr="0055727B" w:rsidRDefault="00A90ECC" w:rsidP="0055727B">
            <w:pPr>
              <w:numPr>
                <w:ilvl w:val="0"/>
                <w:numId w:val="17"/>
              </w:numPr>
              <w:ind w:left="460" w:hanging="176"/>
              <w:jc w:val="both"/>
              <w:rPr>
                <w:rFonts w:ascii="Times New Roman" w:hAnsi="Times New Roman" w:cs="Times New Roman"/>
                <w:sz w:val="20"/>
                <w:szCs w:val="20"/>
              </w:rPr>
            </w:pPr>
            <w:r w:rsidRPr="0055727B">
              <w:rPr>
                <w:rFonts w:ascii="Times New Roman" w:hAnsi="Times New Roman" w:cs="Times New Roman"/>
                <w:sz w:val="20"/>
                <w:szCs w:val="20"/>
              </w:rPr>
              <w:t xml:space="preserve">L’émetteur du virement instantané est </w:t>
            </w:r>
            <w:r w:rsidRPr="0055727B">
              <w:rPr>
                <w:rFonts w:ascii="Times New Roman" w:hAnsi="Times New Roman" w:cs="Times New Roman"/>
                <w:b/>
                <w:bCs/>
                <w:sz w:val="20"/>
                <w:szCs w:val="20"/>
              </w:rPr>
              <w:t>facturé 1€ par opération</w:t>
            </w:r>
            <w:r w:rsidRPr="0055727B">
              <w:rPr>
                <w:rFonts w:ascii="Times New Roman" w:hAnsi="Times New Roman" w:cs="Times New Roman"/>
                <w:sz w:val="20"/>
                <w:szCs w:val="20"/>
              </w:rPr>
              <w:t xml:space="preserve">. </w:t>
            </w:r>
          </w:p>
          <w:p w:rsidR="00A90ECC" w:rsidRPr="0055727B" w:rsidRDefault="00A90ECC" w:rsidP="0055727B">
            <w:pPr>
              <w:numPr>
                <w:ilvl w:val="0"/>
                <w:numId w:val="17"/>
              </w:numPr>
              <w:ind w:left="460" w:hanging="176"/>
              <w:jc w:val="both"/>
              <w:rPr>
                <w:rFonts w:ascii="Times New Roman" w:hAnsi="Times New Roman" w:cs="Times New Roman"/>
                <w:sz w:val="20"/>
                <w:szCs w:val="20"/>
                <w:lang w:eastAsia="fr-FR"/>
              </w:rPr>
            </w:pPr>
            <w:r w:rsidRPr="0055727B">
              <w:rPr>
                <w:rFonts w:ascii="Times New Roman" w:hAnsi="Times New Roman" w:cs="Times New Roman"/>
                <w:sz w:val="20"/>
                <w:szCs w:val="20"/>
              </w:rPr>
              <w:t xml:space="preserve">L’utilisation du service est soumise à l’enrôlement préalable du Client émetteur du virement sur </w:t>
            </w:r>
            <w:r w:rsidRPr="0055727B">
              <w:rPr>
                <w:rFonts w:ascii="Times New Roman" w:hAnsi="Times New Roman" w:cs="Times New Roman"/>
                <w:b/>
                <w:bCs/>
                <w:sz w:val="20"/>
                <w:szCs w:val="20"/>
              </w:rPr>
              <w:t>Secur’Pass</w:t>
            </w:r>
            <w:r w:rsidRPr="0055727B">
              <w:rPr>
                <w:rFonts w:ascii="Times New Roman" w:hAnsi="Times New Roman" w:cs="Times New Roman"/>
                <w:sz w:val="20"/>
                <w:szCs w:val="20"/>
              </w:rPr>
              <w:t xml:space="preserve"> (Plus d’informations dans la note d’information DMA-INF/18.011 disponible le 12 février)</w:t>
            </w:r>
          </w:p>
          <w:p w:rsidR="00A90ECC" w:rsidRPr="0055727B" w:rsidRDefault="00A90ECC" w:rsidP="0055727B">
            <w:pPr>
              <w:pStyle w:val="Paragraphedeliste"/>
              <w:numPr>
                <w:ilvl w:val="0"/>
                <w:numId w:val="18"/>
              </w:numPr>
              <w:ind w:left="176" w:hanging="176"/>
              <w:contextualSpacing w:val="0"/>
              <w:jc w:val="both"/>
              <w:rPr>
                <w:rFonts w:ascii="Times New Roman" w:hAnsi="Times New Roman" w:cs="Times New Roman"/>
                <w:color w:val="1F497D"/>
                <w:sz w:val="20"/>
                <w:szCs w:val="20"/>
              </w:rPr>
            </w:pPr>
            <w:r w:rsidRPr="0055727B">
              <w:rPr>
                <w:rFonts w:ascii="Times New Roman" w:hAnsi="Times New Roman" w:cs="Times New Roman"/>
                <w:sz w:val="20"/>
                <w:szCs w:val="20"/>
              </w:rPr>
              <w:t xml:space="preserve">En raison du lancement, des modifications à la convention de compte de dépôt sont apportées. Conformément à la règlementation, </w:t>
            </w:r>
            <w:r w:rsidRPr="0055727B">
              <w:rPr>
                <w:rFonts w:ascii="Times New Roman" w:hAnsi="Times New Roman" w:cs="Times New Roman"/>
                <w:b/>
                <w:bCs/>
                <w:sz w:val="20"/>
                <w:szCs w:val="20"/>
              </w:rPr>
              <w:t>vos clients sont informés par avenant via message relevé de compte et MSI courant février</w:t>
            </w:r>
            <w:r w:rsidRPr="0055727B">
              <w:rPr>
                <w:rFonts w:ascii="Times New Roman" w:hAnsi="Times New Roman" w:cs="Times New Roman"/>
                <w:sz w:val="20"/>
                <w:szCs w:val="20"/>
              </w:rPr>
              <w:t xml:space="preserve">. L’avenant est consultable sur le </w:t>
            </w:r>
            <w:hyperlink r:id="rId20" w:history="1">
              <w:r w:rsidRPr="0055727B">
                <w:rPr>
                  <w:rStyle w:val="Lienhypertexte"/>
                  <w:rFonts w:ascii="Times New Roman" w:hAnsi="Times New Roman" w:cs="Times New Roman"/>
                  <w:sz w:val="20"/>
                  <w:szCs w:val="20"/>
                </w:rPr>
                <w:t>site Caisse d’Epargne</w:t>
              </w:r>
            </w:hyperlink>
            <w:r w:rsidRPr="0055727B">
              <w:rPr>
                <w:rFonts w:ascii="Times New Roman" w:hAnsi="Times New Roman" w:cs="Times New Roman"/>
                <w:sz w:val="20"/>
                <w:szCs w:val="20"/>
              </w:rPr>
              <w:t>, rubrique Tarifs et informations réglementaires.</w:t>
            </w:r>
            <w:r w:rsidRPr="0055727B">
              <w:rPr>
                <w:rFonts w:ascii="Times New Roman" w:hAnsi="Times New Roman" w:cs="Times New Roman"/>
                <w:color w:val="1F497D"/>
                <w:sz w:val="20"/>
                <w:szCs w:val="20"/>
              </w:rPr>
              <w:br/>
            </w:r>
            <w:r w:rsidRPr="0055727B">
              <w:rPr>
                <w:rFonts w:ascii="Times New Roman" w:hAnsi="Times New Roman" w:cs="Times New Roman"/>
                <w:sz w:val="20"/>
                <w:szCs w:val="20"/>
              </w:rPr>
              <w:t>Du 1</w:t>
            </w:r>
            <w:r w:rsidRPr="0055727B">
              <w:rPr>
                <w:rFonts w:ascii="Times New Roman" w:hAnsi="Times New Roman" w:cs="Times New Roman"/>
                <w:sz w:val="20"/>
                <w:szCs w:val="20"/>
                <w:vertAlign w:val="superscript"/>
              </w:rPr>
              <w:t>er</w:t>
            </w:r>
            <w:r w:rsidRPr="0055727B">
              <w:rPr>
                <w:rFonts w:ascii="Times New Roman" w:hAnsi="Times New Roman" w:cs="Times New Roman"/>
                <w:sz w:val="20"/>
                <w:szCs w:val="20"/>
              </w:rPr>
              <w:t xml:space="preserve"> au 5 février, certains clients ont été informés par message relevé de compte d’une date d’application au 23 avril, hors la mise en marché a été repoussée au 29 mai 2018. Un nouveau message sera repositionné le mois prochain.</w:t>
            </w:r>
          </w:p>
        </w:tc>
      </w:tr>
      <w:tr w:rsidR="00A90ECC" w:rsidRPr="00E81F6E" w:rsidTr="00AF3BE3">
        <w:trPr>
          <w:trHeight w:val="248"/>
        </w:trPr>
        <w:tc>
          <w:tcPr>
            <w:tcW w:w="1560" w:type="dxa"/>
            <w:tcBorders>
              <w:bottom w:val="single" w:sz="4" w:space="0" w:color="auto"/>
            </w:tcBorders>
          </w:tcPr>
          <w:p w:rsidR="00A90ECC" w:rsidRDefault="00A90ECC">
            <w:r w:rsidRPr="008745CA">
              <w:rPr>
                <w:rFonts w:ascii="Times New Roman" w:hAnsi="Times New Roman" w:cs="Times New Roman"/>
                <w:b/>
                <w:bCs/>
                <w:sz w:val="20"/>
                <w:szCs w:val="20"/>
              </w:rPr>
              <w:t>Com. DMA</w:t>
            </w:r>
          </w:p>
        </w:tc>
        <w:tc>
          <w:tcPr>
            <w:tcW w:w="1843" w:type="dxa"/>
            <w:tcBorders>
              <w:bottom w:val="single" w:sz="4" w:space="0" w:color="auto"/>
            </w:tcBorders>
          </w:tcPr>
          <w:p w:rsidR="00A90ECC" w:rsidRPr="00A90ECC" w:rsidRDefault="00A90ECC">
            <w:pPr>
              <w:spacing w:after="200" w:line="276" w:lineRule="auto"/>
              <w:rPr>
                <w:rFonts w:ascii="Times New Roman" w:hAnsi="Times New Roman" w:cs="Times New Roman"/>
                <w:b/>
                <w:bCs/>
                <w:sz w:val="20"/>
                <w:szCs w:val="20"/>
              </w:rPr>
            </w:pPr>
            <w:r w:rsidRPr="00A90ECC">
              <w:rPr>
                <w:rFonts w:ascii="Times New Roman" w:hAnsi="Times New Roman" w:cs="Times New Roman"/>
                <w:b/>
                <w:bCs/>
                <w:sz w:val="20"/>
                <w:szCs w:val="20"/>
              </w:rPr>
              <w:t>Lancement de la carte à cryptogramme dynamique</w:t>
            </w:r>
          </w:p>
        </w:tc>
        <w:tc>
          <w:tcPr>
            <w:tcW w:w="12332" w:type="dxa"/>
            <w:tcBorders>
              <w:bottom w:val="single" w:sz="4" w:space="0" w:color="auto"/>
            </w:tcBorders>
            <w:shd w:val="clear" w:color="auto" w:fill="auto"/>
          </w:tcPr>
          <w:p w:rsidR="0055727B" w:rsidRPr="0055727B" w:rsidRDefault="0055727B" w:rsidP="0055727B">
            <w:pPr>
              <w:pStyle w:val="Paragraphedeliste"/>
              <w:numPr>
                <w:ilvl w:val="0"/>
                <w:numId w:val="18"/>
              </w:numPr>
              <w:ind w:left="176" w:hanging="176"/>
              <w:contextualSpacing w:val="0"/>
              <w:jc w:val="both"/>
              <w:rPr>
                <w:rFonts w:ascii="Times New Roman" w:hAnsi="Times New Roman" w:cs="Times New Roman"/>
                <w:b/>
                <w:bCs/>
                <w:sz w:val="20"/>
                <w:szCs w:val="20"/>
              </w:rPr>
            </w:pPr>
            <w:r w:rsidRPr="0055727B">
              <w:rPr>
                <w:rFonts w:ascii="Times New Roman" w:hAnsi="Times New Roman" w:cs="Times New Roman"/>
                <w:b/>
                <w:bCs/>
                <w:sz w:val="20"/>
                <w:szCs w:val="20"/>
              </w:rPr>
              <w:t xml:space="preserve">Suite à un incident technique, le lancement de la carte DCVV est reporté de quelques jours. Nous revenons vers vous dans les meilleurs délais. </w:t>
            </w:r>
          </w:p>
          <w:p w:rsidR="0055727B" w:rsidRPr="0055727B" w:rsidRDefault="0055727B" w:rsidP="0055727B">
            <w:pPr>
              <w:pStyle w:val="Paragraphedeliste"/>
              <w:numPr>
                <w:ilvl w:val="0"/>
                <w:numId w:val="18"/>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Grâce à cette carte dotée d’une nouvelle technologie (appelée « motion code » ou DCVV), les 3 chiffres du cryptogramme s’affichent sur un mini écran ultra fin et changent toutes les 45 minutes. Ainsi, en cas de vol des données, ce dispositif réduit le risque d’utilisation frauduleuse de la carte, puisque le code aura changé. Pour rappel, la fonctionnalité DCVV est disponible sur les cartes Visa </w:t>
            </w:r>
            <w:proofErr w:type="spellStart"/>
            <w:r w:rsidRPr="0055727B">
              <w:rPr>
                <w:rFonts w:ascii="Times New Roman" w:hAnsi="Times New Roman" w:cs="Times New Roman"/>
                <w:sz w:val="20"/>
                <w:szCs w:val="20"/>
              </w:rPr>
              <w:t>Classic</w:t>
            </w:r>
            <w:proofErr w:type="spellEnd"/>
            <w:r w:rsidRPr="0055727B">
              <w:rPr>
                <w:rFonts w:ascii="Times New Roman" w:hAnsi="Times New Roman" w:cs="Times New Roman"/>
                <w:sz w:val="20"/>
                <w:szCs w:val="20"/>
              </w:rPr>
              <w:t xml:space="preserve">, Premier et </w:t>
            </w:r>
            <w:proofErr w:type="spellStart"/>
            <w:r w:rsidRPr="0055727B">
              <w:rPr>
                <w:rFonts w:ascii="Times New Roman" w:hAnsi="Times New Roman" w:cs="Times New Roman"/>
                <w:sz w:val="20"/>
                <w:szCs w:val="20"/>
              </w:rPr>
              <w:t>Platinum</w:t>
            </w:r>
            <w:proofErr w:type="spellEnd"/>
            <w:r w:rsidRPr="0055727B">
              <w:rPr>
                <w:rFonts w:ascii="Times New Roman" w:hAnsi="Times New Roman" w:cs="Times New Roman"/>
                <w:sz w:val="20"/>
                <w:szCs w:val="20"/>
              </w:rPr>
              <w:t>, à Débit Différé.</w:t>
            </w:r>
          </w:p>
          <w:p w:rsidR="00A90ECC" w:rsidRPr="0055727B" w:rsidRDefault="0055727B" w:rsidP="0055727B">
            <w:pPr>
              <w:pStyle w:val="Paragraphedeliste"/>
              <w:numPr>
                <w:ilvl w:val="0"/>
                <w:numId w:val="18"/>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Retrouvez tous les éléments dans la </w:t>
            </w:r>
            <w:hyperlink r:id="rId21" w:history="1">
              <w:r w:rsidRPr="0055727B">
                <w:rPr>
                  <w:rStyle w:val="Lienhypertexte"/>
                  <w:rFonts w:ascii="Times New Roman" w:hAnsi="Times New Roman" w:cs="Times New Roman"/>
                  <w:sz w:val="20"/>
                  <w:szCs w:val="20"/>
                </w:rPr>
                <w:t>note d’information DMA-INF/18.009</w:t>
              </w:r>
            </w:hyperlink>
          </w:p>
        </w:tc>
      </w:tr>
      <w:tr w:rsidR="00A90ECC" w:rsidRPr="00E81F6E" w:rsidTr="00AF3BE3">
        <w:trPr>
          <w:trHeight w:val="248"/>
        </w:trPr>
        <w:tc>
          <w:tcPr>
            <w:tcW w:w="1560" w:type="dxa"/>
            <w:tcBorders>
              <w:bottom w:val="single" w:sz="4" w:space="0" w:color="auto"/>
            </w:tcBorders>
          </w:tcPr>
          <w:p w:rsidR="00A90ECC" w:rsidRDefault="00A90ECC">
            <w:r w:rsidRPr="008745CA">
              <w:rPr>
                <w:rFonts w:ascii="Times New Roman" w:hAnsi="Times New Roman" w:cs="Times New Roman"/>
                <w:b/>
                <w:bCs/>
                <w:sz w:val="20"/>
                <w:szCs w:val="20"/>
              </w:rPr>
              <w:t>Com. DMA</w:t>
            </w:r>
          </w:p>
        </w:tc>
        <w:tc>
          <w:tcPr>
            <w:tcW w:w="1843" w:type="dxa"/>
            <w:tcBorders>
              <w:bottom w:val="single" w:sz="4" w:space="0" w:color="auto"/>
            </w:tcBorders>
          </w:tcPr>
          <w:p w:rsidR="00A90ECC" w:rsidRPr="00A90ECC" w:rsidRDefault="00A90ECC">
            <w:pPr>
              <w:spacing w:after="200" w:line="276" w:lineRule="auto"/>
              <w:rPr>
                <w:rFonts w:ascii="Times New Roman" w:hAnsi="Times New Roman" w:cs="Times New Roman"/>
                <w:b/>
                <w:bCs/>
                <w:sz w:val="20"/>
                <w:szCs w:val="20"/>
              </w:rPr>
            </w:pPr>
            <w:r w:rsidRPr="00A90ECC">
              <w:rPr>
                <w:rFonts w:ascii="Times New Roman" w:hAnsi="Times New Roman" w:cs="Times New Roman"/>
                <w:b/>
                <w:bCs/>
                <w:sz w:val="20"/>
                <w:szCs w:val="20"/>
              </w:rPr>
              <w:t>Plan d’Actions Marketing BDD 2018</w:t>
            </w:r>
          </w:p>
        </w:tc>
        <w:tc>
          <w:tcPr>
            <w:tcW w:w="12332" w:type="dxa"/>
            <w:tcBorders>
              <w:bottom w:val="single" w:sz="4" w:space="0" w:color="auto"/>
            </w:tcBorders>
            <w:shd w:val="clear" w:color="auto" w:fill="auto"/>
          </w:tcPr>
          <w:p w:rsidR="00A90ECC" w:rsidRPr="0055727B" w:rsidRDefault="00A90ECC" w:rsidP="0055727B">
            <w:pPr>
              <w:pStyle w:val="Paragraphedeliste"/>
              <w:numPr>
                <w:ilvl w:val="0"/>
                <w:numId w:val="20"/>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Comme chaque année, un Plan d’Actions Marketing (PAM) est élaboré. Ce dernier poursuit plusieurs objectifs :</w:t>
            </w:r>
          </w:p>
          <w:p w:rsidR="00A90ECC" w:rsidRPr="0055727B" w:rsidRDefault="00A90ECC" w:rsidP="0055727B">
            <w:pPr>
              <w:pStyle w:val="Paragraphedeliste"/>
              <w:numPr>
                <w:ilvl w:val="1"/>
                <w:numId w:val="20"/>
              </w:numPr>
              <w:ind w:left="460" w:hanging="176"/>
              <w:contextualSpacing w:val="0"/>
              <w:jc w:val="both"/>
              <w:rPr>
                <w:rFonts w:ascii="Times New Roman" w:eastAsia="Times New Roman" w:hAnsi="Times New Roman" w:cs="Times New Roman"/>
                <w:sz w:val="20"/>
                <w:szCs w:val="20"/>
                <w:lang w:eastAsia="fr-FR"/>
              </w:rPr>
            </w:pPr>
            <w:r w:rsidRPr="0055727B">
              <w:rPr>
                <w:rFonts w:ascii="Times New Roman" w:hAnsi="Times New Roman" w:cs="Times New Roman"/>
                <w:b/>
                <w:bCs/>
                <w:sz w:val="20"/>
                <w:szCs w:val="20"/>
              </w:rPr>
              <w:t>Replacer nos ambitions dans leur contexte</w:t>
            </w:r>
            <w:r w:rsidRPr="0055727B">
              <w:rPr>
                <w:rFonts w:ascii="Times New Roman" w:hAnsi="Times New Roman" w:cs="Times New Roman"/>
                <w:sz w:val="20"/>
                <w:szCs w:val="20"/>
              </w:rPr>
              <w:t xml:space="preserve"> en mettant en évidence les dynamiques de nos activités Particuliers et Professionnels, au regard des tendances de marché et des évolutions réglementaires qui les impactent.</w:t>
            </w:r>
          </w:p>
          <w:p w:rsidR="00A90ECC" w:rsidRPr="0055727B" w:rsidRDefault="00A90ECC" w:rsidP="0055727B">
            <w:pPr>
              <w:pStyle w:val="Paragraphedeliste"/>
              <w:numPr>
                <w:ilvl w:val="1"/>
                <w:numId w:val="20"/>
              </w:numPr>
              <w:ind w:left="460" w:hanging="176"/>
              <w:contextualSpacing w:val="0"/>
              <w:jc w:val="both"/>
              <w:rPr>
                <w:rFonts w:ascii="Times New Roman" w:hAnsi="Times New Roman" w:cs="Times New Roman"/>
                <w:sz w:val="20"/>
                <w:szCs w:val="20"/>
              </w:rPr>
            </w:pPr>
            <w:r w:rsidRPr="0055727B">
              <w:rPr>
                <w:rFonts w:ascii="Times New Roman" w:hAnsi="Times New Roman" w:cs="Times New Roman"/>
                <w:b/>
                <w:bCs/>
                <w:sz w:val="20"/>
                <w:szCs w:val="20"/>
              </w:rPr>
              <w:t>Orienter l’action commerciale et donner les outils permettant de stimuler la performance</w:t>
            </w:r>
            <w:r w:rsidRPr="0055727B">
              <w:rPr>
                <w:rFonts w:ascii="Times New Roman" w:hAnsi="Times New Roman" w:cs="Times New Roman"/>
                <w:sz w:val="20"/>
                <w:szCs w:val="20"/>
              </w:rPr>
              <w:t> :</w:t>
            </w:r>
          </w:p>
          <w:p w:rsidR="00A90ECC" w:rsidRPr="0055727B" w:rsidRDefault="00A90ECC" w:rsidP="0055727B">
            <w:pPr>
              <w:pStyle w:val="Paragraphedeliste"/>
              <w:numPr>
                <w:ilvl w:val="2"/>
                <w:numId w:val="21"/>
              </w:numPr>
              <w:ind w:left="709" w:hanging="175"/>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pour chacune des </w:t>
            </w:r>
            <w:r w:rsidRPr="0055727B">
              <w:rPr>
                <w:rFonts w:ascii="Times New Roman" w:hAnsi="Times New Roman" w:cs="Times New Roman"/>
                <w:b/>
                <w:bCs/>
                <w:sz w:val="20"/>
                <w:szCs w:val="20"/>
              </w:rPr>
              <w:t>ambitions</w:t>
            </w:r>
            <w:r w:rsidRPr="0055727B">
              <w:rPr>
                <w:rFonts w:ascii="Times New Roman" w:hAnsi="Times New Roman" w:cs="Times New Roman"/>
                <w:sz w:val="20"/>
                <w:szCs w:val="20"/>
              </w:rPr>
              <w:t xml:space="preserve"> fixées, il rappelle les </w:t>
            </w:r>
            <w:r w:rsidRPr="0055727B">
              <w:rPr>
                <w:rFonts w:ascii="Times New Roman" w:hAnsi="Times New Roman" w:cs="Times New Roman"/>
                <w:b/>
                <w:bCs/>
                <w:sz w:val="20"/>
                <w:szCs w:val="20"/>
              </w:rPr>
              <w:t>principaux objectifs</w:t>
            </w:r>
          </w:p>
          <w:p w:rsidR="00A90ECC" w:rsidRPr="0055727B" w:rsidRDefault="00A90ECC" w:rsidP="0055727B">
            <w:pPr>
              <w:pStyle w:val="Paragraphedeliste"/>
              <w:numPr>
                <w:ilvl w:val="2"/>
                <w:numId w:val="21"/>
              </w:numPr>
              <w:ind w:left="709" w:hanging="175"/>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il propose ensuite les </w:t>
            </w:r>
            <w:r w:rsidRPr="0055727B">
              <w:rPr>
                <w:rFonts w:ascii="Times New Roman" w:hAnsi="Times New Roman" w:cs="Times New Roman"/>
                <w:b/>
                <w:bCs/>
                <w:sz w:val="20"/>
                <w:szCs w:val="20"/>
              </w:rPr>
              <w:t>leviers à disposition</w:t>
            </w:r>
            <w:r w:rsidRPr="0055727B">
              <w:rPr>
                <w:rFonts w:ascii="Times New Roman" w:hAnsi="Times New Roman" w:cs="Times New Roman"/>
                <w:sz w:val="20"/>
                <w:szCs w:val="20"/>
              </w:rPr>
              <w:t xml:space="preserve"> pour les atteindre</w:t>
            </w:r>
          </w:p>
          <w:p w:rsidR="00A90ECC" w:rsidRPr="0055727B" w:rsidRDefault="00A90ECC" w:rsidP="0055727B">
            <w:pPr>
              <w:pStyle w:val="Paragraphedeliste"/>
              <w:numPr>
                <w:ilvl w:val="2"/>
                <w:numId w:val="21"/>
              </w:numPr>
              <w:ind w:left="709" w:hanging="175"/>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il présente enfin un </w:t>
            </w:r>
            <w:r w:rsidRPr="0055727B">
              <w:rPr>
                <w:rFonts w:ascii="Times New Roman" w:hAnsi="Times New Roman" w:cs="Times New Roman"/>
                <w:b/>
                <w:bCs/>
                <w:sz w:val="20"/>
                <w:szCs w:val="20"/>
              </w:rPr>
              <w:t>calendrier</w:t>
            </w:r>
            <w:r w:rsidRPr="0055727B">
              <w:rPr>
                <w:rFonts w:ascii="Times New Roman" w:hAnsi="Times New Roman" w:cs="Times New Roman"/>
                <w:sz w:val="20"/>
                <w:szCs w:val="20"/>
              </w:rPr>
              <w:t xml:space="preserve"> des temps forts et actions commerciales</w:t>
            </w:r>
          </w:p>
          <w:p w:rsidR="00A90ECC" w:rsidRPr="0055727B" w:rsidRDefault="00A90ECC" w:rsidP="0055727B">
            <w:pPr>
              <w:pStyle w:val="Paragraphedeliste"/>
              <w:numPr>
                <w:ilvl w:val="0"/>
                <w:numId w:val="21"/>
              </w:numPr>
              <w:ind w:left="176" w:hanging="176"/>
              <w:contextualSpacing w:val="0"/>
              <w:jc w:val="both"/>
              <w:rPr>
                <w:rFonts w:ascii="Times New Roman" w:hAnsi="Times New Roman" w:cs="Times New Roman"/>
                <w:sz w:val="20"/>
                <w:szCs w:val="20"/>
              </w:rPr>
            </w:pPr>
            <w:r w:rsidRPr="0055727B">
              <w:rPr>
                <w:rFonts w:ascii="Times New Roman" w:hAnsi="Times New Roman" w:cs="Times New Roman"/>
                <w:sz w:val="20"/>
                <w:szCs w:val="20"/>
              </w:rPr>
              <w:t xml:space="preserve">Retrouvez le PAM 2018 dans la Rubrique des Commerciaux/ Actions Commerciales ou </w:t>
            </w:r>
            <w:hyperlink r:id="rId22" w:history="1">
              <w:r w:rsidRPr="0055727B">
                <w:rPr>
                  <w:rStyle w:val="Lienhypertexte"/>
                  <w:rFonts w:ascii="Times New Roman" w:hAnsi="Times New Roman" w:cs="Times New Roman"/>
                  <w:sz w:val="20"/>
                  <w:szCs w:val="20"/>
                </w:rPr>
                <w:t>CLIQUEZ ICI</w:t>
              </w:r>
            </w:hyperlink>
          </w:p>
        </w:tc>
      </w:tr>
      <w:tr w:rsidR="00A90ECC" w:rsidRPr="00E81F6E" w:rsidTr="00AF3BE3">
        <w:trPr>
          <w:trHeight w:val="248"/>
        </w:trPr>
        <w:tc>
          <w:tcPr>
            <w:tcW w:w="1560" w:type="dxa"/>
            <w:tcBorders>
              <w:bottom w:val="single" w:sz="4" w:space="0" w:color="auto"/>
            </w:tcBorders>
          </w:tcPr>
          <w:p w:rsidR="00A90ECC" w:rsidRDefault="00A90ECC">
            <w:r w:rsidRPr="008745CA">
              <w:rPr>
                <w:rFonts w:ascii="Times New Roman" w:hAnsi="Times New Roman" w:cs="Times New Roman"/>
                <w:b/>
                <w:bCs/>
                <w:sz w:val="20"/>
                <w:szCs w:val="20"/>
              </w:rPr>
              <w:t>Com. DMA</w:t>
            </w:r>
          </w:p>
        </w:tc>
        <w:tc>
          <w:tcPr>
            <w:tcW w:w="1843" w:type="dxa"/>
            <w:tcBorders>
              <w:bottom w:val="single" w:sz="4" w:space="0" w:color="auto"/>
            </w:tcBorders>
          </w:tcPr>
          <w:p w:rsidR="00A90ECC" w:rsidRPr="00A90ECC" w:rsidRDefault="00A90ECC">
            <w:pPr>
              <w:spacing w:after="200" w:line="276" w:lineRule="auto"/>
              <w:rPr>
                <w:rFonts w:ascii="Times New Roman" w:hAnsi="Times New Roman" w:cs="Times New Roman"/>
                <w:b/>
                <w:bCs/>
                <w:sz w:val="20"/>
                <w:szCs w:val="20"/>
              </w:rPr>
            </w:pPr>
            <w:r w:rsidRPr="00A90ECC">
              <w:rPr>
                <w:rFonts w:ascii="Times New Roman" w:hAnsi="Times New Roman" w:cs="Times New Roman"/>
                <w:b/>
                <w:bCs/>
                <w:sz w:val="20"/>
                <w:szCs w:val="20"/>
              </w:rPr>
              <w:t>Book Bancarisation 2018</w:t>
            </w:r>
          </w:p>
        </w:tc>
        <w:tc>
          <w:tcPr>
            <w:tcW w:w="12332" w:type="dxa"/>
            <w:tcBorders>
              <w:bottom w:val="single" w:sz="4" w:space="0" w:color="auto"/>
            </w:tcBorders>
            <w:shd w:val="clear" w:color="auto" w:fill="auto"/>
          </w:tcPr>
          <w:p w:rsidR="00A90ECC" w:rsidRPr="00A90ECC" w:rsidRDefault="00A90ECC" w:rsidP="007B511B">
            <w:pPr>
              <w:pStyle w:val="Paragraphedeliste"/>
              <w:numPr>
                <w:ilvl w:val="0"/>
                <w:numId w:val="22"/>
              </w:numPr>
              <w:ind w:left="176" w:hanging="176"/>
              <w:contextualSpacing w:val="0"/>
              <w:jc w:val="both"/>
              <w:rPr>
                <w:rFonts w:ascii="Times New Roman" w:hAnsi="Times New Roman" w:cs="Times New Roman"/>
                <w:sz w:val="20"/>
                <w:szCs w:val="20"/>
              </w:rPr>
            </w:pPr>
            <w:r w:rsidRPr="00A90ECC">
              <w:rPr>
                <w:rFonts w:ascii="Times New Roman" w:hAnsi="Times New Roman" w:cs="Times New Roman"/>
                <w:sz w:val="20"/>
                <w:szCs w:val="20"/>
              </w:rPr>
              <w:t>Depuis 2016, pour mieux vous accompagner sur les enjeux de l’offre Bancarisation, un « Book bancarisation » est à votre disposition. Vous y retrouvez tous les éléments concernant l’offre commerciale, la SAG BAQ, OVMC etc.</w:t>
            </w:r>
          </w:p>
          <w:p w:rsidR="00A90ECC" w:rsidRPr="00A90ECC" w:rsidRDefault="00A90ECC" w:rsidP="007B511B">
            <w:pPr>
              <w:pStyle w:val="Paragraphedeliste"/>
              <w:numPr>
                <w:ilvl w:val="0"/>
                <w:numId w:val="22"/>
              </w:numPr>
              <w:ind w:left="176" w:hanging="176"/>
              <w:contextualSpacing w:val="0"/>
              <w:jc w:val="both"/>
              <w:rPr>
                <w:rFonts w:ascii="Times New Roman" w:eastAsia="Times New Roman" w:hAnsi="Times New Roman" w:cs="Times New Roman"/>
                <w:sz w:val="20"/>
                <w:szCs w:val="20"/>
                <w:lang w:eastAsia="fr-FR"/>
              </w:rPr>
            </w:pPr>
            <w:r w:rsidRPr="00A90ECC">
              <w:rPr>
                <w:rFonts w:ascii="Times New Roman" w:hAnsi="Times New Roman" w:cs="Times New Roman"/>
                <w:b/>
                <w:bCs/>
                <w:sz w:val="20"/>
                <w:szCs w:val="20"/>
              </w:rPr>
              <w:t>La version actualisée 2018 est désormais en ligne</w:t>
            </w:r>
            <w:r w:rsidRPr="00A90ECC">
              <w:rPr>
                <w:rFonts w:ascii="Times New Roman" w:hAnsi="Times New Roman" w:cs="Times New Roman"/>
                <w:sz w:val="20"/>
                <w:szCs w:val="20"/>
              </w:rPr>
              <w:t xml:space="preserve"> sous :</w:t>
            </w:r>
          </w:p>
          <w:p w:rsidR="00A90ECC" w:rsidRPr="00A90ECC" w:rsidRDefault="00A90ECC" w:rsidP="007B511B">
            <w:pPr>
              <w:pStyle w:val="Paragraphedeliste"/>
              <w:numPr>
                <w:ilvl w:val="1"/>
                <w:numId w:val="22"/>
              </w:numPr>
              <w:ind w:left="426" w:hanging="176"/>
              <w:contextualSpacing w:val="0"/>
              <w:jc w:val="both"/>
              <w:rPr>
                <w:rFonts w:ascii="Times New Roman" w:hAnsi="Times New Roman" w:cs="Times New Roman"/>
                <w:sz w:val="20"/>
                <w:szCs w:val="20"/>
              </w:rPr>
            </w:pPr>
            <w:r w:rsidRPr="00A90ECC">
              <w:rPr>
                <w:rFonts w:ascii="Times New Roman" w:hAnsi="Times New Roman" w:cs="Times New Roman"/>
                <w:sz w:val="20"/>
                <w:szCs w:val="20"/>
              </w:rPr>
              <w:t>Easynet : mot-clé « book » ou « bancarisation »</w:t>
            </w:r>
          </w:p>
          <w:p w:rsidR="00A90ECC" w:rsidRPr="00A90ECC" w:rsidRDefault="00A91250" w:rsidP="007B511B">
            <w:pPr>
              <w:pStyle w:val="Paragraphedeliste"/>
              <w:numPr>
                <w:ilvl w:val="1"/>
                <w:numId w:val="22"/>
              </w:numPr>
              <w:ind w:left="426" w:hanging="176"/>
              <w:contextualSpacing w:val="0"/>
              <w:jc w:val="both"/>
              <w:rPr>
                <w:rFonts w:ascii="Times New Roman" w:hAnsi="Times New Roman" w:cs="Times New Roman"/>
                <w:sz w:val="20"/>
                <w:szCs w:val="20"/>
              </w:rPr>
            </w:pPr>
            <w:hyperlink r:id="rId23" w:history="1">
              <w:r w:rsidR="00A90ECC" w:rsidRPr="00A90ECC">
                <w:rPr>
                  <w:rStyle w:val="Lienhypertexte"/>
                  <w:rFonts w:ascii="Times New Roman" w:hAnsi="Times New Roman" w:cs="Times New Roman"/>
                  <w:sz w:val="20"/>
                  <w:szCs w:val="20"/>
                </w:rPr>
                <w:t>La Rubrique des Commerciaux</w:t>
              </w:r>
            </w:hyperlink>
            <w:r w:rsidR="00A90ECC" w:rsidRPr="00A90ECC">
              <w:rPr>
                <w:rFonts w:ascii="Times New Roman" w:hAnsi="Times New Roman" w:cs="Times New Roman"/>
                <w:sz w:val="20"/>
                <w:szCs w:val="20"/>
              </w:rPr>
              <w:t xml:space="preserve"> / Particuliers / Accès Rapides</w:t>
            </w:r>
          </w:p>
        </w:tc>
      </w:tr>
      <w:tr w:rsidR="006A3ECC" w:rsidRPr="00E81F6E" w:rsidTr="00AF3BE3">
        <w:trPr>
          <w:trHeight w:val="248"/>
        </w:trPr>
        <w:tc>
          <w:tcPr>
            <w:tcW w:w="1560" w:type="dxa"/>
            <w:tcBorders>
              <w:bottom w:val="single" w:sz="4" w:space="0" w:color="auto"/>
            </w:tcBorders>
          </w:tcPr>
          <w:p w:rsidR="006A3ECC" w:rsidRPr="008745CA" w:rsidRDefault="006A3ECC">
            <w:pPr>
              <w:rPr>
                <w:rFonts w:ascii="Times New Roman" w:hAnsi="Times New Roman" w:cs="Times New Roman"/>
                <w:b/>
                <w:bCs/>
                <w:sz w:val="20"/>
                <w:szCs w:val="20"/>
              </w:rPr>
            </w:pPr>
            <w:r w:rsidRPr="008745CA">
              <w:rPr>
                <w:rFonts w:ascii="Times New Roman" w:hAnsi="Times New Roman" w:cs="Times New Roman"/>
                <w:b/>
                <w:bCs/>
                <w:sz w:val="20"/>
                <w:szCs w:val="20"/>
              </w:rPr>
              <w:t>Com. DMA</w:t>
            </w:r>
          </w:p>
        </w:tc>
        <w:tc>
          <w:tcPr>
            <w:tcW w:w="1843" w:type="dxa"/>
            <w:tcBorders>
              <w:bottom w:val="single" w:sz="4" w:space="0" w:color="auto"/>
            </w:tcBorders>
          </w:tcPr>
          <w:p w:rsidR="006A3ECC" w:rsidRPr="00495EE9" w:rsidRDefault="006A3ECC" w:rsidP="00320BF1">
            <w:pPr>
              <w:rPr>
                <w:rFonts w:ascii="Calibri" w:hAnsi="Calibri" w:cs="Calibri"/>
                <w:sz w:val="20"/>
                <w:szCs w:val="20"/>
              </w:rPr>
            </w:pPr>
            <w:r>
              <w:rPr>
                <w:rFonts w:ascii="Times New Roman" w:hAnsi="Times New Roman" w:cs="Times New Roman"/>
                <w:b/>
                <w:bCs/>
                <w:sz w:val="20"/>
                <w:szCs w:val="20"/>
              </w:rPr>
              <w:t xml:space="preserve">Dépliants Domilis </w:t>
            </w:r>
          </w:p>
        </w:tc>
        <w:tc>
          <w:tcPr>
            <w:tcW w:w="12332" w:type="dxa"/>
            <w:tcBorders>
              <w:bottom w:val="single" w:sz="4" w:space="0" w:color="auto"/>
            </w:tcBorders>
            <w:shd w:val="clear" w:color="auto" w:fill="auto"/>
          </w:tcPr>
          <w:p w:rsidR="006A3ECC" w:rsidRPr="0068388C" w:rsidRDefault="006A3ECC" w:rsidP="007B511B">
            <w:pPr>
              <w:pStyle w:val="Paragraphedeliste"/>
              <w:numPr>
                <w:ilvl w:val="0"/>
                <w:numId w:val="22"/>
              </w:numPr>
              <w:ind w:left="176" w:hanging="176"/>
              <w:contextualSpacing w:val="0"/>
              <w:jc w:val="both"/>
              <w:rPr>
                <w:rFonts w:ascii="Times New Roman" w:hAnsi="Times New Roman" w:cs="Times New Roman"/>
                <w:sz w:val="20"/>
                <w:szCs w:val="20"/>
              </w:rPr>
            </w:pPr>
            <w:r w:rsidRPr="0068388C">
              <w:rPr>
                <w:rFonts w:ascii="Times New Roman" w:hAnsi="Times New Roman" w:cs="Times New Roman"/>
                <w:sz w:val="20"/>
                <w:szCs w:val="20"/>
              </w:rPr>
              <w:t>La diffusion de</w:t>
            </w:r>
            <w:r>
              <w:rPr>
                <w:rFonts w:ascii="Times New Roman" w:hAnsi="Times New Roman" w:cs="Times New Roman"/>
                <w:sz w:val="20"/>
                <w:szCs w:val="20"/>
              </w:rPr>
              <w:t xml:space="preserve"> nouveaux dépliants</w:t>
            </w:r>
            <w:r w:rsidRPr="0068388C">
              <w:rPr>
                <w:rFonts w:ascii="Times New Roman" w:hAnsi="Times New Roman" w:cs="Times New Roman"/>
                <w:sz w:val="20"/>
                <w:szCs w:val="20"/>
              </w:rPr>
              <w:t xml:space="preserve"> </w:t>
            </w:r>
            <w:r>
              <w:rPr>
                <w:rFonts w:ascii="Times New Roman" w:hAnsi="Times New Roman" w:cs="Times New Roman"/>
                <w:sz w:val="20"/>
                <w:szCs w:val="20"/>
              </w:rPr>
              <w:t>« Domilis »</w:t>
            </w:r>
            <w:r w:rsidRPr="0068388C">
              <w:rPr>
                <w:rFonts w:ascii="Times New Roman" w:hAnsi="Times New Roman" w:cs="Times New Roman"/>
                <w:sz w:val="20"/>
                <w:szCs w:val="20"/>
              </w:rPr>
              <w:t xml:space="preserve"> est en cours.</w:t>
            </w:r>
            <w:r>
              <w:rPr>
                <w:rFonts w:ascii="Times New Roman" w:hAnsi="Times New Roman" w:cs="Times New Roman"/>
                <w:sz w:val="20"/>
                <w:szCs w:val="20"/>
              </w:rPr>
              <w:t xml:space="preserve"> Ces dépliants ont été mis à jour et doivent remplacer les existants dans le mur de Com : la nouvelle offre de bienvenue propose le Bouquet Liberté à 50% pendant 1 an (au lieu de 6 mois)</w:t>
            </w:r>
            <w:r w:rsidRPr="0068388C">
              <w:rPr>
                <w:rFonts w:ascii="Times New Roman" w:hAnsi="Times New Roman" w:cs="Times New Roman"/>
                <w:sz w:val="20"/>
                <w:szCs w:val="20"/>
              </w:rPr>
              <w:t>.</w:t>
            </w:r>
            <w:r>
              <w:rPr>
                <w:rFonts w:ascii="Times New Roman" w:hAnsi="Times New Roman" w:cs="Times New Roman"/>
                <w:sz w:val="20"/>
                <w:szCs w:val="20"/>
              </w:rPr>
              <w:t xml:space="preserve"> Merci de détruire votre stock restant.</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t>Pros</w:t>
            </w:r>
          </w:p>
        </w:tc>
      </w:tr>
      <w:tr w:rsidR="00E60D00" w:rsidRPr="00E81F6E" w:rsidTr="00AF3BE3">
        <w:trPr>
          <w:trHeight w:val="248"/>
        </w:trPr>
        <w:tc>
          <w:tcPr>
            <w:tcW w:w="1560" w:type="dxa"/>
            <w:tcBorders>
              <w:bottom w:val="single" w:sz="4" w:space="0" w:color="auto"/>
            </w:tcBorders>
          </w:tcPr>
          <w:p w:rsidR="00E60D00" w:rsidRPr="00E81F6E" w:rsidRDefault="00E60D00" w:rsidP="00FC10BC">
            <w:pPr>
              <w:rPr>
                <w:rFonts w:ascii="Times New Roman" w:hAnsi="Times New Roman" w:cs="Times New Roman"/>
                <w:b/>
                <w:bCs/>
                <w:sz w:val="20"/>
                <w:szCs w:val="20"/>
              </w:rPr>
            </w:pPr>
            <w:r w:rsidRPr="006E364E">
              <w:rPr>
                <w:rFonts w:ascii="Times New Roman" w:hAnsi="Times New Roman" w:cs="Times New Roman"/>
                <w:b/>
                <w:bCs/>
                <w:sz w:val="20"/>
                <w:szCs w:val="20"/>
              </w:rPr>
              <w:t xml:space="preserve">Com. </w:t>
            </w:r>
            <w:r>
              <w:rPr>
                <w:rFonts w:ascii="Times New Roman" w:hAnsi="Times New Roman" w:cs="Times New Roman"/>
                <w:b/>
                <w:bCs/>
                <w:sz w:val="20"/>
                <w:szCs w:val="20"/>
              </w:rPr>
              <w:t>DMP</w:t>
            </w:r>
          </w:p>
        </w:tc>
        <w:tc>
          <w:tcPr>
            <w:tcW w:w="1843" w:type="dxa"/>
            <w:tcBorders>
              <w:bottom w:val="single" w:sz="4" w:space="0" w:color="auto"/>
            </w:tcBorders>
          </w:tcPr>
          <w:p w:rsidR="00E60D00" w:rsidRDefault="00E60D00">
            <w:pPr>
              <w:rPr>
                <w:rFonts w:ascii="Times New Roman" w:hAnsi="Times New Roman" w:cs="Times New Roman"/>
                <w:b/>
                <w:bCs/>
                <w:sz w:val="20"/>
                <w:szCs w:val="20"/>
              </w:rPr>
            </w:pPr>
            <w:r>
              <w:rPr>
                <w:rFonts w:ascii="Times New Roman" w:hAnsi="Times New Roman" w:cs="Times New Roman"/>
                <w:b/>
                <w:bCs/>
                <w:sz w:val="20"/>
                <w:szCs w:val="20"/>
              </w:rPr>
              <w:t xml:space="preserve">DILIZI – Norme </w:t>
            </w:r>
          </w:p>
          <w:p w:rsidR="00E60D00" w:rsidRDefault="00E60D00">
            <w:pPr>
              <w:rPr>
                <w:rFonts w:ascii="Calibri" w:hAnsi="Calibri" w:cs="Calibri"/>
                <w:sz w:val="20"/>
                <w:szCs w:val="20"/>
              </w:rPr>
            </w:pPr>
            <w:r>
              <w:rPr>
                <w:rFonts w:ascii="Times New Roman" w:hAnsi="Times New Roman" w:cs="Times New Roman"/>
                <w:b/>
                <w:bCs/>
                <w:sz w:val="20"/>
                <w:szCs w:val="20"/>
              </w:rPr>
              <w:t>NF 525</w:t>
            </w:r>
          </w:p>
        </w:tc>
        <w:tc>
          <w:tcPr>
            <w:tcW w:w="12332" w:type="dxa"/>
            <w:tcBorders>
              <w:bottom w:val="single" w:sz="4" w:space="0" w:color="auto"/>
            </w:tcBorders>
            <w:shd w:val="clear" w:color="auto" w:fill="auto"/>
          </w:tcPr>
          <w:p w:rsidR="00E60D00" w:rsidRDefault="00E60D00" w:rsidP="00E60D00">
            <w:pPr>
              <w:numPr>
                <w:ilvl w:val="0"/>
                <w:numId w:val="26"/>
              </w:numPr>
              <w:ind w:left="176" w:hanging="176"/>
              <w:contextualSpacing/>
              <w:jc w:val="both"/>
              <w:rPr>
                <w:rFonts w:ascii="Calibri" w:hAnsi="Calibri" w:cs="Calibri"/>
                <w:sz w:val="20"/>
                <w:szCs w:val="20"/>
              </w:rPr>
            </w:pPr>
            <w:r>
              <w:rPr>
                <w:rFonts w:ascii="Times New Roman" w:hAnsi="Times New Roman" w:cs="Times New Roman"/>
                <w:color w:val="000000"/>
                <w:sz w:val="20"/>
                <w:szCs w:val="20"/>
                <w:lang w:eastAsia="fr-FR"/>
              </w:rPr>
              <w:t>Depuis le 1</w:t>
            </w:r>
            <w:r>
              <w:rPr>
                <w:rFonts w:ascii="Times New Roman" w:hAnsi="Times New Roman" w:cs="Times New Roman"/>
                <w:color w:val="000000"/>
                <w:sz w:val="20"/>
                <w:szCs w:val="20"/>
                <w:vertAlign w:val="superscript"/>
                <w:lang w:eastAsia="fr-FR"/>
              </w:rPr>
              <w:t>er</w:t>
            </w:r>
            <w:r>
              <w:rPr>
                <w:rFonts w:ascii="Times New Roman" w:hAnsi="Times New Roman" w:cs="Times New Roman"/>
                <w:color w:val="000000"/>
                <w:sz w:val="20"/>
                <w:szCs w:val="20"/>
                <w:lang w:eastAsia="fr-FR"/>
              </w:rPr>
              <w:t xml:space="preserve"> janvier 2018, tout commerce doit être équipé d’un système d’encaissement sécurisé et certifié comme le stipule l’article 88 de la loi des finances n°2015-1785 du 29 décembre 2015. Cette nouvelle loi concerne tous les commerçants soumis à la TVA et qui utilisent un logiciel de comptabilité ou un système de caisse pour enregistrer leurs paiements. Si le commerçant ne répond pas à cette obligation, il pourra être sanctionné d’une amende de 7.500€ par système ou logiciel non certifié et contraint de s’équiper dans les 60 jours sous peine de recevoir une nouvelle </w:t>
            </w:r>
            <w:r>
              <w:rPr>
                <w:rFonts w:ascii="Times New Roman" w:hAnsi="Times New Roman" w:cs="Times New Roman"/>
                <w:color w:val="000000"/>
                <w:sz w:val="20"/>
                <w:szCs w:val="20"/>
                <w:lang w:eastAsia="fr-FR"/>
              </w:rPr>
              <w:lastRenderedPageBreak/>
              <w:t>contravention du même montant.</w:t>
            </w:r>
          </w:p>
          <w:p w:rsidR="00E60D00" w:rsidRPr="00E60D00" w:rsidRDefault="00E60D00" w:rsidP="00E60D00">
            <w:pPr>
              <w:numPr>
                <w:ilvl w:val="0"/>
                <w:numId w:val="26"/>
              </w:numPr>
              <w:ind w:left="176" w:hanging="176"/>
              <w:contextualSpacing/>
              <w:jc w:val="both"/>
              <w:rPr>
                <w:sz w:val="20"/>
                <w:szCs w:val="20"/>
              </w:rPr>
            </w:pPr>
            <w:r w:rsidRPr="00E60D00">
              <w:rPr>
                <w:rFonts w:ascii="Times New Roman" w:hAnsi="Times New Roman" w:cs="Times New Roman"/>
                <w:color w:val="000000"/>
                <w:sz w:val="20"/>
                <w:szCs w:val="20"/>
                <w:lang w:eastAsia="fr-FR"/>
              </w:rPr>
              <w:t xml:space="preserve">Le logiciel DILIZI est actuellement en cours de certification par un organisme certificateur accrédité (INFOCERT). En attendant, vous pouvez remettre à vos clients demandeurs une attestation qu’ils pourront présenter en cas de contrôle de l’administration fiscal, en attendant la certification finale courant 2018. </w:t>
            </w:r>
          </w:p>
          <w:p w:rsidR="00E60D00" w:rsidRDefault="00E60D00" w:rsidP="00E60D00">
            <w:pPr>
              <w:numPr>
                <w:ilvl w:val="0"/>
                <w:numId w:val="26"/>
              </w:numPr>
              <w:ind w:left="176" w:hanging="176"/>
              <w:contextualSpacing/>
              <w:jc w:val="both"/>
              <w:rPr>
                <w:rFonts w:ascii="Calibri" w:hAnsi="Calibri" w:cs="Calibri"/>
                <w:sz w:val="20"/>
                <w:szCs w:val="20"/>
              </w:rPr>
            </w:pPr>
            <w:r>
              <w:rPr>
                <w:rFonts w:ascii="Times New Roman" w:hAnsi="Times New Roman" w:cs="Times New Roman"/>
                <w:color w:val="000000"/>
                <w:sz w:val="20"/>
                <w:szCs w:val="20"/>
                <w:lang w:eastAsia="fr-FR"/>
              </w:rPr>
              <w:t xml:space="preserve">L’attestation est disponible dans </w:t>
            </w:r>
            <w:hyperlink r:id="rId24" w:history="1">
              <w:r>
                <w:rPr>
                  <w:rStyle w:val="Lienhypertexte"/>
                  <w:rFonts w:ascii="Times New Roman" w:hAnsi="Times New Roman" w:cs="Times New Roman"/>
                  <w:sz w:val="20"/>
                  <w:szCs w:val="20"/>
                  <w:lang w:eastAsia="fr-FR"/>
                </w:rPr>
                <w:t xml:space="preserve">l’espace Pros de la Rubrique des Commerciaux / Gestion des Flux / </w:t>
              </w:r>
              <w:proofErr w:type="spellStart"/>
              <w:r>
                <w:rPr>
                  <w:rStyle w:val="Lienhypertexte"/>
                  <w:rFonts w:ascii="Times New Roman" w:hAnsi="Times New Roman" w:cs="Times New Roman"/>
                  <w:sz w:val="20"/>
                  <w:szCs w:val="20"/>
                  <w:lang w:eastAsia="fr-FR"/>
                </w:rPr>
                <w:t>Dilizi</w:t>
              </w:r>
              <w:proofErr w:type="spellEnd"/>
              <w:r>
                <w:rPr>
                  <w:rStyle w:val="Lienhypertexte"/>
                  <w:rFonts w:ascii="Times New Roman" w:hAnsi="Times New Roman" w:cs="Times New Roman"/>
                  <w:sz w:val="20"/>
                  <w:szCs w:val="20"/>
                  <w:lang w:eastAsia="fr-FR"/>
                </w:rPr>
                <w:t xml:space="preserve"> / Attestation </w:t>
              </w:r>
              <w:proofErr w:type="spellStart"/>
              <w:r>
                <w:rPr>
                  <w:rStyle w:val="Lienhypertexte"/>
                  <w:rFonts w:ascii="Times New Roman" w:hAnsi="Times New Roman" w:cs="Times New Roman"/>
                  <w:sz w:val="20"/>
                  <w:szCs w:val="20"/>
                  <w:lang w:eastAsia="fr-FR"/>
                </w:rPr>
                <w:t>Dilizi</w:t>
              </w:r>
              <w:proofErr w:type="spellEnd"/>
              <w:r>
                <w:rPr>
                  <w:rStyle w:val="Lienhypertexte"/>
                  <w:rFonts w:ascii="Times New Roman" w:hAnsi="Times New Roman" w:cs="Times New Roman"/>
                  <w:sz w:val="20"/>
                  <w:szCs w:val="20"/>
                  <w:lang w:eastAsia="fr-FR"/>
                </w:rPr>
                <w:t xml:space="preserve"> – Certification</w:t>
              </w:r>
            </w:hyperlink>
            <w:r>
              <w:rPr>
                <w:rFonts w:ascii="Times New Roman" w:hAnsi="Times New Roman" w:cs="Times New Roman"/>
                <w:color w:val="000000"/>
                <w:sz w:val="20"/>
                <w:szCs w:val="20"/>
                <w:lang w:eastAsia="fr-FR"/>
              </w:rPr>
              <w:t xml:space="preserve"> et sur l’espace client du site </w:t>
            </w:r>
            <w:proofErr w:type="spellStart"/>
            <w:r>
              <w:rPr>
                <w:rFonts w:ascii="Times New Roman" w:hAnsi="Times New Roman" w:cs="Times New Roman"/>
                <w:color w:val="000000"/>
                <w:sz w:val="20"/>
                <w:szCs w:val="20"/>
                <w:lang w:eastAsia="fr-FR"/>
              </w:rPr>
              <w:t>Dilizi</w:t>
            </w:r>
            <w:proofErr w:type="spellEnd"/>
            <w:r>
              <w:rPr>
                <w:rFonts w:ascii="Times New Roman" w:hAnsi="Times New Roman" w:cs="Times New Roman"/>
                <w:color w:val="000000"/>
                <w:sz w:val="20"/>
                <w:szCs w:val="20"/>
                <w:lang w:eastAsia="fr-FR"/>
              </w:rPr>
              <w:t xml:space="preserve">, menu « Assistance ». Pour en savoir plus sur la norme NF 525, cliquez </w:t>
            </w:r>
            <w:hyperlink r:id="rId25"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w:t>
            </w:r>
          </w:p>
        </w:tc>
      </w:tr>
      <w:tr w:rsidR="00E60D00" w:rsidRPr="00E81F6E" w:rsidTr="00AF3BE3">
        <w:trPr>
          <w:trHeight w:val="248"/>
        </w:trPr>
        <w:tc>
          <w:tcPr>
            <w:tcW w:w="1560" w:type="dxa"/>
            <w:tcBorders>
              <w:bottom w:val="single" w:sz="4" w:space="0" w:color="auto"/>
            </w:tcBorders>
          </w:tcPr>
          <w:p w:rsidR="00E60D00" w:rsidRDefault="00E60D00">
            <w:r w:rsidRPr="00A5574A">
              <w:rPr>
                <w:rFonts w:ascii="Times New Roman" w:hAnsi="Times New Roman" w:cs="Times New Roman"/>
                <w:b/>
                <w:bCs/>
                <w:sz w:val="20"/>
                <w:szCs w:val="20"/>
              </w:rPr>
              <w:lastRenderedPageBreak/>
              <w:t>Com. DMP</w:t>
            </w:r>
          </w:p>
        </w:tc>
        <w:tc>
          <w:tcPr>
            <w:tcW w:w="1843" w:type="dxa"/>
            <w:tcBorders>
              <w:bottom w:val="single" w:sz="4" w:space="0" w:color="auto"/>
            </w:tcBorders>
          </w:tcPr>
          <w:p w:rsidR="00E60D00" w:rsidRDefault="00E60D00">
            <w:pPr>
              <w:rPr>
                <w:rFonts w:ascii="Times New Roman" w:hAnsi="Times New Roman" w:cs="Times New Roman"/>
                <w:b/>
                <w:bCs/>
                <w:sz w:val="20"/>
                <w:szCs w:val="20"/>
              </w:rPr>
            </w:pPr>
            <w:r>
              <w:rPr>
                <w:rFonts w:ascii="Times New Roman" w:hAnsi="Times New Roman" w:cs="Times New Roman"/>
                <w:b/>
                <w:bCs/>
                <w:sz w:val="20"/>
                <w:szCs w:val="20"/>
              </w:rPr>
              <w:t>Message de la Française des Jeux</w:t>
            </w:r>
          </w:p>
        </w:tc>
        <w:tc>
          <w:tcPr>
            <w:tcW w:w="12332" w:type="dxa"/>
            <w:tcBorders>
              <w:bottom w:val="single" w:sz="4" w:space="0" w:color="auto"/>
            </w:tcBorders>
            <w:shd w:val="clear" w:color="auto" w:fill="auto"/>
          </w:tcPr>
          <w:p w:rsidR="00E60D00" w:rsidRDefault="00E60D00" w:rsidP="00E60D00">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En cas de défaut de provision sur le compte d’un détaillant lors de la présentation d’un prélèvement de la FDJ, il est impératif de rejeter le prélèvement dès l’entrée dans le MAD, ceci afin d’éviter que les charges des impayés nous soient imputées.</w:t>
            </w:r>
          </w:p>
        </w:tc>
      </w:tr>
      <w:tr w:rsidR="00E60D00" w:rsidRPr="00E81F6E" w:rsidTr="00AF3BE3">
        <w:trPr>
          <w:trHeight w:val="248"/>
        </w:trPr>
        <w:tc>
          <w:tcPr>
            <w:tcW w:w="1560" w:type="dxa"/>
            <w:tcBorders>
              <w:bottom w:val="single" w:sz="4" w:space="0" w:color="auto"/>
            </w:tcBorders>
          </w:tcPr>
          <w:p w:rsidR="00E60D00" w:rsidRDefault="00E60D00">
            <w:r w:rsidRPr="00A5574A">
              <w:rPr>
                <w:rFonts w:ascii="Times New Roman" w:hAnsi="Times New Roman" w:cs="Times New Roman"/>
                <w:b/>
                <w:bCs/>
                <w:sz w:val="20"/>
                <w:szCs w:val="20"/>
              </w:rPr>
              <w:t>Com. DMP</w:t>
            </w:r>
          </w:p>
        </w:tc>
        <w:tc>
          <w:tcPr>
            <w:tcW w:w="1843" w:type="dxa"/>
            <w:tcBorders>
              <w:bottom w:val="single" w:sz="4" w:space="0" w:color="auto"/>
            </w:tcBorders>
          </w:tcPr>
          <w:p w:rsidR="00E60D00" w:rsidRDefault="00E60D00">
            <w:pPr>
              <w:rPr>
                <w:rFonts w:ascii="Times New Roman" w:hAnsi="Times New Roman" w:cs="Times New Roman"/>
                <w:b/>
                <w:bCs/>
                <w:sz w:val="20"/>
                <w:szCs w:val="20"/>
              </w:rPr>
            </w:pPr>
            <w:r>
              <w:rPr>
                <w:rFonts w:ascii="Times New Roman" w:hAnsi="Times New Roman" w:cs="Times New Roman"/>
                <w:b/>
                <w:bCs/>
                <w:sz w:val="20"/>
                <w:szCs w:val="20"/>
              </w:rPr>
              <w:t>L’épargne salariale digitale</w:t>
            </w:r>
          </w:p>
        </w:tc>
        <w:tc>
          <w:tcPr>
            <w:tcW w:w="12332" w:type="dxa"/>
            <w:tcBorders>
              <w:bottom w:val="single" w:sz="4" w:space="0" w:color="auto"/>
            </w:tcBorders>
            <w:shd w:val="clear" w:color="auto" w:fill="auto"/>
          </w:tcPr>
          <w:p w:rsidR="00E60D00" w:rsidRDefault="00E60D00" w:rsidP="00E60D00">
            <w:pPr>
              <w:numPr>
                <w:ilvl w:val="0"/>
                <w:numId w:val="26"/>
              </w:numPr>
              <w:ind w:left="176" w:hanging="176"/>
              <w:contextualSpacing/>
              <w:jc w:val="both"/>
              <w:rPr>
                <w:rFonts w:ascii="Times New Roman" w:hAnsi="Times New Roman" w:cs="Times New Roman"/>
                <w:color w:val="000000"/>
                <w:sz w:val="20"/>
                <w:szCs w:val="20"/>
                <w:lang w:eastAsia="fr-FR"/>
              </w:rPr>
            </w:pPr>
            <w:proofErr w:type="spellStart"/>
            <w:r>
              <w:rPr>
                <w:rFonts w:ascii="Times New Roman" w:hAnsi="Times New Roman" w:cs="Times New Roman"/>
                <w:color w:val="000000"/>
                <w:sz w:val="20"/>
                <w:szCs w:val="20"/>
                <w:lang w:eastAsia="fr-FR"/>
              </w:rPr>
              <w:t>Natixis</w:t>
            </w:r>
            <w:proofErr w:type="spellEnd"/>
            <w:r>
              <w:rPr>
                <w:rFonts w:ascii="Times New Roman" w:hAnsi="Times New Roman" w:cs="Times New Roman"/>
                <w:color w:val="000000"/>
                <w:sz w:val="20"/>
                <w:szCs w:val="20"/>
                <w:lang w:eastAsia="fr-FR"/>
              </w:rPr>
              <w:t xml:space="preserve"> </w:t>
            </w:r>
            <w:proofErr w:type="spellStart"/>
            <w:r>
              <w:rPr>
                <w:rFonts w:ascii="Times New Roman" w:hAnsi="Times New Roman" w:cs="Times New Roman"/>
                <w:color w:val="000000"/>
                <w:sz w:val="20"/>
                <w:szCs w:val="20"/>
                <w:lang w:eastAsia="fr-FR"/>
              </w:rPr>
              <w:t>InterEpargne</w:t>
            </w:r>
            <w:proofErr w:type="spellEnd"/>
            <w:r>
              <w:rPr>
                <w:rFonts w:ascii="Times New Roman" w:hAnsi="Times New Roman" w:cs="Times New Roman"/>
                <w:color w:val="000000"/>
                <w:sz w:val="20"/>
                <w:szCs w:val="20"/>
                <w:lang w:eastAsia="fr-FR"/>
              </w:rPr>
              <w:t xml:space="preserve"> a développé un service de gestion de l’épargne salariale 100% en ligne. Cliquez </w:t>
            </w:r>
            <w:hyperlink r:id="rId26"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le découvrir.</w:t>
            </w:r>
          </w:p>
          <w:p w:rsidR="00E60D00" w:rsidRDefault="00E60D00" w:rsidP="00E60D00">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Un premier lot de professionnels avec traitements collectifs de participation et /ou intéressement vont bénéficier de cette gestion dans le courant de la semaine.</w:t>
            </w:r>
          </w:p>
          <w:p w:rsidR="00E60D00" w:rsidRDefault="00E60D00" w:rsidP="00E60D00">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L’objectif est de renforcer la sécurité des opérations, simplifier le pilotage des plans d’épargne et proposer une nouvelle expérience de l’épargne salariale plus fluide, plus conviviale et plus rapide. Les clients concernés recevront cette semaine un courrier d’information. </w:t>
            </w:r>
          </w:p>
        </w:tc>
      </w:tr>
      <w:tr w:rsidR="00E60D00" w:rsidRPr="00E81F6E" w:rsidTr="00AF3BE3">
        <w:trPr>
          <w:trHeight w:val="248"/>
        </w:trPr>
        <w:tc>
          <w:tcPr>
            <w:tcW w:w="1560" w:type="dxa"/>
            <w:tcBorders>
              <w:bottom w:val="single" w:sz="4" w:space="0" w:color="auto"/>
            </w:tcBorders>
          </w:tcPr>
          <w:p w:rsidR="00E60D00" w:rsidRDefault="00E60D00">
            <w:r w:rsidRPr="00A5574A">
              <w:rPr>
                <w:rFonts w:ascii="Times New Roman" w:hAnsi="Times New Roman" w:cs="Times New Roman"/>
                <w:b/>
                <w:bCs/>
                <w:sz w:val="20"/>
                <w:szCs w:val="20"/>
              </w:rPr>
              <w:t>Com. DMP</w:t>
            </w:r>
          </w:p>
        </w:tc>
        <w:tc>
          <w:tcPr>
            <w:tcW w:w="1843" w:type="dxa"/>
            <w:tcBorders>
              <w:bottom w:val="single" w:sz="4" w:space="0" w:color="auto"/>
            </w:tcBorders>
          </w:tcPr>
          <w:p w:rsidR="00E60D00" w:rsidRDefault="00E60D00">
            <w:pPr>
              <w:rPr>
                <w:rFonts w:ascii="Times New Roman" w:hAnsi="Times New Roman" w:cs="Times New Roman"/>
                <w:b/>
                <w:bCs/>
                <w:sz w:val="20"/>
                <w:szCs w:val="20"/>
              </w:rPr>
            </w:pPr>
            <w:r>
              <w:rPr>
                <w:rFonts w:ascii="Times New Roman" w:hAnsi="Times New Roman" w:cs="Times New Roman"/>
                <w:b/>
                <w:bCs/>
                <w:sz w:val="20"/>
                <w:szCs w:val="20"/>
              </w:rPr>
              <w:t>Suivis NPS</w:t>
            </w:r>
          </w:p>
        </w:tc>
        <w:tc>
          <w:tcPr>
            <w:tcW w:w="12332" w:type="dxa"/>
            <w:tcBorders>
              <w:bottom w:val="single" w:sz="4" w:space="0" w:color="auto"/>
            </w:tcBorders>
            <w:shd w:val="clear" w:color="auto" w:fill="auto"/>
          </w:tcPr>
          <w:p w:rsidR="00E60D00" w:rsidRDefault="00E60D00" w:rsidP="00E60D00">
            <w:pPr>
              <w:numPr>
                <w:ilvl w:val="0"/>
                <w:numId w:val="26"/>
              </w:numPr>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Retrouvez en cliquant</w:t>
            </w:r>
            <w:hyperlink r:id="rId27" w:history="1">
              <w:r>
                <w:rPr>
                  <w:rStyle w:val="Lienhypertexte"/>
                  <w:rFonts w:ascii="Times New Roman" w:hAnsi="Times New Roman" w:cs="Times New Roman"/>
                  <w:sz w:val="20"/>
                  <w:szCs w:val="20"/>
                  <w:lang w:eastAsia="fr-FR"/>
                </w:rPr>
                <w:t xml:space="preserve"> ICI</w:t>
              </w:r>
            </w:hyperlink>
            <w:r>
              <w:rPr>
                <w:rFonts w:ascii="Times New Roman" w:hAnsi="Times New Roman" w:cs="Times New Roman"/>
                <w:color w:val="000000"/>
                <w:sz w:val="20"/>
                <w:szCs w:val="20"/>
                <w:lang w:eastAsia="fr-FR"/>
              </w:rPr>
              <w:t xml:space="preserve"> le </w:t>
            </w:r>
            <w:proofErr w:type="spellStart"/>
            <w:r>
              <w:rPr>
                <w:rFonts w:ascii="Times New Roman" w:hAnsi="Times New Roman" w:cs="Times New Roman"/>
                <w:color w:val="000000"/>
                <w:sz w:val="20"/>
                <w:szCs w:val="20"/>
                <w:lang w:eastAsia="fr-FR"/>
              </w:rPr>
              <w:t>reporting</w:t>
            </w:r>
            <w:proofErr w:type="spellEnd"/>
            <w:r>
              <w:rPr>
                <w:rFonts w:ascii="Times New Roman" w:hAnsi="Times New Roman" w:cs="Times New Roman"/>
                <w:color w:val="000000"/>
                <w:sz w:val="20"/>
                <w:szCs w:val="20"/>
                <w:lang w:eastAsia="fr-FR"/>
              </w:rPr>
              <w:t xml:space="preserve"> commercial « Suivi d’activité de la filière TPE » arrêté à décembre 2017.</w:t>
            </w:r>
          </w:p>
        </w:tc>
      </w:tr>
      <w:tr w:rsidR="00E60D00" w:rsidRPr="00E81F6E" w:rsidTr="00AF3BE3">
        <w:trPr>
          <w:trHeight w:val="248"/>
        </w:trPr>
        <w:tc>
          <w:tcPr>
            <w:tcW w:w="1560" w:type="dxa"/>
            <w:tcBorders>
              <w:bottom w:val="single" w:sz="4" w:space="0" w:color="auto"/>
            </w:tcBorders>
          </w:tcPr>
          <w:p w:rsidR="00E60D00" w:rsidRDefault="00E60D00">
            <w:r w:rsidRPr="00A5574A">
              <w:rPr>
                <w:rFonts w:ascii="Times New Roman" w:hAnsi="Times New Roman" w:cs="Times New Roman"/>
                <w:b/>
                <w:bCs/>
                <w:sz w:val="20"/>
                <w:szCs w:val="20"/>
              </w:rPr>
              <w:t>Com. DMP</w:t>
            </w:r>
          </w:p>
        </w:tc>
        <w:tc>
          <w:tcPr>
            <w:tcW w:w="1843" w:type="dxa"/>
            <w:tcBorders>
              <w:bottom w:val="single" w:sz="4" w:space="0" w:color="auto"/>
            </w:tcBorders>
          </w:tcPr>
          <w:p w:rsidR="00E60D00" w:rsidRPr="00E60D00" w:rsidRDefault="00E60D00">
            <w:pPr>
              <w:rPr>
                <w:rFonts w:ascii="Calibri" w:hAnsi="Calibri" w:cs="Calibri"/>
                <w:sz w:val="20"/>
                <w:szCs w:val="20"/>
              </w:rPr>
            </w:pPr>
            <w:r w:rsidRPr="00E60D00">
              <w:rPr>
                <w:rFonts w:ascii="Times New Roman" w:hAnsi="Times New Roman" w:cs="Times New Roman"/>
                <w:b/>
                <w:bCs/>
                <w:sz w:val="20"/>
                <w:szCs w:val="20"/>
              </w:rPr>
              <w:t xml:space="preserve">Infos </w:t>
            </w:r>
            <w:proofErr w:type="spellStart"/>
            <w:r w:rsidRPr="00E60D00">
              <w:rPr>
                <w:rFonts w:ascii="Times New Roman" w:hAnsi="Times New Roman" w:cs="Times New Roman"/>
                <w:b/>
                <w:bCs/>
                <w:sz w:val="20"/>
                <w:szCs w:val="20"/>
              </w:rPr>
              <w:t>Natixis</w:t>
            </w:r>
            <w:proofErr w:type="spellEnd"/>
            <w:r w:rsidRPr="00E60D00">
              <w:rPr>
                <w:rFonts w:ascii="Times New Roman" w:hAnsi="Times New Roman" w:cs="Times New Roman"/>
                <w:b/>
                <w:bCs/>
                <w:sz w:val="20"/>
                <w:szCs w:val="20"/>
              </w:rPr>
              <w:t xml:space="preserve"> Assurances</w:t>
            </w:r>
          </w:p>
        </w:tc>
        <w:tc>
          <w:tcPr>
            <w:tcW w:w="12332" w:type="dxa"/>
            <w:tcBorders>
              <w:bottom w:val="single" w:sz="4" w:space="0" w:color="auto"/>
            </w:tcBorders>
            <w:shd w:val="clear" w:color="auto" w:fill="auto"/>
          </w:tcPr>
          <w:p w:rsidR="00E60D00" w:rsidRPr="00E60D00" w:rsidRDefault="00E60D00" w:rsidP="00E60D00">
            <w:pPr>
              <w:numPr>
                <w:ilvl w:val="0"/>
                <w:numId w:val="26"/>
              </w:numPr>
              <w:ind w:left="176" w:hanging="176"/>
              <w:contextualSpacing/>
              <w:jc w:val="both"/>
              <w:rPr>
                <w:rFonts w:ascii="Calibri" w:hAnsi="Calibri" w:cs="Calibri"/>
                <w:sz w:val="20"/>
                <w:szCs w:val="20"/>
              </w:rPr>
            </w:pPr>
            <w:r w:rsidRPr="00E60D00">
              <w:rPr>
                <w:rFonts w:ascii="Times New Roman" w:hAnsi="Times New Roman" w:cs="Times New Roman"/>
                <w:color w:val="000000"/>
                <w:sz w:val="20"/>
                <w:szCs w:val="20"/>
                <w:lang w:eastAsia="fr-FR"/>
              </w:rPr>
              <w:t xml:space="preserve">A la suite des crues dont sont actuellement victimes certains de nos clients assurés, </w:t>
            </w:r>
            <w:proofErr w:type="spellStart"/>
            <w:r w:rsidRPr="00E60D00">
              <w:rPr>
                <w:rFonts w:ascii="Times New Roman" w:hAnsi="Times New Roman" w:cs="Times New Roman"/>
                <w:color w:val="000000"/>
                <w:sz w:val="20"/>
                <w:szCs w:val="20"/>
                <w:lang w:eastAsia="fr-FR"/>
              </w:rPr>
              <w:t>Natixis</w:t>
            </w:r>
            <w:proofErr w:type="spellEnd"/>
            <w:r w:rsidRPr="00E60D00">
              <w:rPr>
                <w:rFonts w:ascii="Times New Roman" w:hAnsi="Times New Roman" w:cs="Times New Roman"/>
                <w:color w:val="000000"/>
                <w:sz w:val="20"/>
                <w:szCs w:val="20"/>
                <w:lang w:eastAsia="fr-FR"/>
              </w:rPr>
              <w:t xml:space="preserve"> Assurances nous informe que des mesures spéciales sont mises en œuvre pour faciliter les démarches de déclarations de sinistres pour nos clients pros assurés :</w:t>
            </w:r>
          </w:p>
          <w:p w:rsidR="00E60D00" w:rsidRPr="00E60D00" w:rsidRDefault="00E60D00" w:rsidP="00E60D00">
            <w:pPr>
              <w:numPr>
                <w:ilvl w:val="0"/>
                <w:numId w:val="7"/>
              </w:numPr>
              <w:contextualSpacing/>
              <w:jc w:val="both"/>
              <w:rPr>
                <w:rFonts w:ascii="Times New Roman" w:hAnsi="Times New Roman" w:cs="Times New Roman"/>
                <w:sz w:val="20"/>
                <w:szCs w:val="20"/>
              </w:rPr>
            </w:pPr>
            <w:r w:rsidRPr="00E60D00">
              <w:rPr>
                <w:rFonts w:ascii="Times New Roman" w:hAnsi="Times New Roman" w:cs="Times New Roman"/>
                <w:sz w:val="20"/>
                <w:szCs w:val="20"/>
              </w:rPr>
              <w:t>Le délai de déclaration est porté à 30 jours calendaires</w:t>
            </w:r>
          </w:p>
          <w:p w:rsidR="00E60D00" w:rsidRPr="00E60D00" w:rsidRDefault="00E60D00" w:rsidP="00E60D00">
            <w:pPr>
              <w:numPr>
                <w:ilvl w:val="0"/>
                <w:numId w:val="7"/>
              </w:numPr>
              <w:contextualSpacing/>
              <w:jc w:val="both"/>
              <w:rPr>
                <w:rFonts w:ascii="Times New Roman" w:hAnsi="Times New Roman" w:cs="Times New Roman"/>
                <w:sz w:val="20"/>
                <w:szCs w:val="20"/>
              </w:rPr>
            </w:pPr>
            <w:r w:rsidRPr="00E60D00">
              <w:rPr>
                <w:rFonts w:ascii="Times New Roman" w:hAnsi="Times New Roman" w:cs="Times New Roman"/>
                <w:sz w:val="20"/>
                <w:szCs w:val="20"/>
              </w:rPr>
              <w:t>La chaîne d'indemnisation a été modifiée en augmentant le plafond du gré à gré</w:t>
            </w:r>
            <w:r>
              <w:rPr>
                <w:rFonts w:ascii="Times New Roman" w:hAnsi="Times New Roman" w:cs="Times New Roman"/>
                <w:sz w:val="20"/>
                <w:szCs w:val="20"/>
              </w:rPr>
              <w:t xml:space="preserve"> </w:t>
            </w:r>
            <w:r w:rsidRPr="00E60D00">
              <w:rPr>
                <w:rFonts w:ascii="Times New Roman" w:hAnsi="Times New Roman" w:cs="Times New Roman"/>
                <w:sz w:val="20"/>
                <w:szCs w:val="20"/>
              </w:rPr>
              <w:t>pour faciliter et accélérer l’indemnisation</w:t>
            </w:r>
          </w:p>
          <w:p w:rsidR="00E60D00" w:rsidRPr="00E60D00" w:rsidRDefault="00E60D00" w:rsidP="00E60D00">
            <w:pPr>
              <w:numPr>
                <w:ilvl w:val="0"/>
                <w:numId w:val="7"/>
              </w:numPr>
              <w:contextualSpacing/>
              <w:jc w:val="both"/>
              <w:rPr>
                <w:rFonts w:ascii="Times New Roman" w:hAnsi="Times New Roman" w:cs="Times New Roman"/>
                <w:sz w:val="20"/>
                <w:szCs w:val="20"/>
              </w:rPr>
            </w:pPr>
            <w:r w:rsidRPr="00E60D00">
              <w:rPr>
                <w:rFonts w:ascii="Times New Roman" w:hAnsi="Times New Roman" w:cs="Times New Roman"/>
                <w:sz w:val="20"/>
                <w:szCs w:val="20"/>
              </w:rPr>
              <w:t>Si le dommage global est inférieur à 1200€, le règlement différé est ajouté à l'indemnité immédiate de façon à ne constituer qu'un seul règlement</w:t>
            </w:r>
          </w:p>
          <w:p w:rsidR="00E60D00" w:rsidRPr="00E60D00" w:rsidRDefault="00E60D00" w:rsidP="00E60D00">
            <w:pPr>
              <w:numPr>
                <w:ilvl w:val="0"/>
                <w:numId w:val="7"/>
              </w:numPr>
              <w:contextualSpacing/>
              <w:jc w:val="both"/>
              <w:rPr>
                <w:rFonts w:ascii="Times New Roman" w:hAnsi="Times New Roman" w:cs="Times New Roman"/>
                <w:sz w:val="20"/>
                <w:szCs w:val="20"/>
              </w:rPr>
            </w:pPr>
            <w:r w:rsidRPr="00E60D00">
              <w:rPr>
                <w:rFonts w:ascii="Times New Roman" w:hAnsi="Times New Roman" w:cs="Times New Roman"/>
                <w:sz w:val="20"/>
                <w:szCs w:val="20"/>
              </w:rPr>
              <w:t xml:space="preserve">Le contenu des congélateurs est pris en charge jusqu'à 150€ (si panne électrique ou absence d'électricité) </w:t>
            </w:r>
          </w:p>
          <w:p w:rsidR="00E60D00" w:rsidRPr="00E60D00" w:rsidRDefault="00E60D00" w:rsidP="00E60D00">
            <w:pPr>
              <w:numPr>
                <w:ilvl w:val="0"/>
                <w:numId w:val="7"/>
              </w:numPr>
              <w:contextualSpacing/>
              <w:jc w:val="both"/>
              <w:rPr>
                <w:rFonts w:ascii="Calibri" w:hAnsi="Calibri" w:cs="Calibri"/>
                <w:sz w:val="20"/>
                <w:szCs w:val="20"/>
              </w:rPr>
            </w:pPr>
            <w:r w:rsidRPr="00E60D00">
              <w:rPr>
                <w:rFonts w:ascii="Times New Roman" w:hAnsi="Times New Roman" w:cs="Times New Roman"/>
                <w:sz w:val="20"/>
                <w:szCs w:val="20"/>
              </w:rPr>
              <w:t>Prise en charge dans la limite de 1000€ des frais de débitage et d'évacuation des végétaux ou gravats chez l'assuré, même s'ils n'appartiennent pas à l'assuré, si danger ou dommages aux bâtiments garantis.</w:t>
            </w:r>
          </w:p>
        </w:tc>
      </w:tr>
      <w:tr w:rsidR="00E60D00" w:rsidRPr="00E81F6E" w:rsidTr="00AF3BE3">
        <w:trPr>
          <w:trHeight w:val="248"/>
        </w:trPr>
        <w:tc>
          <w:tcPr>
            <w:tcW w:w="1560" w:type="dxa"/>
            <w:tcBorders>
              <w:bottom w:val="single" w:sz="4" w:space="0" w:color="auto"/>
            </w:tcBorders>
          </w:tcPr>
          <w:p w:rsidR="00E60D00" w:rsidRPr="00A5574A" w:rsidRDefault="00E60D00">
            <w:pPr>
              <w:rPr>
                <w:rFonts w:ascii="Times New Roman" w:hAnsi="Times New Roman" w:cs="Times New Roman"/>
                <w:b/>
                <w:bCs/>
                <w:sz w:val="20"/>
                <w:szCs w:val="20"/>
              </w:rPr>
            </w:pPr>
            <w:r w:rsidRPr="00A5574A">
              <w:rPr>
                <w:rFonts w:ascii="Times New Roman" w:hAnsi="Times New Roman" w:cs="Times New Roman"/>
                <w:b/>
                <w:bCs/>
                <w:sz w:val="20"/>
                <w:szCs w:val="20"/>
              </w:rPr>
              <w:t>Com. DMP</w:t>
            </w:r>
          </w:p>
        </w:tc>
        <w:tc>
          <w:tcPr>
            <w:tcW w:w="1843" w:type="dxa"/>
            <w:tcBorders>
              <w:bottom w:val="single" w:sz="4" w:space="0" w:color="auto"/>
            </w:tcBorders>
          </w:tcPr>
          <w:p w:rsidR="00E60D00" w:rsidRDefault="00E60D00">
            <w:pPr>
              <w:rPr>
                <w:rFonts w:ascii="Times New Roman" w:hAnsi="Times New Roman" w:cs="Times New Roman"/>
                <w:b/>
                <w:bCs/>
                <w:sz w:val="20"/>
                <w:szCs w:val="20"/>
              </w:rPr>
            </w:pPr>
            <w:r>
              <w:rPr>
                <w:rFonts w:ascii="Times New Roman" w:hAnsi="Times New Roman" w:cs="Times New Roman"/>
                <w:b/>
                <w:bCs/>
                <w:sz w:val="20"/>
                <w:szCs w:val="20"/>
              </w:rPr>
              <w:t>Info SACCEF</w:t>
            </w:r>
          </w:p>
        </w:tc>
        <w:tc>
          <w:tcPr>
            <w:tcW w:w="12332" w:type="dxa"/>
            <w:tcBorders>
              <w:bottom w:val="single" w:sz="4" w:space="0" w:color="auto"/>
            </w:tcBorders>
            <w:shd w:val="clear" w:color="auto" w:fill="auto"/>
          </w:tcPr>
          <w:p w:rsidR="00E60D00" w:rsidRDefault="00E60D00" w:rsidP="00E60D00">
            <w:pPr>
              <w:numPr>
                <w:ilvl w:val="0"/>
                <w:numId w:val="26"/>
              </w:numPr>
              <w:contextualSpacing/>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Retrouvez en cliquant </w:t>
            </w:r>
            <w:hyperlink r:id="rId28"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le dernier pilotage flash « One Minute </w:t>
            </w:r>
            <w:proofErr w:type="spellStart"/>
            <w:r>
              <w:rPr>
                <w:rFonts w:ascii="Times New Roman" w:hAnsi="Times New Roman" w:cs="Times New Roman"/>
                <w:color w:val="000000"/>
                <w:sz w:val="20"/>
                <w:szCs w:val="20"/>
                <w:lang w:eastAsia="fr-FR"/>
              </w:rPr>
              <w:t>Saccef</w:t>
            </w:r>
            <w:proofErr w:type="spellEnd"/>
            <w:r>
              <w:rPr>
                <w:rFonts w:ascii="Times New Roman" w:hAnsi="Times New Roman" w:cs="Times New Roman"/>
                <w:color w:val="000000"/>
                <w:sz w:val="20"/>
                <w:szCs w:val="20"/>
                <w:lang w:eastAsia="fr-FR"/>
              </w:rPr>
              <w:t> » 2018.</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0124A1"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124A1" w:rsidRDefault="000124A1">
            <w:r w:rsidRPr="008146C6">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0124A1" w:rsidRDefault="000124A1">
            <w:pPr>
              <w:pStyle w:val="wordsection1"/>
              <w:spacing w:before="0" w:beforeAutospacing="0" w:after="0" w:afterAutospacing="0"/>
              <w:rPr>
                <w:b/>
                <w:bCs/>
                <w:sz w:val="20"/>
                <w:szCs w:val="20"/>
                <w:lang w:eastAsia="en-US"/>
              </w:rPr>
            </w:pPr>
            <w:r>
              <w:rPr>
                <w:b/>
                <w:bCs/>
                <w:sz w:val="20"/>
                <w:szCs w:val="20"/>
              </w:rPr>
              <w:t>Suivi de la commercialisation HELIOS</w:t>
            </w:r>
          </w:p>
        </w:tc>
        <w:tc>
          <w:tcPr>
            <w:tcW w:w="12332" w:type="dxa"/>
            <w:tcBorders>
              <w:top w:val="single" w:sz="4" w:space="0" w:color="auto"/>
              <w:left w:val="single" w:sz="4" w:space="0" w:color="auto"/>
              <w:bottom w:val="single" w:sz="4" w:space="0" w:color="auto"/>
              <w:right w:val="single" w:sz="4" w:space="0" w:color="auto"/>
            </w:tcBorders>
          </w:tcPr>
          <w:p w:rsidR="000124A1" w:rsidRPr="000124A1" w:rsidRDefault="000124A1" w:rsidP="000124A1">
            <w:pPr>
              <w:pStyle w:val="wordsection1"/>
              <w:numPr>
                <w:ilvl w:val="0"/>
                <w:numId w:val="25"/>
              </w:numPr>
              <w:spacing w:before="0" w:beforeAutospacing="0" w:after="0" w:afterAutospacing="0"/>
              <w:ind w:left="187" w:hanging="187"/>
              <w:jc w:val="both"/>
              <w:rPr>
                <w:color w:val="1F497D"/>
                <w:sz w:val="20"/>
                <w:szCs w:val="20"/>
              </w:rPr>
            </w:pPr>
            <w:r w:rsidRPr="000124A1">
              <w:rPr>
                <w:sz w:val="20"/>
                <w:szCs w:val="20"/>
              </w:rPr>
              <w:t xml:space="preserve">Vous trouverez </w:t>
            </w:r>
            <w:hyperlink r:id="rId29" w:history="1">
              <w:r w:rsidRPr="000124A1">
                <w:rPr>
                  <w:rStyle w:val="Lienhypertexte"/>
                  <w:sz w:val="20"/>
                  <w:szCs w:val="20"/>
                  <w:highlight w:val="yellow"/>
                </w:rPr>
                <w:t>en cliquant ici</w:t>
              </w:r>
            </w:hyperlink>
            <w:r w:rsidRPr="000124A1">
              <w:rPr>
                <w:sz w:val="20"/>
                <w:szCs w:val="20"/>
                <w:highlight w:val="yellow"/>
              </w:rPr>
              <w:t>,</w:t>
            </w:r>
            <w:r w:rsidRPr="000124A1">
              <w:rPr>
                <w:sz w:val="20"/>
                <w:szCs w:val="20"/>
              </w:rPr>
              <w:t xml:space="preserve"> le suivi de commercialisation d’Hélios (commercialisation du 09/01 au 29/03/2018). Au 05/02/2018, 72% des fonds sont placés pour un TO de 34%. </w:t>
            </w:r>
            <w:r w:rsidRPr="000124A1">
              <w:rPr>
                <w:b/>
                <w:bCs/>
                <w:color w:val="FF0000"/>
                <w:sz w:val="20"/>
                <w:szCs w:val="20"/>
              </w:rPr>
              <w:t>Le contingent peut être dépassé sans limite de montant.</w:t>
            </w:r>
          </w:p>
        </w:tc>
      </w:tr>
      <w:tr w:rsidR="000124A1"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0124A1" w:rsidRDefault="000124A1">
            <w:r w:rsidRPr="008146C6">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0124A1" w:rsidRDefault="000124A1">
            <w:pPr>
              <w:pStyle w:val="wordsection1"/>
              <w:rPr>
                <w:b/>
                <w:bCs/>
                <w:sz w:val="20"/>
                <w:szCs w:val="20"/>
                <w:lang w:eastAsia="en-US"/>
              </w:rPr>
            </w:pPr>
            <w:r>
              <w:rPr>
                <w:b/>
                <w:bCs/>
                <w:sz w:val="20"/>
                <w:szCs w:val="20"/>
              </w:rPr>
              <w:t>Suivi de la commercialisation IRIS</w:t>
            </w:r>
          </w:p>
        </w:tc>
        <w:tc>
          <w:tcPr>
            <w:tcW w:w="12332" w:type="dxa"/>
            <w:tcBorders>
              <w:top w:val="single" w:sz="4" w:space="0" w:color="auto"/>
              <w:left w:val="single" w:sz="4" w:space="0" w:color="auto"/>
              <w:bottom w:val="single" w:sz="4" w:space="0" w:color="auto"/>
              <w:right w:val="single" w:sz="4" w:space="0" w:color="auto"/>
            </w:tcBorders>
          </w:tcPr>
          <w:p w:rsidR="000124A1" w:rsidRPr="000124A1" w:rsidRDefault="000124A1" w:rsidP="000124A1">
            <w:pPr>
              <w:pStyle w:val="wordsection1"/>
              <w:numPr>
                <w:ilvl w:val="0"/>
                <w:numId w:val="25"/>
              </w:numPr>
              <w:spacing w:before="0" w:beforeAutospacing="0" w:after="0" w:afterAutospacing="0"/>
              <w:ind w:left="187" w:hanging="187"/>
              <w:jc w:val="both"/>
              <w:rPr>
                <w:color w:val="1F497D"/>
                <w:sz w:val="20"/>
                <w:szCs w:val="20"/>
              </w:rPr>
            </w:pPr>
            <w:r w:rsidRPr="000124A1">
              <w:rPr>
                <w:sz w:val="20"/>
                <w:szCs w:val="20"/>
              </w:rPr>
              <w:t xml:space="preserve">Vous trouverez </w:t>
            </w:r>
            <w:hyperlink r:id="rId30" w:history="1">
              <w:r w:rsidRPr="000124A1">
                <w:rPr>
                  <w:rStyle w:val="Lienhypertexte"/>
                  <w:sz w:val="20"/>
                  <w:szCs w:val="20"/>
                  <w:highlight w:val="yellow"/>
                </w:rPr>
                <w:t>en cliquant ici</w:t>
              </w:r>
            </w:hyperlink>
            <w:r w:rsidRPr="000124A1">
              <w:rPr>
                <w:sz w:val="20"/>
                <w:szCs w:val="20"/>
                <w:highlight w:val="yellow"/>
              </w:rPr>
              <w:t>,</w:t>
            </w:r>
            <w:r w:rsidRPr="000124A1">
              <w:rPr>
                <w:sz w:val="20"/>
                <w:szCs w:val="20"/>
              </w:rPr>
              <w:t xml:space="preserve"> le suivi de commercialisation d’IRIS (commercialisation du 17/01 au 13/06/2018).</w:t>
            </w:r>
            <w:r>
              <w:rPr>
                <w:sz w:val="20"/>
                <w:szCs w:val="20"/>
              </w:rPr>
              <w:t xml:space="preserve"> </w:t>
            </w:r>
            <w:r w:rsidRPr="000124A1">
              <w:rPr>
                <w:sz w:val="20"/>
                <w:szCs w:val="20"/>
              </w:rPr>
              <w:t>Au 05/02/2018, 42% des fond</w:t>
            </w:r>
            <w:r>
              <w:rPr>
                <w:sz w:val="20"/>
                <w:szCs w:val="20"/>
              </w:rPr>
              <w:t>s sont placés pour un TO de 13%</w:t>
            </w:r>
            <w:r w:rsidRPr="000124A1">
              <w:rPr>
                <w:sz w:val="20"/>
                <w:szCs w:val="20"/>
              </w:rPr>
              <w:t>, soit 5 765 K€</w:t>
            </w:r>
            <w:r w:rsidR="00E60D00">
              <w:rPr>
                <w:sz w:val="20"/>
                <w:szCs w:val="20"/>
              </w:rPr>
              <w:t xml:space="preserve"> </w:t>
            </w:r>
            <w:r w:rsidRPr="000124A1">
              <w:rPr>
                <w:sz w:val="20"/>
                <w:szCs w:val="20"/>
              </w:rPr>
              <w:t xml:space="preserve">restant à placer. </w:t>
            </w:r>
          </w:p>
        </w:tc>
      </w:tr>
      <w:tr w:rsidR="006F3C08"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6F3C08" w:rsidRDefault="006F3C08" w:rsidP="00A57700">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6F3C08" w:rsidRPr="006F3C08" w:rsidRDefault="005E17AE" w:rsidP="005E17AE">
            <w:pPr>
              <w:rPr>
                <w:rFonts w:ascii="Times New Roman" w:eastAsia="+mn-ea" w:hAnsi="Times New Roman" w:cs="Times New Roman"/>
                <w:b/>
                <w:color w:val="000000"/>
                <w:kern w:val="24"/>
                <w:sz w:val="20"/>
                <w:szCs w:val="20"/>
              </w:rPr>
            </w:pPr>
            <w:r>
              <w:rPr>
                <w:rFonts w:ascii="Times New Roman" w:eastAsia="+mn-ea" w:hAnsi="Times New Roman" w:cs="Times New Roman"/>
                <w:b/>
                <w:color w:val="000000"/>
                <w:kern w:val="24"/>
                <w:sz w:val="20"/>
                <w:szCs w:val="20"/>
              </w:rPr>
              <w:t>E</w:t>
            </w:r>
            <w:r w:rsidR="006F3C08">
              <w:rPr>
                <w:rFonts w:ascii="Times New Roman" w:eastAsia="+mn-ea" w:hAnsi="Times New Roman" w:cs="Times New Roman"/>
                <w:b/>
                <w:color w:val="000000"/>
                <w:kern w:val="24"/>
                <w:sz w:val="20"/>
                <w:szCs w:val="20"/>
              </w:rPr>
              <w:t xml:space="preserve">volutions </w:t>
            </w:r>
            <w:r>
              <w:rPr>
                <w:rFonts w:ascii="Times New Roman" w:eastAsia="+mn-ea" w:hAnsi="Times New Roman" w:cs="Times New Roman"/>
                <w:b/>
                <w:color w:val="000000"/>
                <w:kern w:val="24"/>
                <w:sz w:val="20"/>
                <w:szCs w:val="20"/>
              </w:rPr>
              <w:t>du PCM</w:t>
            </w:r>
          </w:p>
        </w:tc>
        <w:tc>
          <w:tcPr>
            <w:tcW w:w="12332" w:type="dxa"/>
            <w:tcBorders>
              <w:top w:val="single" w:sz="4" w:space="0" w:color="auto"/>
              <w:left w:val="single" w:sz="4" w:space="0" w:color="auto"/>
              <w:bottom w:val="single" w:sz="4" w:space="0" w:color="auto"/>
              <w:right w:val="single" w:sz="4" w:space="0" w:color="auto"/>
            </w:tcBorders>
          </w:tcPr>
          <w:p w:rsidR="006F3C08" w:rsidRPr="000124A1" w:rsidRDefault="006F3C08" w:rsidP="000124A1">
            <w:pPr>
              <w:numPr>
                <w:ilvl w:val="0"/>
                <w:numId w:val="8"/>
              </w:numPr>
              <w:ind w:left="176" w:hanging="176"/>
              <w:contextualSpacing/>
              <w:jc w:val="both"/>
              <w:rPr>
                <w:rFonts w:ascii="Times New Roman" w:hAnsi="Times New Roman" w:cs="Times New Roman"/>
                <w:sz w:val="20"/>
                <w:szCs w:val="20"/>
              </w:rPr>
            </w:pPr>
            <w:r w:rsidRPr="000124A1">
              <w:rPr>
                <w:rFonts w:ascii="Times New Roman" w:hAnsi="Times New Roman" w:cs="Times New Roman"/>
                <w:b/>
                <w:sz w:val="20"/>
                <w:szCs w:val="20"/>
              </w:rPr>
              <w:t>Un nouveau mode opératoire est à votre disposition</w:t>
            </w:r>
            <w:r w:rsidRPr="000124A1">
              <w:rPr>
                <w:rFonts w:ascii="Times New Roman" w:hAnsi="Times New Roman" w:cs="Times New Roman"/>
                <w:sz w:val="20"/>
                <w:szCs w:val="20"/>
              </w:rPr>
              <w:t xml:space="preserve"> </w:t>
            </w:r>
            <w:r w:rsidR="005E17AE">
              <w:rPr>
                <w:rFonts w:ascii="Times New Roman" w:hAnsi="Times New Roman" w:cs="Times New Roman"/>
                <w:sz w:val="20"/>
                <w:szCs w:val="20"/>
              </w:rPr>
              <w:t>(</w:t>
            </w:r>
            <w:hyperlink r:id="rId31" w:history="1">
              <w:r w:rsidR="005E17AE" w:rsidRPr="005E17AE">
                <w:rPr>
                  <w:rStyle w:val="Lienhypertexte"/>
                  <w:rFonts w:ascii="Times New Roman" w:hAnsi="Times New Roman" w:cs="Times New Roman"/>
                  <w:sz w:val="20"/>
                  <w:szCs w:val="20"/>
                </w:rPr>
                <w:t>cliquez ici</w:t>
              </w:r>
            </w:hyperlink>
            <w:r w:rsidR="005E17AE">
              <w:rPr>
                <w:rFonts w:ascii="Times New Roman" w:hAnsi="Times New Roman" w:cs="Times New Roman"/>
                <w:sz w:val="20"/>
                <w:szCs w:val="20"/>
              </w:rPr>
              <w:t xml:space="preserve">) </w:t>
            </w:r>
            <w:r w:rsidRPr="000124A1">
              <w:rPr>
                <w:rFonts w:ascii="Times New Roman" w:hAnsi="Times New Roman" w:cs="Times New Roman"/>
                <w:b/>
                <w:sz w:val="20"/>
                <w:szCs w:val="20"/>
              </w:rPr>
              <w:t>dans votre espace GPS/mode opératoire</w:t>
            </w:r>
            <w:r w:rsidRPr="000124A1">
              <w:rPr>
                <w:rFonts w:ascii="Times New Roman" w:hAnsi="Times New Roman" w:cs="Times New Roman"/>
                <w:sz w:val="20"/>
                <w:szCs w:val="20"/>
              </w:rPr>
              <w:t xml:space="preserve"> (Rubrique des Commerciaux/ Pilotage) dans lequel vous trouverez : </w:t>
            </w:r>
          </w:p>
          <w:p w:rsidR="006F3C08" w:rsidRPr="000124A1" w:rsidRDefault="006F3C08" w:rsidP="000124A1">
            <w:pPr>
              <w:numPr>
                <w:ilvl w:val="0"/>
                <w:numId w:val="7"/>
              </w:numPr>
              <w:contextualSpacing/>
              <w:jc w:val="both"/>
              <w:rPr>
                <w:rFonts w:ascii="Times New Roman" w:hAnsi="Times New Roman" w:cs="Times New Roman"/>
                <w:sz w:val="20"/>
                <w:szCs w:val="20"/>
              </w:rPr>
            </w:pPr>
            <w:r w:rsidRPr="000124A1">
              <w:rPr>
                <w:rFonts w:ascii="Times New Roman" w:hAnsi="Times New Roman" w:cs="Times New Roman"/>
                <w:b/>
                <w:sz w:val="20"/>
                <w:szCs w:val="20"/>
              </w:rPr>
              <w:t>Quelques rappels pour bien saisir un CR</w:t>
            </w:r>
            <w:r w:rsidRPr="000124A1">
              <w:rPr>
                <w:rFonts w:ascii="Times New Roman" w:hAnsi="Times New Roman" w:cs="Times New Roman"/>
                <w:sz w:val="20"/>
                <w:szCs w:val="20"/>
              </w:rPr>
              <w:t xml:space="preserve">, </w:t>
            </w:r>
          </w:p>
          <w:p w:rsidR="006F3C08" w:rsidRPr="005E17AE" w:rsidRDefault="006F3C08" w:rsidP="005E17AE">
            <w:pPr>
              <w:numPr>
                <w:ilvl w:val="0"/>
                <w:numId w:val="7"/>
              </w:numPr>
              <w:contextualSpacing/>
              <w:jc w:val="both"/>
              <w:rPr>
                <w:rFonts w:ascii="Times New Roman" w:hAnsi="Times New Roman" w:cs="Times New Roman"/>
                <w:sz w:val="20"/>
                <w:szCs w:val="20"/>
              </w:rPr>
            </w:pPr>
            <w:r w:rsidRPr="000124A1">
              <w:rPr>
                <w:rFonts w:ascii="Times New Roman" w:hAnsi="Times New Roman" w:cs="Times New Roman"/>
                <w:b/>
                <w:sz w:val="20"/>
                <w:szCs w:val="20"/>
              </w:rPr>
              <w:t>Les nouveautés 2018</w:t>
            </w:r>
            <w:r w:rsidRPr="000124A1">
              <w:rPr>
                <w:rFonts w:ascii="Times New Roman" w:hAnsi="Times New Roman" w:cs="Times New Roman"/>
                <w:sz w:val="20"/>
                <w:szCs w:val="20"/>
              </w:rPr>
              <w:t xml:space="preserve"> concernant le PCM, </w:t>
            </w:r>
          </w:p>
        </w:tc>
      </w:tr>
      <w:tr w:rsidR="005E17AE"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E17AE" w:rsidRPr="0059761E" w:rsidRDefault="005E17AE" w:rsidP="00A57700">
            <w:pPr>
              <w:rPr>
                <w:rFonts w:ascii="Times New Roman" w:hAnsi="Times New Roman" w:cs="Times New Roman"/>
                <w:b/>
                <w:bCs/>
                <w:sz w:val="20"/>
                <w:szCs w:val="20"/>
              </w:rPr>
            </w:pPr>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E17AE" w:rsidRDefault="005E17AE" w:rsidP="003D3F05">
            <w:pPr>
              <w:rPr>
                <w:rFonts w:ascii="Times New Roman" w:eastAsia="+mn-ea" w:hAnsi="Times New Roman" w:cs="Times New Roman"/>
                <w:b/>
                <w:color w:val="000000"/>
                <w:kern w:val="24"/>
                <w:sz w:val="20"/>
                <w:szCs w:val="20"/>
              </w:rPr>
            </w:pPr>
            <w:r>
              <w:rPr>
                <w:rFonts w:ascii="Times New Roman" w:eastAsia="+mn-ea" w:hAnsi="Times New Roman" w:cs="Times New Roman"/>
                <w:b/>
                <w:color w:val="000000"/>
                <w:kern w:val="24"/>
                <w:sz w:val="20"/>
                <w:szCs w:val="20"/>
              </w:rPr>
              <w:t>Rappels « Argent frais 2018 »</w:t>
            </w:r>
          </w:p>
        </w:tc>
        <w:tc>
          <w:tcPr>
            <w:tcW w:w="12332" w:type="dxa"/>
            <w:tcBorders>
              <w:top w:val="single" w:sz="4" w:space="0" w:color="auto"/>
              <w:left w:val="single" w:sz="4" w:space="0" w:color="auto"/>
              <w:bottom w:val="single" w:sz="4" w:space="0" w:color="auto"/>
              <w:right w:val="single" w:sz="4" w:space="0" w:color="auto"/>
            </w:tcBorders>
          </w:tcPr>
          <w:p w:rsidR="005E17AE" w:rsidRPr="000124A1" w:rsidRDefault="005E17AE" w:rsidP="005E17AE">
            <w:pPr>
              <w:numPr>
                <w:ilvl w:val="0"/>
                <w:numId w:val="8"/>
              </w:numPr>
              <w:ind w:left="176" w:hanging="176"/>
              <w:contextualSpacing/>
              <w:jc w:val="both"/>
              <w:rPr>
                <w:rFonts w:ascii="Times New Roman" w:hAnsi="Times New Roman" w:cs="Times New Roman"/>
                <w:b/>
                <w:sz w:val="20"/>
                <w:szCs w:val="20"/>
              </w:rPr>
            </w:pPr>
            <w:r>
              <w:rPr>
                <w:rFonts w:ascii="Times New Roman" w:hAnsi="Times New Roman" w:cs="Times New Roman"/>
                <w:b/>
                <w:sz w:val="20"/>
                <w:szCs w:val="20"/>
              </w:rPr>
              <w:t>Retrouvez l</w:t>
            </w:r>
            <w:r w:rsidRPr="000124A1">
              <w:rPr>
                <w:rFonts w:ascii="Times New Roman" w:hAnsi="Times New Roman" w:cs="Times New Roman"/>
                <w:b/>
                <w:sz w:val="20"/>
                <w:szCs w:val="20"/>
              </w:rPr>
              <w:t>a définition 2018 de « l’argent frais »</w:t>
            </w:r>
            <w:r>
              <w:rPr>
                <w:rFonts w:ascii="Times New Roman" w:hAnsi="Times New Roman" w:cs="Times New Roman"/>
                <w:sz w:val="20"/>
                <w:szCs w:val="20"/>
              </w:rPr>
              <w:t xml:space="preserve"> qui est à saisir dans les CR (</w:t>
            </w:r>
            <w:hyperlink r:id="rId32" w:history="1">
              <w:r w:rsidRPr="005E17AE">
                <w:rPr>
                  <w:rStyle w:val="Lienhypertexte"/>
                  <w:rFonts w:ascii="Times New Roman" w:hAnsi="Times New Roman" w:cs="Times New Roman"/>
                  <w:sz w:val="20"/>
                  <w:szCs w:val="20"/>
                </w:rPr>
                <w:t>cliquez ici</w:t>
              </w:r>
            </w:hyperlink>
            <w:r>
              <w:rPr>
                <w:rFonts w:ascii="Times New Roman" w:hAnsi="Times New Roman" w:cs="Times New Roman"/>
                <w:sz w:val="20"/>
                <w:szCs w:val="20"/>
              </w:rPr>
              <w:t xml:space="preserve">). </w:t>
            </w:r>
          </w:p>
        </w:tc>
      </w:tr>
      <w:tr w:rsidR="0059761E"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59761E" w:rsidRPr="0059761E" w:rsidRDefault="0059761E" w:rsidP="00A57700">
            <w:pPr>
              <w:rPr>
                <w:rFonts w:ascii="Times New Roman" w:hAnsi="Times New Roman" w:cs="Times New Roman"/>
                <w:b/>
                <w:bCs/>
                <w:sz w:val="20"/>
                <w:szCs w:val="20"/>
              </w:rPr>
            </w:pPr>
            <w:bookmarkStart w:id="0" w:name="_GoBack"/>
            <w:bookmarkEnd w:id="0"/>
            <w:r w:rsidRPr="0059761E">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59761E" w:rsidRPr="0059761E" w:rsidRDefault="0077472F" w:rsidP="005A67FA">
            <w:pPr>
              <w:pStyle w:val="wordsection1"/>
              <w:rPr>
                <w:b/>
                <w:bCs/>
                <w:sz w:val="20"/>
                <w:szCs w:val="20"/>
                <w:lang w:eastAsia="en-US"/>
              </w:rPr>
            </w:pPr>
            <w:r>
              <w:rPr>
                <w:b/>
                <w:bCs/>
                <w:sz w:val="20"/>
                <w:szCs w:val="20"/>
                <w:lang w:eastAsia="en-US"/>
              </w:rPr>
              <w:t>Digi’board 31/12/2017</w:t>
            </w:r>
          </w:p>
        </w:tc>
        <w:tc>
          <w:tcPr>
            <w:tcW w:w="12332" w:type="dxa"/>
            <w:tcBorders>
              <w:top w:val="single" w:sz="4" w:space="0" w:color="auto"/>
              <w:left w:val="single" w:sz="4" w:space="0" w:color="auto"/>
              <w:bottom w:val="single" w:sz="4" w:space="0" w:color="auto"/>
              <w:right w:val="single" w:sz="4" w:space="0" w:color="auto"/>
            </w:tcBorders>
          </w:tcPr>
          <w:p w:rsidR="0059761E" w:rsidRPr="007823B6" w:rsidRDefault="0077472F" w:rsidP="007B511B">
            <w:pPr>
              <w:numPr>
                <w:ilvl w:val="0"/>
                <w:numId w:val="8"/>
              </w:numPr>
              <w:ind w:left="176" w:hanging="176"/>
              <w:contextualSpacing/>
              <w:jc w:val="both"/>
              <w:rPr>
                <w:rFonts w:ascii="Times New Roman" w:hAnsi="Times New Roman" w:cs="Times New Roman"/>
                <w:color w:val="1F497D"/>
                <w:sz w:val="20"/>
                <w:szCs w:val="20"/>
              </w:rPr>
            </w:pPr>
            <w:r w:rsidRPr="007823B6">
              <w:rPr>
                <w:rFonts w:ascii="Times New Roman" w:hAnsi="Times New Roman" w:cs="Times New Roman"/>
                <w:sz w:val="20"/>
                <w:szCs w:val="20"/>
              </w:rPr>
              <w:t>Retrouvez votre suivi Digi’board à fin décembre 2017, dans votre espace Pilotage de la Rubrique des Commerciaux (</w:t>
            </w:r>
            <w:hyperlink r:id="rId33" w:history="1">
              <w:r w:rsidRPr="007823B6">
                <w:rPr>
                  <w:rStyle w:val="Lienhypertexte"/>
                  <w:rFonts w:ascii="Times New Roman" w:hAnsi="Times New Roman" w:cs="Times New Roman"/>
                  <w:sz w:val="20"/>
                  <w:szCs w:val="20"/>
                </w:rPr>
                <w:t>cliquez ici</w:t>
              </w:r>
            </w:hyperlink>
            <w:r w:rsidRPr="007823B6">
              <w:rPr>
                <w:rFonts w:ascii="Times New Roman" w:hAnsi="Times New Roman" w:cs="Times New Roman"/>
                <w:sz w:val="20"/>
                <w:szCs w:val="20"/>
              </w:rPr>
              <w:t xml:space="preserve">). En 2017, </w:t>
            </w:r>
            <w:r w:rsidRPr="007823B6">
              <w:rPr>
                <w:rFonts w:ascii="Times New Roman" w:hAnsi="Times New Roman" w:cs="Times New Roman"/>
                <w:b/>
                <w:sz w:val="20"/>
                <w:szCs w:val="20"/>
              </w:rPr>
              <w:t>75 925 nouvelles coordonnées (mails + numéros de portable) contre 128 019 à fin décembre 2016.</w:t>
            </w:r>
          </w:p>
        </w:tc>
      </w:tr>
      <w:tr w:rsidR="002E0938" w:rsidRPr="00E81F6E"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2E0938" w:rsidRPr="007823B6" w:rsidRDefault="002E0938" w:rsidP="0036331E">
            <w:pPr>
              <w:rPr>
                <w:rFonts w:ascii="Times New Roman" w:hAnsi="Times New Roman" w:cs="Times New Roman"/>
                <w:b/>
                <w:bCs/>
                <w:sz w:val="20"/>
                <w:szCs w:val="20"/>
              </w:rPr>
            </w:pPr>
            <w:r w:rsidRPr="007823B6">
              <w:rPr>
                <w:rFonts w:ascii="Times New Roman" w:hAnsi="Times New Roman" w:cs="Times New Roman"/>
                <w:b/>
                <w:bCs/>
                <w:sz w:val="20"/>
                <w:szCs w:val="20"/>
              </w:rPr>
              <w:t xml:space="preserve">Com. </w:t>
            </w:r>
            <w:r w:rsidR="0036331E" w:rsidRPr="007823B6">
              <w:rPr>
                <w:rFonts w:ascii="Times New Roman" w:hAnsi="Times New Roman" w:cs="Times New Roman"/>
                <w:b/>
                <w:bCs/>
                <w:sz w:val="20"/>
                <w:szCs w:val="20"/>
              </w:rPr>
              <w:t>Crédits</w:t>
            </w:r>
          </w:p>
        </w:tc>
        <w:tc>
          <w:tcPr>
            <w:tcW w:w="1843" w:type="dxa"/>
            <w:tcBorders>
              <w:top w:val="single" w:sz="4" w:space="0" w:color="auto"/>
              <w:left w:val="single" w:sz="4" w:space="0" w:color="auto"/>
              <w:bottom w:val="single" w:sz="4" w:space="0" w:color="auto"/>
              <w:right w:val="single" w:sz="4" w:space="0" w:color="auto"/>
            </w:tcBorders>
          </w:tcPr>
          <w:p w:rsidR="002E0938" w:rsidRPr="007823B6" w:rsidRDefault="002E0938" w:rsidP="00A57700">
            <w:pPr>
              <w:rPr>
                <w:rFonts w:ascii="Times New Roman" w:hAnsi="Times New Roman" w:cs="Times New Roman"/>
                <w:b/>
                <w:bCs/>
                <w:color w:val="000000"/>
                <w:sz w:val="20"/>
                <w:szCs w:val="20"/>
              </w:rPr>
            </w:pPr>
            <w:r w:rsidRPr="007823B6">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2E0938" w:rsidRPr="007823B6" w:rsidRDefault="002E0938" w:rsidP="007823B6">
            <w:pPr>
              <w:pStyle w:val="Paragraphedeliste"/>
              <w:numPr>
                <w:ilvl w:val="0"/>
                <w:numId w:val="2"/>
              </w:numPr>
              <w:ind w:left="176" w:hanging="176"/>
              <w:jc w:val="both"/>
              <w:rPr>
                <w:rFonts w:ascii="Times New Roman" w:hAnsi="Times New Roman" w:cs="Times New Roman"/>
                <w:bCs/>
                <w:sz w:val="20"/>
                <w:szCs w:val="20"/>
                <w:lang w:eastAsia="fr-FR"/>
              </w:rPr>
            </w:pPr>
            <w:r w:rsidRPr="007823B6">
              <w:rPr>
                <w:rFonts w:ascii="Times New Roman" w:hAnsi="Times New Roman" w:cs="Times New Roman"/>
                <w:sz w:val="20"/>
                <w:szCs w:val="20"/>
              </w:rPr>
              <w:t xml:space="preserve">Vous trouverez en </w:t>
            </w:r>
            <w:hyperlink r:id="rId34" w:history="1">
              <w:r w:rsidRPr="007823B6">
                <w:rPr>
                  <w:rStyle w:val="Lienhypertexte"/>
                  <w:rFonts w:ascii="Times New Roman" w:hAnsi="Times New Roman" w:cs="Times New Roman"/>
                  <w:sz w:val="20"/>
                  <w:szCs w:val="20"/>
                </w:rPr>
                <w:t>cliquant ici</w:t>
              </w:r>
            </w:hyperlink>
            <w:r w:rsidRPr="007823B6">
              <w:rPr>
                <w:rFonts w:ascii="Times New Roman" w:hAnsi="Times New Roman" w:cs="Times New Roman"/>
                <w:sz w:val="20"/>
                <w:szCs w:val="20"/>
              </w:rPr>
              <w:t xml:space="preserve"> </w:t>
            </w:r>
            <w:r w:rsidRPr="007823B6">
              <w:rPr>
                <w:rFonts w:ascii="Times New Roman" w:hAnsi="Times New Roman" w:cs="Times New Roman"/>
                <w:b/>
                <w:sz w:val="20"/>
                <w:szCs w:val="20"/>
              </w:rPr>
              <w:t>l</w:t>
            </w:r>
            <w:r w:rsidR="00FC10BC" w:rsidRPr="007823B6">
              <w:rPr>
                <w:rFonts w:ascii="Times New Roman" w:hAnsi="Times New Roman" w:cs="Times New Roman"/>
                <w:b/>
                <w:sz w:val="20"/>
                <w:szCs w:val="20"/>
              </w:rPr>
              <w:t>a</w:t>
            </w:r>
            <w:r w:rsidR="007823B6" w:rsidRPr="007823B6">
              <w:rPr>
                <w:rFonts w:ascii="Times New Roman" w:hAnsi="Times New Roman" w:cs="Times New Roman"/>
                <w:b/>
                <w:sz w:val="20"/>
                <w:szCs w:val="20"/>
              </w:rPr>
              <w:t xml:space="preserve"> météo des crédits arrêtée au 02</w:t>
            </w:r>
            <w:r w:rsidRPr="007823B6">
              <w:rPr>
                <w:rFonts w:ascii="Times New Roman" w:hAnsi="Times New Roman" w:cs="Times New Roman"/>
                <w:b/>
                <w:sz w:val="20"/>
                <w:szCs w:val="20"/>
              </w:rPr>
              <w:t>/0</w:t>
            </w:r>
            <w:r w:rsidR="007823B6" w:rsidRPr="007823B6">
              <w:rPr>
                <w:rFonts w:ascii="Times New Roman" w:hAnsi="Times New Roman" w:cs="Times New Roman"/>
                <w:b/>
                <w:sz w:val="20"/>
                <w:szCs w:val="20"/>
              </w:rPr>
              <w:t>2</w:t>
            </w:r>
            <w:r w:rsidRPr="007823B6">
              <w:rPr>
                <w:rFonts w:ascii="Times New Roman" w:hAnsi="Times New Roman" w:cs="Times New Roman"/>
                <w:b/>
                <w:sz w:val="20"/>
                <w:szCs w:val="20"/>
              </w:rPr>
              <w:t>/2017.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5"/>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250" w:rsidRDefault="00A91250" w:rsidP="0035465A">
      <w:pPr>
        <w:spacing w:after="0" w:line="240" w:lineRule="auto"/>
      </w:pPr>
      <w:r>
        <w:separator/>
      </w:r>
    </w:p>
  </w:endnote>
  <w:endnote w:type="continuationSeparator" w:id="0">
    <w:p w:rsidR="00A91250" w:rsidRDefault="00A91250"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250" w:rsidRDefault="00A91250" w:rsidP="0035465A">
      <w:pPr>
        <w:spacing w:after="0" w:line="240" w:lineRule="auto"/>
      </w:pPr>
      <w:r>
        <w:separator/>
      </w:r>
    </w:p>
  </w:footnote>
  <w:footnote w:type="continuationSeparator" w:id="0">
    <w:p w:rsidR="00A91250" w:rsidRDefault="00A91250"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C485E78"/>
    <w:multiLevelType w:val="hybridMultilevel"/>
    <w:tmpl w:val="C9764A1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nsid w:val="0F544490"/>
    <w:multiLevelType w:val="hybridMultilevel"/>
    <w:tmpl w:val="295049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8CA03874">
      <w:start w:val="1"/>
      <w:numFmt w:val="bullet"/>
      <w:lvlText w:val="-"/>
      <w:lvlJc w:val="left"/>
      <w:pPr>
        <w:ind w:left="2160" w:hanging="360"/>
      </w:pPr>
      <w:rPr>
        <w:rFonts w:ascii="Times New Roman" w:hAnsi="Times New Roman" w:cs="Times New Roman"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7513CCA"/>
    <w:multiLevelType w:val="hybridMultilevel"/>
    <w:tmpl w:val="A0544380"/>
    <w:lvl w:ilvl="0" w:tplc="040C0003">
      <w:start w:val="1"/>
      <w:numFmt w:val="bullet"/>
      <w:lvlText w:val="o"/>
      <w:lvlJc w:val="left"/>
      <w:pPr>
        <w:ind w:left="535" w:hanging="360"/>
      </w:pPr>
      <w:rPr>
        <w:rFonts w:ascii="Courier New" w:hAnsi="Courier New" w:cs="Courier New" w:hint="default"/>
      </w:rPr>
    </w:lvl>
    <w:lvl w:ilvl="1" w:tplc="040C0003">
      <w:start w:val="1"/>
      <w:numFmt w:val="bullet"/>
      <w:lvlText w:val="o"/>
      <w:lvlJc w:val="left"/>
      <w:pPr>
        <w:ind w:left="1255" w:hanging="360"/>
      </w:pPr>
      <w:rPr>
        <w:rFonts w:ascii="Courier New" w:hAnsi="Courier New" w:cs="Courier New" w:hint="default"/>
      </w:rPr>
    </w:lvl>
    <w:lvl w:ilvl="2" w:tplc="040C0005">
      <w:start w:val="1"/>
      <w:numFmt w:val="bullet"/>
      <w:lvlText w:val=""/>
      <w:lvlJc w:val="left"/>
      <w:pPr>
        <w:ind w:left="1975" w:hanging="360"/>
      </w:pPr>
      <w:rPr>
        <w:rFonts w:ascii="Wingdings" w:hAnsi="Wingdings" w:hint="default"/>
      </w:rPr>
    </w:lvl>
    <w:lvl w:ilvl="3" w:tplc="040C0001">
      <w:start w:val="1"/>
      <w:numFmt w:val="bullet"/>
      <w:lvlText w:val=""/>
      <w:lvlJc w:val="left"/>
      <w:pPr>
        <w:ind w:left="2695" w:hanging="360"/>
      </w:pPr>
      <w:rPr>
        <w:rFonts w:ascii="Symbol" w:hAnsi="Symbol" w:hint="default"/>
      </w:rPr>
    </w:lvl>
    <w:lvl w:ilvl="4" w:tplc="040C0003">
      <w:start w:val="1"/>
      <w:numFmt w:val="bullet"/>
      <w:lvlText w:val="o"/>
      <w:lvlJc w:val="left"/>
      <w:pPr>
        <w:ind w:left="3415" w:hanging="360"/>
      </w:pPr>
      <w:rPr>
        <w:rFonts w:ascii="Courier New" w:hAnsi="Courier New" w:cs="Courier New" w:hint="default"/>
      </w:rPr>
    </w:lvl>
    <w:lvl w:ilvl="5" w:tplc="040C0005">
      <w:start w:val="1"/>
      <w:numFmt w:val="bullet"/>
      <w:lvlText w:val=""/>
      <w:lvlJc w:val="left"/>
      <w:pPr>
        <w:ind w:left="4135" w:hanging="360"/>
      </w:pPr>
      <w:rPr>
        <w:rFonts w:ascii="Wingdings" w:hAnsi="Wingdings" w:hint="default"/>
      </w:rPr>
    </w:lvl>
    <w:lvl w:ilvl="6" w:tplc="040C0001">
      <w:start w:val="1"/>
      <w:numFmt w:val="bullet"/>
      <w:lvlText w:val=""/>
      <w:lvlJc w:val="left"/>
      <w:pPr>
        <w:ind w:left="4855" w:hanging="360"/>
      </w:pPr>
      <w:rPr>
        <w:rFonts w:ascii="Symbol" w:hAnsi="Symbol" w:hint="default"/>
      </w:rPr>
    </w:lvl>
    <w:lvl w:ilvl="7" w:tplc="040C0003">
      <w:start w:val="1"/>
      <w:numFmt w:val="bullet"/>
      <w:lvlText w:val="o"/>
      <w:lvlJc w:val="left"/>
      <w:pPr>
        <w:ind w:left="5575" w:hanging="360"/>
      </w:pPr>
      <w:rPr>
        <w:rFonts w:ascii="Courier New" w:hAnsi="Courier New" w:cs="Courier New" w:hint="default"/>
      </w:rPr>
    </w:lvl>
    <w:lvl w:ilvl="8" w:tplc="040C0005">
      <w:start w:val="1"/>
      <w:numFmt w:val="bullet"/>
      <w:lvlText w:val=""/>
      <w:lvlJc w:val="left"/>
      <w:pPr>
        <w:ind w:left="6295" w:hanging="360"/>
      </w:pPr>
      <w:rPr>
        <w:rFonts w:ascii="Wingdings" w:hAnsi="Wingdings" w:hint="default"/>
      </w:rPr>
    </w:lvl>
  </w:abstractNum>
  <w:abstractNum w:abstractNumId="5">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
    <w:nsid w:val="1CE07DD2"/>
    <w:multiLevelType w:val="hybridMultilevel"/>
    <w:tmpl w:val="618A4B7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1D724E5B"/>
    <w:multiLevelType w:val="hybridMultilevel"/>
    <w:tmpl w:val="741E15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3C890298"/>
    <w:multiLevelType w:val="hybridMultilevel"/>
    <w:tmpl w:val="D2A0D0D6"/>
    <w:lvl w:ilvl="0" w:tplc="2778B1AE">
      <w:start w:val="1"/>
      <w:numFmt w:val="bullet"/>
      <w:suff w:val="space"/>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3">
    <w:nsid w:val="4D2E319F"/>
    <w:multiLevelType w:val="hybridMultilevel"/>
    <w:tmpl w:val="BCA6C02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670E4827"/>
    <w:multiLevelType w:val="hybridMultilevel"/>
    <w:tmpl w:val="A48E895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5">
    <w:nsid w:val="73363FEC"/>
    <w:multiLevelType w:val="hybridMultilevel"/>
    <w:tmpl w:val="B7888618"/>
    <w:lvl w:ilvl="0" w:tplc="040C0003">
      <w:start w:val="1"/>
      <w:numFmt w:val="bullet"/>
      <w:lvlText w:val="o"/>
      <w:lvlJc w:val="left"/>
      <w:pPr>
        <w:ind w:left="907" w:hanging="360"/>
      </w:pPr>
      <w:rPr>
        <w:rFonts w:ascii="Courier New" w:hAnsi="Courier New" w:cs="Courier New" w:hint="default"/>
      </w:rPr>
    </w:lvl>
    <w:lvl w:ilvl="1" w:tplc="040C0003">
      <w:start w:val="1"/>
      <w:numFmt w:val="bullet"/>
      <w:lvlText w:val="o"/>
      <w:lvlJc w:val="left"/>
      <w:pPr>
        <w:ind w:left="1627" w:hanging="360"/>
      </w:pPr>
      <w:rPr>
        <w:rFonts w:ascii="Courier New" w:hAnsi="Courier New" w:cs="Courier New" w:hint="default"/>
      </w:rPr>
    </w:lvl>
    <w:lvl w:ilvl="2" w:tplc="040C0005">
      <w:start w:val="1"/>
      <w:numFmt w:val="bullet"/>
      <w:lvlText w:val=""/>
      <w:lvlJc w:val="left"/>
      <w:pPr>
        <w:ind w:left="2347" w:hanging="360"/>
      </w:pPr>
      <w:rPr>
        <w:rFonts w:ascii="Wingdings" w:hAnsi="Wingdings" w:hint="default"/>
      </w:rPr>
    </w:lvl>
    <w:lvl w:ilvl="3" w:tplc="040C0001">
      <w:start w:val="1"/>
      <w:numFmt w:val="bullet"/>
      <w:lvlText w:val=""/>
      <w:lvlJc w:val="left"/>
      <w:pPr>
        <w:ind w:left="3067" w:hanging="360"/>
      </w:pPr>
      <w:rPr>
        <w:rFonts w:ascii="Symbol" w:hAnsi="Symbol" w:hint="default"/>
      </w:rPr>
    </w:lvl>
    <w:lvl w:ilvl="4" w:tplc="040C0003">
      <w:start w:val="1"/>
      <w:numFmt w:val="bullet"/>
      <w:lvlText w:val="o"/>
      <w:lvlJc w:val="left"/>
      <w:pPr>
        <w:ind w:left="3787" w:hanging="360"/>
      </w:pPr>
      <w:rPr>
        <w:rFonts w:ascii="Courier New" w:hAnsi="Courier New" w:cs="Courier New" w:hint="default"/>
      </w:rPr>
    </w:lvl>
    <w:lvl w:ilvl="5" w:tplc="040C0005">
      <w:start w:val="1"/>
      <w:numFmt w:val="bullet"/>
      <w:lvlText w:val=""/>
      <w:lvlJc w:val="left"/>
      <w:pPr>
        <w:ind w:left="4507" w:hanging="360"/>
      </w:pPr>
      <w:rPr>
        <w:rFonts w:ascii="Wingdings" w:hAnsi="Wingdings" w:hint="default"/>
      </w:rPr>
    </w:lvl>
    <w:lvl w:ilvl="6" w:tplc="040C0001">
      <w:start w:val="1"/>
      <w:numFmt w:val="bullet"/>
      <w:lvlText w:val=""/>
      <w:lvlJc w:val="left"/>
      <w:pPr>
        <w:ind w:left="5227" w:hanging="360"/>
      </w:pPr>
      <w:rPr>
        <w:rFonts w:ascii="Symbol" w:hAnsi="Symbol" w:hint="default"/>
      </w:rPr>
    </w:lvl>
    <w:lvl w:ilvl="7" w:tplc="040C0003">
      <w:start w:val="1"/>
      <w:numFmt w:val="bullet"/>
      <w:lvlText w:val="o"/>
      <w:lvlJc w:val="left"/>
      <w:pPr>
        <w:ind w:left="5947" w:hanging="360"/>
      </w:pPr>
      <w:rPr>
        <w:rFonts w:ascii="Courier New" w:hAnsi="Courier New" w:cs="Courier New" w:hint="default"/>
      </w:rPr>
    </w:lvl>
    <w:lvl w:ilvl="8" w:tplc="040C0005">
      <w:start w:val="1"/>
      <w:numFmt w:val="bullet"/>
      <w:lvlText w:val=""/>
      <w:lvlJc w:val="left"/>
      <w:pPr>
        <w:ind w:left="6667" w:hanging="360"/>
      </w:pPr>
      <w:rPr>
        <w:rFonts w:ascii="Wingdings" w:hAnsi="Wingdings" w:hint="default"/>
      </w:rPr>
    </w:lvl>
  </w:abstractNum>
  <w:num w:numId="1">
    <w:abstractNumId w:val="8"/>
  </w:num>
  <w:num w:numId="2">
    <w:abstractNumId w:val="1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0"/>
  </w:num>
  <w:num w:numId="6">
    <w:abstractNumId w:val="10"/>
  </w:num>
  <w:num w:numId="7">
    <w:abstractNumId w:val="4"/>
  </w:num>
  <w:num w:numId="8">
    <w:abstractNumId w:val="11"/>
  </w:num>
  <w:num w:numId="9">
    <w:abstractNumId w:val="11"/>
  </w:num>
  <w:num w:numId="10">
    <w:abstractNumId w:val="11"/>
  </w:num>
  <w:num w:numId="11">
    <w:abstractNumId w:val="9"/>
  </w:num>
  <w:num w:numId="12">
    <w:abstractNumId w:val="11"/>
  </w:num>
  <w:num w:numId="13">
    <w:abstractNumId w:val="11"/>
  </w:num>
  <w:num w:numId="14">
    <w:abstractNumId w:val="11"/>
  </w:num>
  <w:num w:numId="15">
    <w:abstractNumId w:val="11"/>
  </w:num>
  <w:num w:numId="16">
    <w:abstractNumId w:val="6"/>
  </w:num>
  <w:num w:numId="17">
    <w:abstractNumId w:val="14"/>
  </w:num>
  <w:num w:numId="18">
    <w:abstractNumId w:val="12"/>
  </w:num>
  <w:num w:numId="19">
    <w:abstractNumId w:val="13"/>
  </w:num>
  <w:num w:numId="20">
    <w:abstractNumId w:val="7"/>
  </w:num>
  <w:num w:numId="21">
    <w:abstractNumId w:val="2"/>
  </w:num>
  <w:num w:numId="22">
    <w:abstractNumId w:val="1"/>
  </w:num>
  <w:num w:numId="23">
    <w:abstractNumId w:val="11"/>
  </w:num>
  <w:num w:numId="24">
    <w:abstractNumId w:val="15"/>
  </w:num>
  <w:num w:numId="25">
    <w:abstractNumId w:val="11"/>
  </w:num>
  <w:num w:numId="26">
    <w:abstractNumId w:val="9"/>
  </w:num>
  <w:num w:numId="27">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7B73"/>
    <w:rsid w:val="00060CBC"/>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6A1"/>
    <w:rsid w:val="000C36C3"/>
    <w:rsid w:val="000C39C5"/>
    <w:rsid w:val="000C3EF2"/>
    <w:rsid w:val="000C51EC"/>
    <w:rsid w:val="000C56EB"/>
    <w:rsid w:val="000D1063"/>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60AE"/>
    <w:rsid w:val="00117E30"/>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017"/>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C64"/>
    <w:rsid w:val="00237CAC"/>
    <w:rsid w:val="00240468"/>
    <w:rsid w:val="00240FC0"/>
    <w:rsid w:val="00241BD7"/>
    <w:rsid w:val="002421D5"/>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DBD"/>
    <w:rsid w:val="00267F3E"/>
    <w:rsid w:val="00270A38"/>
    <w:rsid w:val="00271105"/>
    <w:rsid w:val="002725D1"/>
    <w:rsid w:val="00272DCB"/>
    <w:rsid w:val="002733AE"/>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0D5A"/>
    <w:rsid w:val="00312347"/>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531B"/>
    <w:rsid w:val="003758B7"/>
    <w:rsid w:val="00375CBD"/>
    <w:rsid w:val="0037642E"/>
    <w:rsid w:val="0037647F"/>
    <w:rsid w:val="00376CC9"/>
    <w:rsid w:val="003770E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11C"/>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2537"/>
    <w:rsid w:val="0044265D"/>
    <w:rsid w:val="004429E4"/>
    <w:rsid w:val="00443FAA"/>
    <w:rsid w:val="0044422F"/>
    <w:rsid w:val="004450BE"/>
    <w:rsid w:val="00446525"/>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E94"/>
    <w:rsid w:val="005037DA"/>
    <w:rsid w:val="005048AC"/>
    <w:rsid w:val="00504996"/>
    <w:rsid w:val="00505D55"/>
    <w:rsid w:val="005061A3"/>
    <w:rsid w:val="00506CBD"/>
    <w:rsid w:val="00506D7B"/>
    <w:rsid w:val="00506DCF"/>
    <w:rsid w:val="00506EA9"/>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6375"/>
    <w:rsid w:val="005264B2"/>
    <w:rsid w:val="00527384"/>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1479"/>
    <w:rsid w:val="00701D45"/>
    <w:rsid w:val="00702EC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D3B"/>
    <w:rsid w:val="00710D6A"/>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F3B"/>
    <w:rsid w:val="007B60D4"/>
    <w:rsid w:val="007B6F7B"/>
    <w:rsid w:val="007B7861"/>
    <w:rsid w:val="007C0B89"/>
    <w:rsid w:val="007C0C5C"/>
    <w:rsid w:val="007C0CC2"/>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76E"/>
    <w:rsid w:val="008C2898"/>
    <w:rsid w:val="008C2AB5"/>
    <w:rsid w:val="008C316C"/>
    <w:rsid w:val="008C4767"/>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D3A"/>
    <w:rsid w:val="0094354C"/>
    <w:rsid w:val="0094373D"/>
    <w:rsid w:val="009443A2"/>
    <w:rsid w:val="009444C9"/>
    <w:rsid w:val="00944902"/>
    <w:rsid w:val="0094514B"/>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CB0"/>
    <w:rsid w:val="009B45E7"/>
    <w:rsid w:val="009B4CCA"/>
    <w:rsid w:val="009B4D07"/>
    <w:rsid w:val="009B4DC8"/>
    <w:rsid w:val="009B4FE4"/>
    <w:rsid w:val="009B5337"/>
    <w:rsid w:val="009B57E6"/>
    <w:rsid w:val="009B58F2"/>
    <w:rsid w:val="009B5BE8"/>
    <w:rsid w:val="009B5F46"/>
    <w:rsid w:val="009B6518"/>
    <w:rsid w:val="009B6A86"/>
    <w:rsid w:val="009B6E72"/>
    <w:rsid w:val="009B76F7"/>
    <w:rsid w:val="009B7B2B"/>
    <w:rsid w:val="009C0EC8"/>
    <w:rsid w:val="009C0F2D"/>
    <w:rsid w:val="009C1154"/>
    <w:rsid w:val="009C173A"/>
    <w:rsid w:val="009C197B"/>
    <w:rsid w:val="009C3732"/>
    <w:rsid w:val="009C3A64"/>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B7E"/>
    <w:rsid w:val="00A5343E"/>
    <w:rsid w:val="00A55192"/>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250"/>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6B0"/>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2F97"/>
    <w:rsid w:val="00E239B6"/>
    <w:rsid w:val="00E23DBC"/>
    <w:rsid w:val="00E23F4A"/>
    <w:rsid w:val="00E24624"/>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2762"/>
    <w:rsid w:val="00E42CDB"/>
    <w:rsid w:val="00E42FE9"/>
    <w:rsid w:val="00E43FD9"/>
    <w:rsid w:val="00E444FA"/>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864"/>
    <w:rsid w:val="00EC4771"/>
    <w:rsid w:val="00EC4BA1"/>
    <w:rsid w:val="00EC5163"/>
    <w:rsid w:val="00EC530B"/>
    <w:rsid w:val="00EC53B5"/>
    <w:rsid w:val="00EC5845"/>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app/bci/INF/DSB_INF_17_05.pdf" TargetMode="External"/><Relationship Id="rId18" Type="http://schemas.openxmlformats.org/officeDocument/2006/relationships/hyperlink" Target="http://commerciaux.celca.caisse-epargne.fr/download/27/2016/116/2016_03_10_celcassistance_et_personnes_protegees.pdf" TargetMode="External"/><Relationship Id="rId26" Type="http://schemas.openxmlformats.org/officeDocument/2006/relationships/hyperlink" Target="http://commerciaux.celca.caisse-epargne.fr/download/417/epargne-salariale-cesu-cheques-cado-et-de-table/6935/nie-presentation-services-digitaux-reseaux.pptx" TargetMode="External"/><Relationship Id="rId3" Type="http://schemas.openxmlformats.org/officeDocument/2006/relationships/styles" Target="styles.xml"/><Relationship Id="rId21" Type="http://schemas.openxmlformats.org/officeDocument/2006/relationships/hyperlink" Target="http://wnsgprw1.celca.caisse-epargne.fr/app/bci/INF/INF_N009_18_Lancement_de_la_carte_DCVV.pdf" TargetMode="External"/><Relationship Id="rId34" Type="http://schemas.openxmlformats.org/officeDocument/2006/relationships/hyperlink" Target="http://commerciaux.celca.caisse-epargne.fr/download/1176/documents-hors-arbo-2/5429/delai-de-traitement-bdd-dircred-2017.xlsx" TargetMode="External"/><Relationship Id="rId7" Type="http://schemas.openxmlformats.org/officeDocument/2006/relationships/footnotes" Target="footnotes.xml"/><Relationship Id="rId12" Type="http://schemas.openxmlformats.org/officeDocument/2006/relationships/hyperlink" Target="http://commerciaux.celca.caisse-epargne.fr/download/1078/izivente-izicarte-oav/3541/fichier-izicartes-en-instance-3.xlsx" TargetMode="External"/><Relationship Id="rId17" Type="http://schemas.openxmlformats.org/officeDocument/2006/relationships/hyperlink" Target="http://commerciaux.celca.caisse-epargne.fr/particuliers/credits-particuliers/credits-a-la-consommation/liste-des-credits-projet/" TargetMode="External"/><Relationship Id="rId25" Type="http://schemas.openxmlformats.org/officeDocument/2006/relationships/hyperlink" Target="http://infocert.org/index.php?option=com_content&amp;view=article&amp;id=70&amp;Itemid=525" TargetMode="External"/><Relationship Id="rId33" Type="http://schemas.openxmlformats.org/officeDocument/2006/relationships/hyperlink" Target="http://commerciaux.celca.caisse-epargne.fr/global-bdd/pilotage/le-multicanal/lequipement-banque-a-distance/lequipement-banque-a-distance/" TargetMode="External"/><Relationship Id="rId2" Type="http://schemas.openxmlformats.org/officeDocument/2006/relationships/numbering" Target="numbering.xml"/><Relationship Id="rId16" Type="http://schemas.openxmlformats.org/officeDocument/2006/relationships/hyperlink" Target="http://commerciaux.celca.caisse-epargne.fr/download/1157/fichiers-a-traiter/4147/mb_dossiers-domilis-a-saisir-mode-operatoire.docx" TargetMode="External"/><Relationship Id="rId20" Type="http://schemas.openxmlformats.org/officeDocument/2006/relationships/hyperlink" Target="https://www.caisse-epargne.fr/lorraine-champagne-ardenne/tarifs-informations-reglementaires" TargetMode="External"/><Relationship Id="rId29" Type="http://schemas.openxmlformats.org/officeDocument/2006/relationships/hyperlink" Target="http://commerciaux.celca.caisse-epargne.fr/download/1176/documents-hors-arbo-2/6894/suivi-commercialisation-helios-2.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download/442/dilizi/6861/20170131-attestation-dilizi-certification.pdf" TargetMode="External"/><Relationship Id="rId32" Type="http://schemas.openxmlformats.org/officeDocument/2006/relationships/hyperlink" Target="http://commerciaux.celca.caisse-epargne.fr/download/171/les-modes-operatoires-du-gps/6969/20180123-rappels-sur-argent-frais-2018.pptx"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commerciaux.celca.caisse-epargne.fr/download/1157/fichiers-a-traiter/4960/mb_dossiers-domilis-a-saisir.xls" TargetMode="External"/><Relationship Id="rId23" Type="http://schemas.openxmlformats.org/officeDocument/2006/relationships/hyperlink" Target="http://commerciaux.celca.caisse-epargne.fr/global-bdd/actions-commerciales/actions-commerciales/" TargetMode="External"/><Relationship Id="rId28" Type="http://schemas.openxmlformats.org/officeDocument/2006/relationships/hyperlink" Target="http://commerciaux.celca.caisse-epargne.fr/download/1234/saccef/6937/pilotage-flash-pro-01-2018.pdf" TargetMode="External"/><Relationship Id="rId36" Type="http://schemas.openxmlformats.org/officeDocument/2006/relationships/fontTable" Target="fontTable.xml"/><Relationship Id="rId10" Type="http://schemas.openxmlformats.org/officeDocument/2006/relationships/hyperlink" Target="http://commerciaux.celca.caisse-epargne.fr/particuliers/iard-et-prevoyance-3/lutte-anti-resiliation/lutte-anti-resiliation/" TargetMode="External"/><Relationship Id="rId19" Type="http://schemas.openxmlformats.org/officeDocument/2006/relationships/hyperlink" Target="http://commerciaux.celca.caisse-epargne.fr/particuliers/epargne-2/assurance-vie/assurance-vie/" TargetMode="External"/><Relationship Id="rId31" Type="http://schemas.openxmlformats.org/officeDocument/2006/relationships/hyperlink" Target="http://commerciaux.celca.caisse-epargne.fr/download/171/les-modes-operatoires-du-gps/6970/20180123-evolutions-sur-le-pcm.pptx" TargetMode="External"/><Relationship Id="rId4" Type="http://schemas.microsoft.com/office/2007/relationships/stylesWithEffects" Target="stylesWithEffects.xml"/><Relationship Id="rId9" Type="http://schemas.openxmlformats.org/officeDocument/2006/relationships/hyperlink" Target="http://commerciaux.celca.caisse-epargne.fr/particuliers/epargne-2/epargne-logement/epargne-logement/" TargetMode="External"/><Relationship Id="rId14" Type="http://schemas.openxmlformats.org/officeDocument/2006/relationships/hyperlink" Target="http://commerciaux.celca.caisse-epargne.fr/particuliers/epargne-2/livrets/livret-a-lep-ldd-livret-jeune/livret-a-lep-ldd-livret-jeune/" TargetMode="External"/><Relationship Id="rId22" Type="http://schemas.openxmlformats.org/officeDocument/2006/relationships/hyperlink" Target="http://commerciaux.celca.caisse-epargne.fr/global-bdd/actions-commerciales/actions-commerciales/" TargetMode="External"/><Relationship Id="rId27" Type="http://schemas.openxmlformats.org/officeDocument/2006/relationships/hyperlink" Target="http://commerciaux.celca.caisse-epargne.fr/download/439/offre-monetique/6926/201712-suivi-activite-tpe.xlsm" TargetMode="External"/><Relationship Id="rId30" Type="http://schemas.openxmlformats.org/officeDocument/2006/relationships/hyperlink" Target="http://commerciaux.celca.caisse-epargne.fr/download/1176/documents-hors-arbo-2/6895/suivi-commercialisation-iris-3.xlsx" TargetMode="External"/><Relationship Id="rId35"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68814D-BDB3-475E-9701-C35C6EAB0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601</TotalTime>
  <Pages>1</Pages>
  <Words>2541</Words>
  <Characters>13980</Characters>
  <Application>Microsoft Office Word</Application>
  <DocSecurity>0</DocSecurity>
  <Lines>116</Lines>
  <Paragraphs>32</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16489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42</cp:revision>
  <dcterms:created xsi:type="dcterms:W3CDTF">2018-01-22T16:25:00Z</dcterms:created>
  <dcterms:modified xsi:type="dcterms:W3CDTF">2018-02-05T16:29:00Z</dcterms:modified>
</cp:coreProperties>
</file>