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2164C6">
              <w:rPr>
                <w:rFonts w:ascii="Times New Roman" w:hAnsi="Times New Roman" w:cs="Times New Roman"/>
                <w:b/>
                <w:sz w:val="32"/>
                <w:szCs w:val="40"/>
              </w:rPr>
              <w:t>8</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8C4B51" w:rsidRPr="00E81F6E" w:rsidTr="00AF3BE3">
        <w:trPr>
          <w:trHeight w:val="169"/>
        </w:trPr>
        <w:tc>
          <w:tcPr>
            <w:tcW w:w="1560" w:type="dxa"/>
            <w:tcBorders>
              <w:bottom w:val="single" w:sz="4" w:space="0" w:color="auto"/>
            </w:tcBorders>
            <w:shd w:val="clear" w:color="auto" w:fill="FFFFFF" w:themeFill="background1"/>
          </w:tcPr>
          <w:p w:rsidR="008C4B51" w:rsidRDefault="008C4B51">
            <w:pPr>
              <w:rPr>
                <w:rFonts w:ascii="Times New Roman" w:hAnsi="Times New Roman" w:cs="Times New Roman"/>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8C4B51" w:rsidRPr="008C4B51" w:rsidRDefault="008C4B51">
            <w:pPr>
              <w:rPr>
                <w:rFonts w:ascii="Times New Roman" w:hAnsi="Times New Roman" w:cs="Times New Roman"/>
                <w:b/>
                <w:bCs/>
                <w:color w:val="000000"/>
                <w:sz w:val="20"/>
                <w:szCs w:val="20"/>
              </w:rPr>
            </w:pPr>
            <w:r w:rsidRPr="008C4B51">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8C4B51" w:rsidRPr="00B77E2C" w:rsidRDefault="00A51B64" w:rsidP="008C4B51">
            <w:pPr>
              <w:numPr>
                <w:ilvl w:val="0"/>
                <w:numId w:val="41"/>
              </w:numPr>
              <w:ind w:left="176" w:hanging="176"/>
              <w:contextualSpacing/>
              <w:jc w:val="both"/>
              <w:rPr>
                <w:rFonts w:ascii="Times New Roman" w:hAnsi="Times New Roman" w:cs="Times New Roman"/>
                <w:b/>
                <w:bCs/>
                <w:color w:val="000000"/>
                <w:sz w:val="20"/>
                <w:szCs w:val="20"/>
              </w:rPr>
            </w:pPr>
            <w:hyperlink r:id="rId9" w:history="1">
              <w:r w:rsidR="008C4B51" w:rsidRPr="00B77E2C">
                <w:rPr>
                  <w:rStyle w:val="Lienhypertexte"/>
                  <w:rFonts w:ascii="Times New Roman" w:hAnsi="Times New Roman" w:cs="Times New Roman"/>
                  <w:color w:val="000000"/>
                  <w:sz w:val="20"/>
                  <w:szCs w:val="20"/>
                  <w:lang w:eastAsia="fr-FR"/>
                </w:rPr>
                <w:t>CLIQUEZ ICI</w:t>
              </w:r>
            </w:hyperlink>
            <w:r w:rsidR="008C4B51" w:rsidRPr="00B77E2C">
              <w:rPr>
                <w:rFonts w:ascii="Times New Roman" w:hAnsi="Times New Roman" w:cs="Times New Roman"/>
                <w:color w:val="000000"/>
                <w:sz w:val="20"/>
                <w:szCs w:val="20"/>
                <w:lang w:eastAsia="fr-FR"/>
              </w:rPr>
              <w:t xml:space="preserve"> pour accéder à la liste des PEL potentiellement en non-respect arrêté au 18 février 2018 qui seront clôturés à J+1 de la date anniversaire (volumétrie 560 clients).</w:t>
            </w:r>
          </w:p>
        </w:tc>
      </w:tr>
      <w:tr w:rsidR="008C4B51" w:rsidRPr="00E81F6E" w:rsidTr="00AF3BE3">
        <w:trPr>
          <w:trHeight w:val="334"/>
        </w:trPr>
        <w:tc>
          <w:tcPr>
            <w:tcW w:w="1560" w:type="dxa"/>
            <w:tcBorders>
              <w:bottom w:val="single" w:sz="4" w:space="0" w:color="auto"/>
            </w:tcBorders>
            <w:shd w:val="clear" w:color="auto" w:fill="FFFFFF" w:themeFill="background1"/>
          </w:tcPr>
          <w:p w:rsidR="008C4B51" w:rsidRDefault="008C4B51">
            <w:pPr>
              <w:rPr>
                <w:rFonts w:ascii="Times New Roman" w:hAnsi="Times New Roman" w:cs="Times New Roman"/>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8C4B51" w:rsidRPr="008C4B51" w:rsidRDefault="008C4B51">
            <w:pPr>
              <w:rPr>
                <w:rFonts w:ascii="Times New Roman" w:hAnsi="Times New Roman" w:cs="Times New Roman"/>
                <w:b/>
                <w:bCs/>
                <w:color w:val="000000"/>
                <w:sz w:val="20"/>
                <w:szCs w:val="20"/>
              </w:rPr>
            </w:pPr>
            <w:r w:rsidRPr="008C4B51">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8C4B51" w:rsidRPr="00B77E2C" w:rsidRDefault="00A51B64" w:rsidP="008C4B51">
            <w:pPr>
              <w:numPr>
                <w:ilvl w:val="0"/>
                <w:numId w:val="41"/>
              </w:numPr>
              <w:ind w:left="176" w:hanging="176"/>
              <w:contextualSpacing/>
              <w:jc w:val="both"/>
              <w:rPr>
                <w:rFonts w:ascii="Times New Roman" w:hAnsi="Times New Roman" w:cs="Times New Roman"/>
                <w:color w:val="000000"/>
                <w:sz w:val="20"/>
                <w:szCs w:val="20"/>
                <w:lang w:eastAsia="fr-FR"/>
              </w:rPr>
            </w:pPr>
            <w:hyperlink r:id="rId10" w:history="1">
              <w:r w:rsidR="008C4B51" w:rsidRPr="00B77E2C">
                <w:rPr>
                  <w:rStyle w:val="Lienhypertexte"/>
                  <w:rFonts w:ascii="Times New Roman" w:hAnsi="Times New Roman" w:cs="Times New Roman"/>
                  <w:color w:val="000000"/>
                  <w:sz w:val="20"/>
                  <w:szCs w:val="20"/>
                  <w:lang w:eastAsia="fr-FR"/>
                </w:rPr>
                <w:t>CLIQUEZ ICI</w:t>
              </w:r>
            </w:hyperlink>
            <w:r w:rsidR="008C4B51" w:rsidRPr="00B77E2C">
              <w:rPr>
                <w:rFonts w:ascii="Times New Roman" w:hAnsi="Times New Roman" w:cs="Times New Roman"/>
                <w:color w:val="000000"/>
                <w:sz w:val="20"/>
                <w:szCs w:val="20"/>
                <w:lang w:eastAsia="fr-FR"/>
              </w:rPr>
              <w:t xml:space="preserve"> pour accéder au fichier Lutte anti-résiliation IARD arrêté au 29 janvier 2018 (volumétrie 219 clients). </w:t>
            </w:r>
          </w:p>
        </w:tc>
      </w:tr>
      <w:tr w:rsidR="008C4B51" w:rsidRPr="00E81F6E" w:rsidTr="00AF3BE3">
        <w:trPr>
          <w:trHeight w:val="365"/>
        </w:trPr>
        <w:tc>
          <w:tcPr>
            <w:tcW w:w="1560" w:type="dxa"/>
            <w:tcBorders>
              <w:bottom w:val="single" w:sz="4" w:space="0" w:color="auto"/>
            </w:tcBorders>
            <w:shd w:val="clear" w:color="auto" w:fill="FFFFFF" w:themeFill="background1"/>
          </w:tcPr>
          <w:p w:rsidR="008C4B51" w:rsidRDefault="008C4B51">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8C4B51" w:rsidRPr="008C4B51" w:rsidRDefault="008C4B51">
            <w:pPr>
              <w:rPr>
                <w:rFonts w:ascii="Times New Roman" w:hAnsi="Times New Roman" w:cs="Times New Roman"/>
                <w:b/>
                <w:bCs/>
                <w:color w:val="000000"/>
                <w:sz w:val="20"/>
                <w:szCs w:val="20"/>
              </w:rPr>
            </w:pPr>
            <w:r w:rsidRPr="008C4B51">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8C4B51" w:rsidRPr="00B77E2C" w:rsidRDefault="00A51B64" w:rsidP="008C4B51">
            <w:pPr>
              <w:numPr>
                <w:ilvl w:val="0"/>
                <w:numId w:val="41"/>
              </w:numPr>
              <w:ind w:left="176" w:hanging="176"/>
              <w:contextualSpacing/>
              <w:jc w:val="both"/>
              <w:rPr>
                <w:rFonts w:ascii="Times New Roman" w:hAnsi="Times New Roman" w:cs="Times New Roman"/>
                <w:color w:val="000000"/>
                <w:sz w:val="20"/>
                <w:szCs w:val="20"/>
                <w:lang w:eastAsia="fr-FR"/>
              </w:rPr>
            </w:pPr>
            <w:hyperlink r:id="rId11" w:history="1">
              <w:r w:rsidR="008C4B51" w:rsidRPr="00B77E2C">
                <w:rPr>
                  <w:rStyle w:val="Lienhypertexte"/>
                  <w:rFonts w:ascii="Times New Roman" w:hAnsi="Times New Roman" w:cs="Times New Roman"/>
                  <w:color w:val="000000"/>
                  <w:sz w:val="20"/>
                  <w:szCs w:val="20"/>
                  <w:lang w:eastAsia="fr-FR"/>
                </w:rPr>
                <w:t>CLIQUEZ ICI</w:t>
              </w:r>
            </w:hyperlink>
            <w:r w:rsidR="008C4B51" w:rsidRPr="00B77E2C">
              <w:rPr>
                <w:rFonts w:ascii="Times New Roman" w:hAnsi="Times New Roman" w:cs="Times New Roman"/>
                <w:color w:val="000000"/>
                <w:sz w:val="20"/>
                <w:szCs w:val="20"/>
                <w:lang w:eastAsia="fr-FR"/>
              </w:rPr>
              <w:t xml:space="preserve"> pour accéder au fichier de surveillance IARD de février et mars 2018 (volumétrie 189 clients).</w:t>
            </w:r>
          </w:p>
        </w:tc>
      </w:tr>
      <w:tr w:rsidR="008C4B51" w:rsidRPr="00E81F6E" w:rsidTr="00AF3BE3">
        <w:trPr>
          <w:trHeight w:val="169"/>
        </w:trPr>
        <w:tc>
          <w:tcPr>
            <w:tcW w:w="1560" w:type="dxa"/>
            <w:tcBorders>
              <w:bottom w:val="single" w:sz="4" w:space="0" w:color="auto"/>
            </w:tcBorders>
            <w:shd w:val="clear" w:color="auto" w:fill="FFFFFF" w:themeFill="background1"/>
          </w:tcPr>
          <w:p w:rsidR="008C4B51" w:rsidRDefault="008C4B51">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8C4B51" w:rsidRPr="008C4B51" w:rsidRDefault="008C4B51">
            <w:pPr>
              <w:rPr>
                <w:rFonts w:ascii="Times New Roman" w:hAnsi="Times New Roman" w:cs="Times New Roman"/>
                <w:b/>
                <w:bCs/>
                <w:color w:val="000000"/>
                <w:sz w:val="20"/>
                <w:szCs w:val="20"/>
              </w:rPr>
            </w:pPr>
            <w:r w:rsidRPr="008C4B51">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8C4B51" w:rsidRPr="00B77E2C" w:rsidRDefault="008C4B51" w:rsidP="008C4B51">
            <w:pPr>
              <w:numPr>
                <w:ilvl w:val="0"/>
                <w:numId w:val="41"/>
              </w:numPr>
              <w:ind w:left="176" w:hanging="176"/>
              <w:contextualSpacing/>
              <w:jc w:val="both"/>
              <w:rPr>
                <w:rFonts w:ascii="Times New Roman" w:hAnsi="Times New Roman" w:cs="Times New Roman"/>
                <w:color w:val="000000"/>
                <w:sz w:val="20"/>
                <w:szCs w:val="20"/>
              </w:rPr>
            </w:pPr>
            <w:r w:rsidRPr="00B77E2C">
              <w:rPr>
                <w:rFonts w:ascii="Times New Roman" w:hAnsi="Times New Roman" w:cs="Times New Roman"/>
                <w:color w:val="000000"/>
                <w:sz w:val="20"/>
                <w:szCs w:val="20"/>
                <w:lang w:eastAsia="fr-FR"/>
              </w:rPr>
              <w:t xml:space="preserve">Comme indiqué dans la note </w:t>
            </w:r>
            <w:hyperlink r:id="rId12" w:history="1">
              <w:r w:rsidRPr="00B77E2C">
                <w:rPr>
                  <w:rStyle w:val="Lienhypertexte"/>
                  <w:rFonts w:ascii="Times New Roman" w:hAnsi="Times New Roman" w:cs="Times New Roman"/>
                  <w:color w:val="000000"/>
                  <w:sz w:val="20"/>
                  <w:szCs w:val="20"/>
                  <w:lang w:eastAsia="fr-FR"/>
                </w:rPr>
                <w:t>DSB INF17/05</w:t>
              </w:r>
            </w:hyperlink>
            <w:r w:rsidRPr="00B77E2C">
              <w:rPr>
                <w:rFonts w:ascii="Times New Roman" w:hAnsi="Times New Roman" w:cs="Times New Roman"/>
                <w:color w:val="000000"/>
                <w:sz w:val="20"/>
                <w:szCs w:val="20"/>
                <w:lang w:eastAsia="fr-FR"/>
              </w:rPr>
              <w:t xml:space="preserve">, vous trouverez la liste des Livrets A ouverts en janvier suite à clôture à la concurrence en </w:t>
            </w:r>
            <w:hyperlink r:id="rId13" w:history="1">
              <w:r w:rsidRPr="00B77E2C">
                <w:rPr>
                  <w:rStyle w:val="Lienhypertexte"/>
                  <w:rFonts w:ascii="Times New Roman" w:hAnsi="Times New Roman" w:cs="Times New Roman"/>
                  <w:color w:val="000000"/>
                  <w:sz w:val="20"/>
                  <w:szCs w:val="20"/>
                  <w:lang w:eastAsia="fr-FR"/>
                </w:rPr>
                <w:t>cliquant ici</w:t>
              </w:r>
            </w:hyperlink>
            <w:r w:rsidRPr="00B77E2C">
              <w:rPr>
                <w:rFonts w:ascii="Times New Roman" w:hAnsi="Times New Roman" w:cs="Times New Roman"/>
                <w:color w:val="000000"/>
                <w:sz w:val="20"/>
                <w:szCs w:val="20"/>
                <w:lang w:eastAsia="fr-FR"/>
              </w:rPr>
              <w:t xml:space="preserve"> (219 clients).</w:t>
            </w:r>
          </w:p>
        </w:tc>
      </w:tr>
      <w:tr w:rsidR="008C4B51" w:rsidRPr="00E81F6E" w:rsidTr="00AF3BE3">
        <w:trPr>
          <w:trHeight w:val="169"/>
        </w:trPr>
        <w:tc>
          <w:tcPr>
            <w:tcW w:w="1560" w:type="dxa"/>
            <w:tcBorders>
              <w:bottom w:val="single" w:sz="4" w:space="0" w:color="auto"/>
            </w:tcBorders>
            <w:shd w:val="clear" w:color="auto" w:fill="FFFFFF" w:themeFill="background1"/>
          </w:tcPr>
          <w:p w:rsidR="008C4B51" w:rsidRDefault="008C4B51">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8C4B51" w:rsidRPr="008C4B51" w:rsidRDefault="008C4B51">
            <w:pPr>
              <w:rPr>
                <w:rFonts w:ascii="Times New Roman" w:hAnsi="Times New Roman" w:cs="Times New Roman"/>
                <w:b/>
                <w:bCs/>
                <w:color w:val="000000"/>
                <w:sz w:val="20"/>
                <w:szCs w:val="20"/>
              </w:rPr>
            </w:pPr>
            <w:r w:rsidRPr="008C4B51">
              <w:rPr>
                <w:rFonts w:ascii="Times New Roman" w:hAnsi="Times New Roman" w:cs="Times New Roman"/>
                <w:b/>
                <w:bCs/>
                <w:color w:val="000000"/>
                <w:sz w:val="20"/>
                <w:szCs w:val="20"/>
              </w:rPr>
              <w:t>PEP</w:t>
            </w:r>
          </w:p>
        </w:tc>
        <w:tc>
          <w:tcPr>
            <w:tcW w:w="12332" w:type="dxa"/>
            <w:tcBorders>
              <w:bottom w:val="single" w:sz="4" w:space="0" w:color="auto"/>
            </w:tcBorders>
            <w:shd w:val="clear" w:color="auto" w:fill="FFFFFF" w:themeFill="background1"/>
          </w:tcPr>
          <w:p w:rsidR="008C4B51" w:rsidRPr="00B77E2C" w:rsidRDefault="008C4B51" w:rsidP="008C4B51">
            <w:pPr>
              <w:numPr>
                <w:ilvl w:val="0"/>
                <w:numId w:val="41"/>
              </w:numPr>
              <w:ind w:left="176" w:hanging="176"/>
              <w:contextualSpacing/>
              <w:jc w:val="both"/>
              <w:rPr>
                <w:rFonts w:ascii="Times New Roman" w:hAnsi="Times New Roman" w:cs="Times New Roman"/>
                <w:color w:val="000000"/>
                <w:sz w:val="20"/>
                <w:szCs w:val="20"/>
              </w:rPr>
            </w:pPr>
            <w:r w:rsidRPr="00B77E2C">
              <w:rPr>
                <w:rFonts w:ascii="Times New Roman" w:hAnsi="Times New Roman" w:cs="Times New Roman"/>
                <w:color w:val="000000"/>
                <w:sz w:val="20"/>
                <w:szCs w:val="20"/>
              </w:rPr>
              <w:t>Les relevés de comptes PEP arrêtés au 31/12/2017 ont été envoyés la semaine dernière par voie postale (volumétrie : 1194 clients).</w:t>
            </w:r>
          </w:p>
        </w:tc>
      </w:tr>
      <w:tr w:rsidR="00B77E2C" w:rsidRPr="00E81F6E" w:rsidTr="00AF3BE3">
        <w:trPr>
          <w:trHeight w:val="515"/>
        </w:trPr>
        <w:tc>
          <w:tcPr>
            <w:tcW w:w="1560" w:type="dxa"/>
            <w:tcBorders>
              <w:bottom w:val="single" w:sz="4" w:space="0" w:color="auto"/>
            </w:tcBorders>
            <w:shd w:val="clear" w:color="auto" w:fill="FFFFFF" w:themeFill="background1"/>
          </w:tcPr>
          <w:p w:rsidR="00B77E2C" w:rsidRPr="00B77E2C" w:rsidRDefault="00B77E2C">
            <w:pPr>
              <w:spacing w:after="200" w:line="276" w:lineRule="auto"/>
              <w:rPr>
                <w:rFonts w:ascii="Times New Roman" w:hAnsi="Times New Roman" w:cs="Times New Roman"/>
                <w:b/>
                <w:bCs/>
                <w:sz w:val="20"/>
                <w:szCs w:val="20"/>
              </w:rPr>
            </w:pPr>
            <w:r w:rsidRPr="00B77E2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B77E2C" w:rsidRDefault="00B77E2C" w:rsidP="00B77E2C">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B77E2C" w:rsidRPr="00B77E2C" w:rsidRDefault="00A51B64" w:rsidP="00B77E2C">
            <w:pPr>
              <w:numPr>
                <w:ilvl w:val="0"/>
                <w:numId w:val="45"/>
              </w:numPr>
              <w:ind w:left="176" w:hanging="176"/>
              <w:contextualSpacing/>
              <w:jc w:val="both"/>
              <w:rPr>
                <w:rFonts w:ascii="Times New Roman" w:hAnsi="Times New Roman" w:cs="Times New Roman"/>
                <w:sz w:val="20"/>
                <w:szCs w:val="20"/>
                <w:lang w:eastAsia="fr-FR"/>
              </w:rPr>
            </w:pPr>
            <w:hyperlink r:id="rId14" w:history="1">
              <w:r w:rsidR="00B77E2C" w:rsidRPr="00B77E2C">
                <w:rPr>
                  <w:rStyle w:val="Lienhypertexte"/>
                  <w:rFonts w:ascii="Times New Roman" w:hAnsi="Times New Roman" w:cs="Times New Roman"/>
                  <w:sz w:val="20"/>
                  <w:szCs w:val="20"/>
                  <w:lang w:eastAsia="fr-FR"/>
                </w:rPr>
                <w:t>CLIQUEZ ICI</w:t>
              </w:r>
            </w:hyperlink>
            <w:r w:rsidR="00B77E2C" w:rsidRPr="00B77E2C">
              <w:rPr>
                <w:rStyle w:val="Lienhypertexte"/>
                <w:rFonts w:ascii="Times New Roman" w:hAnsi="Times New Roman" w:cs="Times New Roman"/>
                <w:sz w:val="20"/>
                <w:szCs w:val="20"/>
                <w:lang w:eastAsia="fr-FR"/>
              </w:rPr>
              <w:t xml:space="preserve"> </w:t>
            </w:r>
            <w:r w:rsidR="00B77E2C" w:rsidRPr="00B77E2C">
              <w:rPr>
                <w:rFonts w:ascii="Times New Roman" w:hAnsi="Times New Roman" w:cs="Times New Roman"/>
                <w:sz w:val="20"/>
                <w:szCs w:val="20"/>
                <w:lang w:eastAsia="fr-FR"/>
              </w:rPr>
              <w:t>pour trouver</w:t>
            </w:r>
            <w:r w:rsidR="00141E98">
              <w:rPr>
                <w:rFonts w:ascii="Times New Roman" w:hAnsi="Times New Roman" w:cs="Times New Roman"/>
                <w:sz w:val="20"/>
                <w:szCs w:val="20"/>
                <w:lang w:eastAsia="fr-FR"/>
              </w:rPr>
              <w:t xml:space="preserve"> </w:t>
            </w:r>
            <w:r w:rsidR="00B77E2C" w:rsidRPr="00B77E2C">
              <w:rPr>
                <w:rFonts w:ascii="Times New Roman" w:hAnsi="Times New Roman" w:cs="Times New Roman"/>
                <w:sz w:val="20"/>
                <w:szCs w:val="20"/>
                <w:lang w:eastAsia="fr-FR"/>
              </w:rPr>
              <w:t xml:space="preserve">la liste des dossiers Domilis à initier, qui sont pour l’heure en échec suite au rejet des mandats (volumétrie : 485 mandats au 19 février 2018) </w:t>
            </w:r>
            <w:hyperlink r:id="rId15" w:history="1">
              <w:r w:rsidR="00B77E2C" w:rsidRPr="00B77E2C">
                <w:rPr>
                  <w:rStyle w:val="Lienhypertexte"/>
                  <w:rFonts w:ascii="Times New Roman" w:hAnsi="Times New Roman" w:cs="Times New Roman"/>
                  <w:sz w:val="20"/>
                  <w:szCs w:val="20"/>
                  <w:lang w:eastAsia="fr-FR"/>
                </w:rPr>
                <w:t>CLIQUEZ ICI</w:t>
              </w:r>
            </w:hyperlink>
            <w:r w:rsidR="00B77E2C" w:rsidRPr="00B77E2C">
              <w:rPr>
                <w:rFonts w:ascii="Times New Roman" w:hAnsi="Times New Roman" w:cs="Times New Roman"/>
                <w:sz w:val="20"/>
                <w:szCs w:val="20"/>
                <w:lang w:eastAsia="fr-FR"/>
              </w:rPr>
              <w:t xml:space="preserve"> pour accéder au mode opératoire.</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C9523A" w:rsidRPr="00E81F6E" w:rsidTr="00AF3BE3">
        <w:trPr>
          <w:trHeight w:val="248"/>
        </w:trPr>
        <w:tc>
          <w:tcPr>
            <w:tcW w:w="1560" w:type="dxa"/>
            <w:tcBorders>
              <w:bottom w:val="single" w:sz="4" w:space="0" w:color="auto"/>
            </w:tcBorders>
          </w:tcPr>
          <w:p w:rsidR="00C9523A" w:rsidRPr="00EC5853" w:rsidRDefault="00B77E2C" w:rsidP="00C9523A">
            <w:r w:rsidRPr="00EC5853">
              <w:rPr>
                <w:rFonts w:ascii="Times New Roman" w:hAnsi="Times New Roman" w:cs="Times New Roman"/>
                <w:b/>
                <w:bCs/>
                <w:sz w:val="20"/>
                <w:szCs w:val="20"/>
              </w:rPr>
              <w:t>Com. DMA</w:t>
            </w:r>
            <w:r>
              <w:rPr>
                <w:rFonts w:ascii="Times New Roman" w:hAnsi="Times New Roman" w:cs="Times New Roman"/>
                <w:b/>
                <w:bCs/>
                <w:sz w:val="20"/>
                <w:szCs w:val="20"/>
              </w:rPr>
              <w:t>/DRCCP</w:t>
            </w:r>
          </w:p>
        </w:tc>
        <w:tc>
          <w:tcPr>
            <w:tcW w:w="1843" w:type="dxa"/>
            <w:tcBorders>
              <w:bottom w:val="single" w:sz="4" w:space="0" w:color="auto"/>
            </w:tcBorders>
          </w:tcPr>
          <w:p w:rsidR="00C9523A" w:rsidRPr="00EC5853" w:rsidRDefault="006E52E9" w:rsidP="00C9523A">
            <w:pPr>
              <w:rPr>
                <w:rFonts w:ascii="Times New Roman" w:hAnsi="Times New Roman" w:cs="Times New Roman"/>
                <w:b/>
                <w:bCs/>
                <w:sz w:val="20"/>
                <w:szCs w:val="20"/>
              </w:rPr>
            </w:pPr>
            <w:r>
              <w:rPr>
                <w:rFonts w:ascii="Times New Roman" w:hAnsi="Times New Roman" w:cs="Times New Roman"/>
                <w:b/>
                <w:bCs/>
                <w:sz w:val="20"/>
                <w:szCs w:val="20"/>
              </w:rPr>
              <w:t>EAI</w:t>
            </w:r>
          </w:p>
        </w:tc>
        <w:tc>
          <w:tcPr>
            <w:tcW w:w="12332" w:type="dxa"/>
            <w:tcBorders>
              <w:bottom w:val="single" w:sz="4" w:space="0" w:color="auto"/>
            </w:tcBorders>
            <w:shd w:val="clear" w:color="auto" w:fill="auto"/>
          </w:tcPr>
          <w:p w:rsidR="009B6942" w:rsidRPr="009B6942" w:rsidRDefault="009B6942" w:rsidP="006E52E9">
            <w:pPr>
              <w:pStyle w:val="Paragraphedeliste"/>
              <w:numPr>
                <w:ilvl w:val="0"/>
                <w:numId w:val="32"/>
              </w:numPr>
              <w:ind w:left="175" w:hanging="218"/>
              <w:jc w:val="both"/>
              <w:rPr>
                <w:rFonts w:ascii="Times New Roman" w:hAnsi="Times New Roman" w:cs="Times New Roman"/>
                <w:color w:val="1F497D"/>
                <w:sz w:val="20"/>
                <w:szCs w:val="20"/>
              </w:rPr>
            </w:pPr>
            <w:r w:rsidRPr="009B6942">
              <w:rPr>
                <w:rFonts w:ascii="Times New Roman" w:hAnsi="Times New Roman" w:cs="Times New Roman"/>
                <w:sz w:val="20"/>
                <w:szCs w:val="20"/>
              </w:rPr>
              <w:t xml:space="preserve">La réglementation touchant à l’auto-certification fiscale a récemment évolué pour rendre obligatoire la réalisation de cette dernière avant toute ouverture d’un compte éligible. Vous trouverez </w:t>
            </w:r>
            <w:hyperlink r:id="rId16" w:history="1">
              <w:r w:rsidRPr="006E52E9">
                <w:rPr>
                  <w:rStyle w:val="Lienhypertexte"/>
                  <w:rFonts w:ascii="Times New Roman" w:hAnsi="Times New Roman" w:cs="Times New Roman"/>
                  <w:sz w:val="20"/>
                  <w:szCs w:val="20"/>
                </w:rPr>
                <w:t>en cliquant ici</w:t>
              </w:r>
            </w:hyperlink>
            <w:r>
              <w:rPr>
                <w:rStyle w:val="Lienhypertexte"/>
                <w:rFonts w:ascii="Times New Roman" w:hAnsi="Times New Roman" w:cs="Times New Roman"/>
                <w:sz w:val="20"/>
                <w:szCs w:val="20"/>
              </w:rPr>
              <w:t xml:space="preserve"> </w:t>
            </w:r>
            <w:r w:rsidRPr="009B6942">
              <w:rPr>
                <w:rFonts w:ascii="Times New Roman" w:hAnsi="Times New Roman" w:cs="Times New Roman"/>
                <w:sz w:val="20"/>
                <w:szCs w:val="20"/>
              </w:rPr>
              <w:t>un support synthétique expliquant</w:t>
            </w:r>
            <w:r w:rsidR="008C4B51">
              <w:rPr>
                <w:rFonts w:ascii="Times New Roman" w:hAnsi="Times New Roman" w:cs="Times New Roman"/>
                <w:sz w:val="20"/>
                <w:szCs w:val="20"/>
              </w:rPr>
              <w:t xml:space="preserve"> </w:t>
            </w:r>
            <w:r w:rsidRPr="009B6942">
              <w:rPr>
                <w:rFonts w:ascii="Times New Roman" w:hAnsi="Times New Roman" w:cs="Times New Roman"/>
                <w:sz w:val="20"/>
                <w:szCs w:val="20"/>
              </w:rPr>
              <w:t xml:space="preserve">ces nouvelles obligations et le périmètre des produits concernés. </w:t>
            </w:r>
          </w:p>
          <w:p w:rsidR="009B6942" w:rsidRPr="006E52E9" w:rsidRDefault="009B6942" w:rsidP="006E52E9">
            <w:pPr>
              <w:pStyle w:val="Paragraphedeliste"/>
              <w:numPr>
                <w:ilvl w:val="0"/>
                <w:numId w:val="32"/>
              </w:numPr>
              <w:ind w:left="175" w:hanging="218"/>
              <w:jc w:val="both"/>
              <w:rPr>
                <w:rFonts w:ascii="Times New Roman" w:hAnsi="Times New Roman" w:cs="Times New Roman"/>
                <w:color w:val="1F497D"/>
                <w:sz w:val="20"/>
                <w:szCs w:val="20"/>
              </w:rPr>
            </w:pPr>
            <w:r>
              <w:rPr>
                <w:rFonts w:ascii="Times New Roman" w:hAnsi="Times New Roman" w:cs="Times New Roman"/>
                <w:sz w:val="20"/>
                <w:szCs w:val="20"/>
              </w:rPr>
              <w:t>Afin de nous</w:t>
            </w:r>
            <w:r w:rsidRPr="009B6942">
              <w:rPr>
                <w:rFonts w:ascii="Times New Roman" w:hAnsi="Times New Roman" w:cs="Times New Roman"/>
                <w:sz w:val="20"/>
                <w:szCs w:val="20"/>
              </w:rPr>
              <w:t xml:space="preserve"> mettre en conformité</w:t>
            </w:r>
            <w:r>
              <w:rPr>
                <w:rFonts w:ascii="Times New Roman" w:hAnsi="Times New Roman" w:cs="Times New Roman"/>
                <w:sz w:val="20"/>
                <w:szCs w:val="20"/>
              </w:rPr>
              <w:t>,</w:t>
            </w:r>
            <w:r w:rsidRPr="009B6942">
              <w:rPr>
                <w:rFonts w:ascii="Times New Roman" w:hAnsi="Times New Roman" w:cs="Times New Roman"/>
                <w:sz w:val="20"/>
                <w:szCs w:val="20"/>
              </w:rPr>
              <w:t xml:space="preserve"> nous devons </w:t>
            </w:r>
            <w:r w:rsidRPr="009B6942">
              <w:rPr>
                <w:rFonts w:ascii="Times New Roman" w:hAnsi="Times New Roman" w:cs="Times New Roman"/>
                <w:b/>
                <w:sz w:val="20"/>
                <w:szCs w:val="20"/>
              </w:rPr>
              <w:t>également collecter le NIF</w:t>
            </w:r>
            <w:r w:rsidRPr="009B6942">
              <w:rPr>
                <w:rFonts w:ascii="Times New Roman" w:hAnsi="Times New Roman" w:cs="Times New Roman"/>
                <w:sz w:val="20"/>
                <w:szCs w:val="20"/>
              </w:rPr>
              <w:t xml:space="preserve"> (Numéro d’Identification Fiscale) du client. Ce numéro se trouvant sur l’avis d’imposition, il est donc nécessaire de disposer de ce document qui servira également de justificatif de domicile et d’activité pour l’alimentation ou la mise à jour du DRC.</w:t>
            </w:r>
            <w:r>
              <w:rPr>
                <w:color w:val="1F497D"/>
              </w:rPr>
              <w:t> </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rFonts w:ascii="Calibri" w:hAnsi="Calibri" w:cs="Calibri"/>
                <w:color w:val="1F497D"/>
                <w:sz w:val="20"/>
                <w:szCs w:val="20"/>
                <w:lang w:eastAsia="en-US"/>
              </w:rPr>
            </w:pPr>
            <w:r w:rsidRPr="00557B0B">
              <w:rPr>
                <w:b/>
                <w:bCs/>
                <w:color w:val="000000"/>
                <w:sz w:val="20"/>
                <w:szCs w:val="20"/>
              </w:rPr>
              <w:t xml:space="preserve">Temps fort 1 - Cible complémentaire </w:t>
            </w:r>
          </w:p>
        </w:tc>
        <w:tc>
          <w:tcPr>
            <w:tcW w:w="12332" w:type="dxa"/>
            <w:tcBorders>
              <w:bottom w:val="single" w:sz="4" w:space="0" w:color="auto"/>
            </w:tcBorders>
            <w:shd w:val="clear" w:color="auto" w:fill="auto"/>
          </w:tcPr>
          <w:p w:rsidR="00557B0B" w:rsidRPr="00557B0B" w:rsidRDefault="00557B0B" w:rsidP="00557B0B">
            <w:pPr>
              <w:pStyle w:val="Paragraphedeliste"/>
              <w:numPr>
                <w:ilvl w:val="0"/>
                <w:numId w:val="47"/>
              </w:numPr>
              <w:ind w:left="187" w:hanging="187"/>
              <w:jc w:val="both"/>
              <w:rPr>
                <w:rFonts w:ascii="Times New Roman" w:hAnsi="Times New Roman" w:cs="Times New Roman"/>
                <w:sz w:val="20"/>
                <w:szCs w:val="20"/>
                <w:lang w:eastAsia="fr-FR"/>
              </w:rPr>
            </w:pPr>
            <w:r w:rsidRPr="00557B0B">
              <w:rPr>
                <w:rFonts w:ascii="Times New Roman" w:hAnsi="Times New Roman" w:cs="Times New Roman"/>
                <w:sz w:val="20"/>
                <w:szCs w:val="20"/>
                <w:lang w:eastAsia="fr-FR"/>
              </w:rPr>
              <w:t xml:space="preserve">Dans le but de développer l’épargne financière de nos clients, une cible complémentaire sera mise en place dans le cadre du Temps Fort 1 dans les prochains jours. </w:t>
            </w:r>
          </w:p>
          <w:p w:rsidR="00557B0B" w:rsidRPr="00557B0B" w:rsidRDefault="00557B0B" w:rsidP="00557B0B">
            <w:pPr>
              <w:pStyle w:val="Paragraphedeliste"/>
              <w:numPr>
                <w:ilvl w:val="1"/>
                <w:numId w:val="47"/>
              </w:numPr>
              <w:jc w:val="both"/>
              <w:rPr>
                <w:rFonts w:ascii="Times New Roman" w:eastAsia="Times New Roman" w:hAnsi="Times New Roman" w:cs="Times New Roman"/>
                <w:b/>
                <w:bCs/>
                <w:sz w:val="20"/>
                <w:szCs w:val="20"/>
                <w:lang w:eastAsia="fr-FR"/>
              </w:rPr>
            </w:pPr>
            <w:r w:rsidRPr="00557B0B">
              <w:rPr>
                <w:rFonts w:ascii="Times New Roman" w:hAnsi="Times New Roman" w:cs="Times New Roman"/>
                <w:b/>
                <w:bCs/>
                <w:sz w:val="20"/>
                <w:szCs w:val="20"/>
                <w:lang w:eastAsia="fr-FR"/>
              </w:rPr>
              <w:t>Libellé : Clientèle Patrimoniale à Surface Financière Fragile</w:t>
            </w:r>
          </w:p>
          <w:p w:rsidR="00557B0B" w:rsidRPr="00557B0B" w:rsidRDefault="00557B0B" w:rsidP="00557B0B">
            <w:pPr>
              <w:pStyle w:val="Paragraphedeliste"/>
              <w:numPr>
                <w:ilvl w:val="1"/>
                <w:numId w:val="47"/>
              </w:numPr>
              <w:jc w:val="both"/>
              <w:rPr>
                <w:rFonts w:ascii="Times New Roman" w:hAnsi="Times New Roman" w:cs="Times New Roman"/>
                <w:sz w:val="20"/>
                <w:szCs w:val="20"/>
                <w:lang w:eastAsia="fr-FR"/>
              </w:rPr>
            </w:pPr>
            <w:r w:rsidRPr="00557B0B">
              <w:rPr>
                <w:rFonts w:ascii="Times New Roman" w:hAnsi="Times New Roman" w:cs="Times New Roman"/>
                <w:sz w:val="20"/>
                <w:szCs w:val="20"/>
                <w:lang w:eastAsia="fr-FR"/>
              </w:rPr>
              <w:t>Descriptif : Clients dont la surface financière est supérieure à 75 000 € détenant moins de 30 % en épargne financière</w:t>
            </w:r>
          </w:p>
          <w:p w:rsidR="00557B0B" w:rsidRPr="00557B0B" w:rsidRDefault="00557B0B" w:rsidP="00557B0B">
            <w:pPr>
              <w:pStyle w:val="Paragraphedeliste"/>
              <w:numPr>
                <w:ilvl w:val="1"/>
                <w:numId w:val="47"/>
              </w:numPr>
              <w:jc w:val="both"/>
              <w:rPr>
                <w:rFonts w:ascii="Times New Roman" w:hAnsi="Times New Roman" w:cs="Times New Roman"/>
                <w:sz w:val="20"/>
                <w:szCs w:val="20"/>
                <w:lang w:eastAsia="fr-FR"/>
              </w:rPr>
            </w:pPr>
            <w:r w:rsidRPr="00557B0B">
              <w:rPr>
                <w:rFonts w:ascii="Times New Roman" w:hAnsi="Times New Roman" w:cs="Times New Roman"/>
                <w:sz w:val="20"/>
                <w:szCs w:val="20"/>
                <w:lang w:eastAsia="fr-FR"/>
              </w:rPr>
              <w:t>Volumétrie 1</w:t>
            </w:r>
            <w:r w:rsidRPr="00557B0B">
              <w:rPr>
                <w:rFonts w:ascii="Times New Roman" w:hAnsi="Times New Roman" w:cs="Times New Roman"/>
                <w:sz w:val="20"/>
                <w:szCs w:val="20"/>
                <w:vertAlign w:val="superscript"/>
                <w:lang w:eastAsia="fr-FR"/>
              </w:rPr>
              <w:t>er</w:t>
            </w:r>
            <w:r w:rsidRPr="00557B0B">
              <w:rPr>
                <w:rFonts w:ascii="Times New Roman" w:hAnsi="Times New Roman" w:cs="Times New Roman"/>
                <w:sz w:val="20"/>
                <w:szCs w:val="20"/>
                <w:lang w:eastAsia="fr-FR"/>
              </w:rPr>
              <w:t xml:space="preserve"> semestre : 13 000 clients.</w:t>
            </w:r>
            <w:r w:rsidRPr="00557B0B">
              <w:rPr>
                <w:rFonts w:ascii="Times New Roman" w:hAnsi="Times New Roman" w:cs="Times New Roman"/>
                <w:color w:val="1F497D"/>
                <w:sz w:val="20"/>
                <w:szCs w:val="20"/>
                <w:lang w:eastAsia="fr-FR"/>
              </w:rPr>
              <w:t xml:space="preserve"> </w:t>
            </w:r>
          </w:p>
          <w:p w:rsidR="00557B0B" w:rsidRPr="00557B0B" w:rsidRDefault="00557B0B" w:rsidP="00557B0B">
            <w:pPr>
              <w:pStyle w:val="Paragraphedeliste"/>
              <w:numPr>
                <w:ilvl w:val="1"/>
                <w:numId w:val="47"/>
              </w:numPr>
              <w:jc w:val="both"/>
              <w:rPr>
                <w:rFonts w:ascii="Times New Roman" w:hAnsi="Times New Roman" w:cs="Times New Roman"/>
                <w:sz w:val="20"/>
                <w:szCs w:val="20"/>
                <w:lang w:eastAsia="fr-FR"/>
              </w:rPr>
            </w:pPr>
            <w:r w:rsidRPr="00557B0B">
              <w:rPr>
                <w:rFonts w:ascii="Times New Roman" w:hAnsi="Times New Roman" w:cs="Times New Roman"/>
                <w:sz w:val="20"/>
                <w:szCs w:val="20"/>
                <w:lang w:eastAsia="fr-FR"/>
              </w:rPr>
              <w:t>Volumétrie 2</w:t>
            </w:r>
            <w:r w:rsidRPr="00557B0B">
              <w:rPr>
                <w:rFonts w:ascii="Times New Roman" w:hAnsi="Times New Roman" w:cs="Times New Roman"/>
                <w:sz w:val="20"/>
                <w:szCs w:val="20"/>
                <w:vertAlign w:val="superscript"/>
                <w:lang w:eastAsia="fr-FR"/>
              </w:rPr>
              <w:t>nd</w:t>
            </w:r>
            <w:r w:rsidRPr="00557B0B">
              <w:rPr>
                <w:rFonts w:ascii="Times New Roman" w:hAnsi="Times New Roman" w:cs="Times New Roman"/>
                <w:sz w:val="20"/>
                <w:szCs w:val="20"/>
                <w:lang w:eastAsia="fr-FR"/>
              </w:rPr>
              <w:t xml:space="preserve"> semestre : 7 000 clients.</w:t>
            </w:r>
          </w:p>
          <w:p w:rsidR="00557B0B" w:rsidRPr="00557B0B" w:rsidRDefault="00557B0B" w:rsidP="00557B0B">
            <w:pPr>
              <w:pStyle w:val="Paragraphedeliste"/>
              <w:numPr>
                <w:ilvl w:val="0"/>
                <w:numId w:val="47"/>
              </w:numPr>
              <w:ind w:left="187" w:hanging="187"/>
              <w:jc w:val="both"/>
              <w:rPr>
                <w:rFonts w:ascii="Times New Roman" w:hAnsi="Times New Roman" w:cs="Times New Roman"/>
                <w:sz w:val="20"/>
                <w:szCs w:val="20"/>
                <w:lang w:eastAsia="fr-FR"/>
              </w:rPr>
            </w:pPr>
            <w:r w:rsidRPr="00557B0B">
              <w:rPr>
                <w:rFonts w:ascii="Times New Roman" w:hAnsi="Times New Roman" w:cs="Times New Roman"/>
                <w:sz w:val="20"/>
                <w:szCs w:val="20"/>
                <w:lang w:eastAsia="fr-FR"/>
              </w:rPr>
              <w:t>Un pilotage mensuel du traitement cumulé de la cible sera prochainement disponible dans la Rubrique des Commerciaux (dans la Rubrique Pilotage/Actions commerciales).</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rFonts w:ascii="Calibri" w:hAnsi="Calibri" w:cs="Calibri"/>
                <w:color w:val="1F497D"/>
                <w:sz w:val="20"/>
                <w:szCs w:val="20"/>
                <w:lang w:eastAsia="en-US"/>
              </w:rPr>
            </w:pPr>
            <w:r w:rsidRPr="00557B0B">
              <w:rPr>
                <w:b/>
                <w:bCs/>
                <w:color w:val="000000"/>
                <w:sz w:val="20"/>
                <w:szCs w:val="20"/>
              </w:rPr>
              <w:t xml:space="preserve">Assurance vie - </w:t>
            </w:r>
            <w:proofErr w:type="spellStart"/>
            <w:r w:rsidRPr="00557B0B">
              <w:rPr>
                <w:b/>
                <w:bCs/>
                <w:color w:val="000000"/>
                <w:sz w:val="20"/>
                <w:szCs w:val="20"/>
              </w:rPr>
              <w:t>Assurimmeuble</w:t>
            </w:r>
            <w:proofErr w:type="spellEnd"/>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b/>
                <w:bCs/>
                <w:sz w:val="20"/>
                <w:szCs w:val="20"/>
              </w:rPr>
            </w:pPr>
            <w:r w:rsidRPr="00557B0B">
              <w:rPr>
                <w:b/>
                <w:bCs/>
                <w:sz w:val="20"/>
                <w:szCs w:val="20"/>
              </w:rPr>
              <w:t xml:space="preserve">A partir du 20/02/2018, nous vous informons de l’arrêt de la commercialisation du fonds </w:t>
            </w:r>
            <w:proofErr w:type="spellStart"/>
            <w:r w:rsidRPr="00557B0B">
              <w:rPr>
                <w:b/>
                <w:bCs/>
                <w:sz w:val="20"/>
                <w:szCs w:val="20"/>
              </w:rPr>
              <w:t>Assurimmeuble</w:t>
            </w:r>
            <w:proofErr w:type="spellEnd"/>
            <w:r w:rsidRPr="00557B0B">
              <w:rPr>
                <w:b/>
                <w:bCs/>
                <w:sz w:val="20"/>
                <w:szCs w:val="20"/>
              </w:rPr>
              <w:t xml:space="preserve"> pour 2018 compte tenu du niveau de consommation de l’enveloppe contingentée.</w:t>
            </w:r>
          </w:p>
          <w:p w:rsidR="00557B0B" w:rsidRPr="00557B0B" w:rsidRDefault="00557B0B" w:rsidP="00557B0B">
            <w:pPr>
              <w:pStyle w:val="wordsection1"/>
              <w:numPr>
                <w:ilvl w:val="0"/>
                <w:numId w:val="47"/>
              </w:numPr>
              <w:spacing w:before="0" w:beforeAutospacing="0" w:after="0" w:afterAutospacing="0"/>
              <w:ind w:left="187" w:hanging="187"/>
              <w:jc w:val="both"/>
              <w:rPr>
                <w:sz w:val="20"/>
                <w:szCs w:val="20"/>
              </w:rPr>
            </w:pPr>
            <w:r w:rsidRPr="00557B0B">
              <w:rPr>
                <w:sz w:val="20"/>
                <w:szCs w:val="20"/>
              </w:rPr>
              <w:t xml:space="preserve">Seules les propositions commerciales en cours pourront être finalisées dans le respect de la satisfaction client. Toute nouvelle proposition du fonds </w:t>
            </w:r>
            <w:proofErr w:type="spellStart"/>
            <w:r w:rsidRPr="00557B0B">
              <w:rPr>
                <w:sz w:val="20"/>
                <w:szCs w:val="20"/>
              </w:rPr>
              <w:t>Assurimmeuble</w:t>
            </w:r>
            <w:proofErr w:type="spellEnd"/>
            <w:r w:rsidRPr="00557B0B">
              <w:rPr>
                <w:sz w:val="20"/>
                <w:szCs w:val="20"/>
              </w:rPr>
              <w:t xml:space="preserve"> est à exclure.</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color w:val="000000"/>
                <w:sz w:val="20"/>
                <w:szCs w:val="20"/>
                <w:lang w:eastAsia="en-US"/>
              </w:rPr>
            </w:pPr>
            <w:r w:rsidRPr="00557B0B">
              <w:rPr>
                <w:b/>
                <w:bCs/>
                <w:color w:val="000000"/>
                <w:sz w:val="20"/>
                <w:szCs w:val="20"/>
              </w:rPr>
              <w:t>Assurance vie – Revalorisations des rentes 2017</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rFonts w:ascii="Calibri" w:hAnsi="Calibri" w:cs="Calibri"/>
                <w:color w:val="1F497D"/>
                <w:sz w:val="20"/>
                <w:szCs w:val="20"/>
              </w:rPr>
            </w:pPr>
            <w:r w:rsidRPr="00557B0B">
              <w:rPr>
                <w:sz w:val="20"/>
                <w:szCs w:val="20"/>
              </w:rPr>
              <w:t xml:space="preserve">Vous trouverez en </w:t>
            </w:r>
            <w:hyperlink r:id="rId17" w:history="1">
              <w:r w:rsidRPr="00557B0B">
                <w:rPr>
                  <w:rStyle w:val="Lienhypertexte"/>
                  <w:sz w:val="20"/>
                  <w:szCs w:val="20"/>
                </w:rPr>
                <w:t>cliquant ici</w:t>
              </w:r>
            </w:hyperlink>
            <w:r w:rsidRPr="00557B0B">
              <w:rPr>
                <w:sz w:val="20"/>
                <w:szCs w:val="20"/>
              </w:rPr>
              <w:t xml:space="preserve"> les revalorisations des rentes en 2017 applicable</w:t>
            </w:r>
            <w:r w:rsidRPr="00557B0B">
              <w:rPr>
                <w:color w:val="1F497D"/>
                <w:sz w:val="20"/>
                <w:szCs w:val="20"/>
              </w:rPr>
              <w:t>s</w:t>
            </w:r>
            <w:r w:rsidRPr="00557B0B">
              <w:rPr>
                <w:sz w:val="20"/>
                <w:szCs w:val="20"/>
              </w:rPr>
              <w:t xml:space="preserve"> au 01/01/2018 concernant les contrats : MILLEVIE Revenus ; Rente éducation Garantie Famille, Garanties Famille et SECUR’ Famille ; PERP Caisse d’Epargne et Solution PERP ; Ecureuil Assistance Vie, Revenus Pluriel. </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sz w:val="20"/>
                <w:szCs w:val="20"/>
                <w:lang w:eastAsia="en-US"/>
              </w:rPr>
            </w:pPr>
            <w:r w:rsidRPr="00557B0B">
              <w:rPr>
                <w:b/>
                <w:bCs/>
                <w:sz w:val="20"/>
                <w:szCs w:val="20"/>
                <w:lang w:eastAsia="en-US"/>
              </w:rPr>
              <w:t>HDJ MIF 2 -</w:t>
            </w:r>
            <w:r w:rsidR="00BD30E7">
              <w:rPr>
                <w:b/>
                <w:bCs/>
                <w:sz w:val="20"/>
                <w:szCs w:val="20"/>
                <w:lang w:eastAsia="en-US"/>
              </w:rPr>
              <w:t xml:space="preserve"> </w:t>
            </w:r>
            <w:r w:rsidRPr="00557B0B">
              <w:rPr>
                <w:b/>
                <w:bCs/>
                <w:sz w:val="20"/>
                <w:szCs w:val="20"/>
                <w:lang w:eastAsia="en-US"/>
              </w:rPr>
              <w:t>22/02/2018</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sz w:val="20"/>
                <w:szCs w:val="20"/>
              </w:rPr>
            </w:pPr>
            <w:r w:rsidRPr="00557B0B">
              <w:rPr>
                <w:sz w:val="20"/>
                <w:szCs w:val="20"/>
              </w:rPr>
              <w:t>A compter du 1</w:t>
            </w:r>
            <w:r w:rsidRPr="00557B0B">
              <w:rPr>
                <w:sz w:val="20"/>
                <w:szCs w:val="20"/>
                <w:vertAlign w:val="superscript"/>
              </w:rPr>
              <w:t>er</w:t>
            </w:r>
            <w:r>
              <w:rPr>
                <w:sz w:val="20"/>
                <w:szCs w:val="20"/>
              </w:rPr>
              <w:t xml:space="preserve"> </w:t>
            </w:r>
            <w:r w:rsidRPr="00557B0B">
              <w:rPr>
                <w:sz w:val="20"/>
                <w:szCs w:val="20"/>
              </w:rPr>
              <w:t>mars 2018, les « Nouveaux parcours clients épargne financière et assurance » seront déployés en CELCA suite à la réglementation MIF2-DDA-PRIIPS.</w:t>
            </w:r>
          </w:p>
          <w:p w:rsidR="00557B0B" w:rsidRPr="00557B0B" w:rsidRDefault="00557B0B" w:rsidP="00557B0B">
            <w:pPr>
              <w:pStyle w:val="wordsection1"/>
              <w:numPr>
                <w:ilvl w:val="0"/>
                <w:numId w:val="47"/>
              </w:numPr>
              <w:spacing w:before="0" w:beforeAutospacing="0" w:after="0" w:afterAutospacing="0"/>
              <w:ind w:left="187" w:hanging="187"/>
              <w:jc w:val="both"/>
              <w:rPr>
                <w:color w:val="000000"/>
                <w:sz w:val="20"/>
                <w:szCs w:val="20"/>
              </w:rPr>
            </w:pPr>
            <w:r w:rsidRPr="00557B0B">
              <w:rPr>
                <w:sz w:val="20"/>
                <w:szCs w:val="20"/>
              </w:rPr>
              <w:t xml:space="preserve">En préambule de l’HDJ du 22/02/2018 </w:t>
            </w:r>
            <w:r w:rsidRPr="00557B0B">
              <w:rPr>
                <w:color w:val="000000"/>
                <w:sz w:val="20"/>
                <w:szCs w:val="20"/>
              </w:rPr>
              <w:t xml:space="preserve">sur la directive MIF 2 et les cas particuliers, nous vous invitons à suivre les e </w:t>
            </w:r>
            <w:proofErr w:type="spellStart"/>
            <w:r w:rsidRPr="00557B0B">
              <w:rPr>
                <w:color w:val="000000"/>
                <w:sz w:val="20"/>
                <w:szCs w:val="20"/>
              </w:rPr>
              <w:t>learning</w:t>
            </w:r>
            <w:proofErr w:type="spellEnd"/>
            <w:r w:rsidRPr="00557B0B">
              <w:rPr>
                <w:color w:val="000000"/>
                <w:sz w:val="20"/>
                <w:szCs w:val="20"/>
              </w:rPr>
              <w:t xml:space="preserve"> obligatoires disponibles sous </w:t>
            </w:r>
            <w:proofErr w:type="spellStart"/>
            <w:r w:rsidRPr="00557B0B">
              <w:rPr>
                <w:color w:val="000000"/>
                <w:sz w:val="20"/>
                <w:szCs w:val="20"/>
              </w:rPr>
              <w:t>Essenti</w:t>
            </w:r>
            <w:proofErr w:type="spellEnd"/>
            <w:r w:rsidRPr="00557B0B">
              <w:rPr>
                <w:color w:val="000000"/>
                <w:sz w:val="20"/>
                <w:szCs w:val="20"/>
              </w:rPr>
              <w:t>@</w:t>
            </w:r>
            <w:r w:rsidR="00BD30E7">
              <w:rPr>
                <w:color w:val="000000"/>
                <w:sz w:val="20"/>
                <w:szCs w:val="20"/>
              </w:rPr>
              <w:t xml:space="preserve"> </w:t>
            </w:r>
            <w:r w:rsidRPr="00557B0B">
              <w:rPr>
                <w:color w:val="000000"/>
                <w:sz w:val="20"/>
                <w:szCs w:val="20"/>
              </w:rPr>
              <w:t>composés d’une vidéo de 20 minutes et d’un tutoriel détaillé sur les écrans de saisies d’une durée de 40 minutes afin de vous familiariser avec l’enchainement des nouveaux écrans sur le poste de travail.</w:t>
            </w:r>
          </w:p>
          <w:p w:rsidR="00557B0B" w:rsidRPr="00557B0B" w:rsidRDefault="00557B0B" w:rsidP="00557B0B">
            <w:pPr>
              <w:pStyle w:val="wordsection1"/>
              <w:numPr>
                <w:ilvl w:val="0"/>
                <w:numId w:val="47"/>
              </w:numPr>
              <w:spacing w:before="0" w:beforeAutospacing="0" w:after="0" w:afterAutospacing="0"/>
              <w:ind w:left="187" w:hanging="187"/>
              <w:jc w:val="both"/>
              <w:rPr>
                <w:b/>
                <w:bCs/>
                <w:color w:val="000000"/>
                <w:sz w:val="20"/>
                <w:szCs w:val="20"/>
              </w:rPr>
            </w:pPr>
            <w:r w:rsidRPr="00557B0B">
              <w:rPr>
                <w:b/>
                <w:bCs/>
                <w:color w:val="000000"/>
                <w:sz w:val="20"/>
                <w:szCs w:val="20"/>
              </w:rPr>
              <w:t>La réalisation de ces e-learning est un prérequis à l’Heure du jeudi de cette semaine.</w:t>
            </w:r>
          </w:p>
          <w:p w:rsidR="00557B0B" w:rsidRPr="00557B0B" w:rsidRDefault="00557B0B" w:rsidP="00557B0B">
            <w:pPr>
              <w:pStyle w:val="wordsection1"/>
              <w:numPr>
                <w:ilvl w:val="0"/>
                <w:numId w:val="47"/>
              </w:numPr>
              <w:spacing w:before="0" w:beforeAutospacing="0" w:after="0" w:afterAutospacing="0"/>
              <w:ind w:left="187" w:hanging="187"/>
              <w:jc w:val="both"/>
              <w:rPr>
                <w:sz w:val="20"/>
                <w:szCs w:val="20"/>
              </w:rPr>
            </w:pPr>
            <w:r w:rsidRPr="00557B0B">
              <w:rPr>
                <w:color w:val="000000"/>
                <w:sz w:val="20"/>
                <w:szCs w:val="20"/>
              </w:rPr>
              <w:lastRenderedPageBreak/>
              <w:t>Compte tenu de l’importance du sujet, 2 WEBEX préparatoires à l’Heure du Jeudi</w:t>
            </w:r>
            <w:r w:rsidR="00BD30E7">
              <w:rPr>
                <w:color w:val="000000"/>
                <w:sz w:val="20"/>
                <w:szCs w:val="20"/>
              </w:rPr>
              <w:t xml:space="preserve"> </w:t>
            </w:r>
            <w:r w:rsidRPr="00557B0B">
              <w:rPr>
                <w:color w:val="000000"/>
                <w:sz w:val="20"/>
                <w:szCs w:val="20"/>
              </w:rPr>
              <w:t>auront lieu le mercredi 21/02 à 11h et 17h, à destination des DAA, DA et DUC afin de leur permettre de répondre aux éventuelles questions des collaborateurs en animation de l’HDJ. Les codes de connexions la WEBEX vous seront communiqués par mail.</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lastRenderedPageBreak/>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sz w:val="20"/>
                <w:szCs w:val="20"/>
                <w:lang w:eastAsia="en-US"/>
              </w:rPr>
            </w:pPr>
            <w:r w:rsidRPr="00557B0B">
              <w:rPr>
                <w:b/>
                <w:bCs/>
                <w:sz w:val="20"/>
                <w:szCs w:val="20"/>
                <w:lang w:eastAsia="en-US"/>
              </w:rPr>
              <w:t>Indispensable 2018</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color w:val="000000"/>
                <w:sz w:val="20"/>
                <w:szCs w:val="20"/>
              </w:rPr>
            </w:pPr>
            <w:r w:rsidRPr="00557B0B">
              <w:rPr>
                <w:sz w:val="20"/>
                <w:szCs w:val="20"/>
              </w:rPr>
              <w:t xml:space="preserve">L’indispensable 2018 est en ligne, vous pouvez le retrouvez dans l’espace MYEAV en </w:t>
            </w:r>
            <w:hyperlink r:id="rId18" w:anchor="/landing" w:history="1">
              <w:r w:rsidRPr="00557B0B">
                <w:rPr>
                  <w:rStyle w:val="Lienhypertexte"/>
                  <w:sz w:val="20"/>
                  <w:szCs w:val="20"/>
                </w:rPr>
                <w:t>cliquant ici</w:t>
              </w:r>
            </w:hyperlink>
            <w:r w:rsidRPr="00557B0B">
              <w:rPr>
                <w:sz w:val="20"/>
                <w:szCs w:val="20"/>
              </w:rPr>
              <w:t>. Les exemplaires papiers seront livrés en agence d’ici début avril.</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sz w:val="20"/>
                <w:szCs w:val="20"/>
                <w:lang w:eastAsia="en-US"/>
              </w:rPr>
            </w:pPr>
            <w:proofErr w:type="spellStart"/>
            <w:r w:rsidRPr="00557B0B">
              <w:rPr>
                <w:b/>
                <w:bCs/>
                <w:sz w:val="20"/>
                <w:szCs w:val="20"/>
                <w:lang w:eastAsia="en-US"/>
              </w:rPr>
              <w:t>Eurogram</w:t>
            </w:r>
            <w:proofErr w:type="spellEnd"/>
            <w:r w:rsidRPr="00557B0B">
              <w:rPr>
                <w:b/>
                <w:bCs/>
                <w:sz w:val="20"/>
                <w:szCs w:val="20"/>
                <w:lang w:eastAsia="en-US"/>
              </w:rPr>
              <w:t xml:space="preserve"> 3</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b/>
                <w:bCs/>
                <w:sz w:val="20"/>
                <w:szCs w:val="20"/>
              </w:rPr>
            </w:pPr>
            <w:r w:rsidRPr="00557B0B">
              <w:rPr>
                <w:sz w:val="20"/>
                <w:szCs w:val="20"/>
              </w:rPr>
              <w:t xml:space="preserve">Le FCP EUROGRAM 3 commercialisé en septembre 2013 par les CAGP est arrivé à son échéance finale le 13 février 2018 pour un montant de 1 490 K€. </w:t>
            </w:r>
            <w:r w:rsidRPr="00557B0B">
              <w:rPr>
                <w:b/>
                <w:bCs/>
                <w:sz w:val="20"/>
                <w:szCs w:val="20"/>
              </w:rPr>
              <w:t>Bonne nouvelle pour nos 150 clients concernés qui bénéficieront d’un rendement brut de 24% soit 5.52% annualisé.</w:t>
            </w:r>
          </w:p>
          <w:p w:rsidR="00557B0B" w:rsidRPr="00557B0B" w:rsidRDefault="00557B0B" w:rsidP="00557B0B">
            <w:pPr>
              <w:pStyle w:val="wordsection1"/>
              <w:numPr>
                <w:ilvl w:val="0"/>
                <w:numId w:val="47"/>
              </w:numPr>
              <w:spacing w:before="0" w:beforeAutospacing="0" w:after="0" w:afterAutospacing="0"/>
              <w:ind w:left="187" w:hanging="187"/>
              <w:jc w:val="both"/>
              <w:rPr>
                <w:sz w:val="20"/>
                <w:szCs w:val="20"/>
              </w:rPr>
            </w:pPr>
            <w:r w:rsidRPr="00557B0B">
              <w:rPr>
                <w:sz w:val="20"/>
                <w:szCs w:val="20"/>
              </w:rPr>
              <w:t>Le recyclage sera disponible sous PUMA à partir du 21/02/2018.</w:t>
            </w:r>
          </w:p>
          <w:p w:rsidR="00557B0B" w:rsidRPr="00557B0B" w:rsidRDefault="00557B0B" w:rsidP="00557B0B">
            <w:pPr>
              <w:pStyle w:val="wordsection1"/>
              <w:numPr>
                <w:ilvl w:val="0"/>
                <w:numId w:val="47"/>
              </w:numPr>
              <w:spacing w:before="0" w:beforeAutospacing="0" w:after="0" w:afterAutospacing="0"/>
              <w:ind w:left="187" w:hanging="187"/>
              <w:jc w:val="both"/>
              <w:rPr>
                <w:color w:val="000000"/>
                <w:sz w:val="20"/>
                <w:szCs w:val="20"/>
              </w:rPr>
            </w:pPr>
            <w:r w:rsidRPr="00557B0B">
              <w:rPr>
                <w:sz w:val="20"/>
                <w:szCs w:val="20"/>
              </w:rPr>
              <w:t>La liste des</w:t>
            </w:r>
            <w:r w:rsidRPr="00557B0B">
              <w:rPr>
                <w:color w:val="000000"/>
                <w:sz w:val="20"/>
                <w:szCs w:val="20"/>
              </w:rPr>
              <w:t xml:space="preserve"> clients détenteurs du fonds est mise à votre disposition sous la rubrique des commerciaux en cliquant</w:t>
            </w:r>
            <w:hyperlink r:id="rId19" w:history="1">
              <w:r w:rsidRPr="00557B0B">
                <w:rPr>
                  <w:rStyle w:val="Lienhypertexte"/>
                  <w:sz w:val="20"/>
                  <w:szCs w:val="20"/>
                </w:rPr>
                <w:t xml:space="preserve"> ici</w:t>
              </w:r>
            </w:hyperlink>
            <w:r w:rsidR="00BD30E7">
              <w:rPr>
                <w:color w:val="000000"/>
                <w:sz w:val="20"/>
                <w:szCs w:val="20"/>
              </w:rPr>
              <w:t xml:space="preserve"> </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sz w:val="20"/>
                <w:szCs w:val="20"/>
                <w:lang w:eastAsia="en-US"/>
              </w:rPr>
            </w:pPr>
            <w:r w:rsidRPr="00557B0B">
              <w:rPr>
                <w:b/>
                <w:bCs/>
                <w:sz w:val="20"/>
                <w:szCs w:val="20"/>
              </w:rPr>
              <w:t>Suivi de la commercialisation HELIOS</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color w:val="1F497D"/>
                <w:sz w:val="20"/>
                <w:szCs w:val="20"/>
              </w:rPr>
            </w:pPr>
            <w:r w:rsidRPr="00557B0B">
              <w:rPr>
                <w:sz w:val="20"/>
                <w:szCs w:val="20"/>
              </w:rPr>
              <w:t xml:space="preserve">Vous trouverez en cliquant </w:t>
            </w:r>
            <w:hyperlink r:id="rId20" w:history="1">
              <w:r w:rsidRPr="00557B0B">
                <w:rPr>
                  <w:rStyle w:val="Lienhypertexte"/>
                  <w:sz w:val="20"/>
                  <w:szCs w:val="20"/>
                </w:rPr>
                <w:t>ici</w:t>
              </w:r>
            </w:hyperlink>
            <w:r w:rsidRPr="00557B0B">
              <w:rPr>
                <w:sz w:val="20"/>
                <w:szCs w:val="20"/>
              </w:rPr>
              <w:t xml:space="preserve">, le suivi de commercialisation d’Hélios (commercialisation du 09/01 au 29/03/2018). Au 19/02/2018, 98% des fonds sont placés. </w:t>
            </w:r>
            <w:r w:rsidRPr="00557B0B">
              <w:rPr>
                <w:b/>
                <w:bCs/>
                <w:sz w:val="20"/>
                <w:szCs w:val="20"/>
              </w:rPr>
              <w:t>Le contingent peut être dépassé sans limite de montant.</w:t>
            </w:r>
          </w:p>
        </w:tc>
      </w:tr>
      <w:tr w:rsidR="00557B0B" w:rsidRPr="00E81F6E" w:rsidTr="00AF3BE3">
        <w:trPr>
          <w:trHeight w:val="248"/>
        </w:trPr>
        <w:tc>
          <w:tcPr>
            <w:tcW w:w="1560" w:type="dxa"/>
            <w:tcBorders>
              <w:bottom w:val="single" w:sz="4" w:space="0" w:color="auto"/>
            </w:tcBorders>
          </w:tcPr>
          <w:p w:rsidR="00557B0B" w:rsidRDefault="00557B0B">
            <w:r w:rsidRPr="004C7CAA">
              <w:rPr>
                <w:rFonts w:ascii="Times New Roman" w:hAnsi="Times New Roman" w:cs="Times New Roman"/>
                <w:b/>
                <w:bCs/>
                <w:sz w:val="20"/>
                <w:szCs w:val="20"/>
              </w:rPr>
              <w:t>Com. DMA</w:t>
            </w:r>
          </w:p>
        </w:tc>
        <w:tc>
          <w:tcPr>
            <w:tcW w:w="1843" w:type="dxa"/>
            <w:tcBorders>
              <w:bottom w:val="single" w:sz="4" w:space="0" w:color="auto"/>
            </w:tcBorders>
          </w:tcPr>
          <w:p w:rsidR="00557B0B" w:rsidRPr="00557B0B" w:rsidRDefault="00557B0B" w:rsidP="00557B0B">
            <w:pPr>
              <w:pStyle w:val="wordsection1"/>
              <w:spacing w:before="0" w:beforeAutospacing="0" w:after="0" w:afterAutospacing="0"/>
              <w:rPr>
                <w:b/>
                <w:bCs/>
                <w:sz w:val="20"/>
                <w:szCs w:val="20"/>
                <w:lang w:eastAsia="en-US"/>
              </w:rPr>
            </w:pPr>
            <w:r w:rsidRPr="00557B0B">
              <w:rPr>
                <w:b/>
                <w:bCs/>
                <w:sz w:val="20"/>
                <w:szCs w:val="20"/>
              </w:rPr>
              <w:t>Suivi de la commercialisation IRIS</w:t>
            </w:r>
          </w:p>
        </w:tc>
        <w:tc>
          <w:tcPr>
            <w:tcW w:w="12332" w:type="dxa"/>
            <w:tcBorders>
              <w:bottom w:val="single" w:sz="4" w:space="0" w:color="auto"/>
            </w:tcBorders>
            <w:shd w:val="clear" w:color="auto" w:fill="auto"/>
          </w:tcPr>
          <w:p w:rsidR="00557B0B" w:rsidRPr="00557B0B" w:rsidRDefault="00557B0B" w:rsidP="00557B0B">
            <w:pPr>
              <w:pStyle w:val="wordsection1"/>
              <w:numPr>
                <w:ilvl w:val="0"/>
                <w:numId w:val="47"/>
              </w:numPr>
              <w:spacing w:before="0" w:beforeAutospacing="0" w:after="0" w:afterAutospacing="0"/>
              <w:ind w:left="187" w:hanging="187"/>
              <w:jc w:val="both"/>
              <w:rPr>
                <w:sz w:val="20"/>
                <w:szCs w:val="20"/>
              </w:rPr>
            </w:pPr>
            <w:r w:rsidRPr="00557B0B">
              <w:rPr>
                <w:sz w:val="20"/>
                <w:szCs w:val="20"/>
              </w:rPr>
              <w:t xml:space="preserve">Vous trouverez en cliquant </w:t>
            </w:r>
            <w:hyperlink r:id="rId21" w:history="1">
              <w:r w:rsidRPr="00557B0B">
                <w:rPr>
                  <w:rStyle w:val="Lienhypertexte"/>
                  <w:sz w:val="20"/>
                  <w:szCs w:val="20"/>
                </w:rPr>
                <w:t>ici</w:t>
              </w:r>
            </w:hyperlink>
            <w:r w:rsidRPr="00557B0B">
              <w:rPr>
                <w:sz w:val="20"/>
                <w:szCs w:val="20"/>
              </w:rPr>
              <w:t>, le suivi de commercialisation d’IRIS (commercialisation du 17/01 au 13/06/2018).</w:t>
            </w:r>
          </w:p>
          <w:p w:rsidR="00557B0B" w:rsidRPr="00557B0B" w:rsidRDefault="00557B0B" w:rsidP="00557B0B">
            <w:pPr>
              <w:pStyle w:val="wordsection1"/>
              <w:numPr>
                <w:ilvl w:val="0"/>
                <w:numId w:val="47"/>
              </w:numPr>
              <w:spacing w:before="0" w:beforeAutospacing="0" w:after="0" w:afterAutospacing="0"/>
              <w:ind w:left="187" w:hanging="187"/>
              <w:jc w:val="both"/>
              <w:rPr>
                <w:color w:val="1F497D"/>
                <w:sz w:val="20"/>
                <w:szCs w:val="20"/>
              </w:rPr>
            </w:pPr>
            <w:r w:rsidRPr="00557B0B">
              <w:rPr>
                <w:sz w:val="20"/>
                <w:szCs w:val="20"/>
              </w:rPr>
              <w:t xml:space="preserve">Au 19/02/2018, 73% des fonds sont placés.. </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DF5ACA" w:rsidRPr="00E81F6E" w:rsidTr="0098174C">
        <w:trPr>
          <w:trHeight w:val="248"/>
        </w:trPr>
        <w:tc>
          <w:tcPr>
            <w:tcW w:w="1560" w:type="dxa"/>
            <w:tcBorders>
              <w:bottom w:val="single" w:sz="4" w:space="0" w:color="auto"/>
            </w:tcBorders>
          </w:tcPr>
          <w:p w:rsidR="00DF5ACA" w:rsidRDefault="00DF5ACA">
            <w:pPr>
              <w:rPr>
                <w:rFonts w:ascii="Calibri" w:hAnsi="Calibri" w:cs="Calibri"/>
              </w:rPr>
            </w:pPr>
            <w:r w:rsidRPr="00EC5853">
              <w:rPr>
                <w:rFonts w:ascii="Times New Roman" w:hAnsi="Times New Roman" w:cs="Times New Roman"/>
                <w:b/>
                <w:bCs/>
                <w:sz w:val="20"/>
                <w:szCs w:val="20"/>
              </w:rPr>
              <w:t>Com. DMA</w:t>
            </w:r>
            <w:r>
              <w:rPr>
                <w:rFonts w:ascii="Times New Roman" w:hAnsi="Times New Roman" w:cs="Times New Roman"/>
                <w:b/>
                <w:bCs/>
                <w:sz w:val="20"/>
                <w:szCs w:val="20"/>
              </w:rPr>
              <w:t>/DRCCP</w:t>
            </w:r>
          </w:p>
        </w:tc>
        <w:tc>
          <w:tcPr>
            <w:tcW w:w="1843" w:type="dxa"/>
            <w:tcBorders>
              <w:bottom w:val="single" w:sz="4" w:space="0" w:color="auto"/>
            </w:tcBorders>
          </w:tcPr>
          <w:p w:rsidR="00DF5ACA" w:rsidRPr="00DF5ACA" w:rsidRDefault="00DF5ACA">
            <w:pPr>
              <w:rPr>
                <w:rFonts w:ascii="Times New Roman" w:hAnsi="Times New Roman" w:cs="Times New Roman"/>
                <w:b/>
                <w:sz w:val="20"/>
                <w:szCs w:val="20"/>
              </w:rPr>
            </w:pPr>
            <w:r w:rsidRPr="00DF5ACA">
              <w:rPr>
                <w:rFonts w:ascii="Times New Roman" w:hAnsi="Times New Roman" w:cs="Times New Roman"/>
                <w:b/>
                <w:sz w:val="20"/>
                <w:szCs w:val="20"/>
              </w:rPr>
              <w:t>Clientèle en situation de fragilité financière</w:t>
            </w:r>
          </w:p>
        </w:tc>
        <w:tc>
          <w:tcPr>
            <w:tcW w:w="12332" w:type="dxa"/>
            <w:tcBorders>
              <w:bottom w:val="single" w:sz="4" w:space="0" w:color="auto"/>
            </w:tcBorders>
            <w:shd w:val="clear" w:color="auto" w:fill="auto"/>
          </w:tcPr>
          <w:p w:rsidR="00DF5ACA" w:rsidRPr="008C4B51" w:rsidRDefault="00DF5ACA" w:rsidP="008C4B51">
            <w:pPr>
              <w:pStyle w:val="Paragraphedeliste"/>
              <w:numPr>
                <w:ilvl w:val="0"/>
                <w:numId w:val="41"/>
              </w:numPr>
              <w:ind w:left="176" w:hanging="176"/>
              <w:jc w:val="both"/>
              <w:rPr>
                <w:rFonts w:ascii="Times New Roman" w:eastAsia="Times New Roman" w:hAnsi="Times New Roman" w:cs="Times New Roman"/>
                <w:sz w:val="20"/>
                <w:szCs w:val="20"/>
                <w:lang w:eastAsia="fr-FR"/>
              </w:rPr>
            </w:pPr>
            <w:r w:rsidRPr="008C4B51">
              <w:rPr>
                <w:rFonts w:ascii="Times New Roman" w:hAnsi="Times New Roman" w:cs="Times New Roman"/>
                <w:sz w:val="20"/>
                <w:szCs w:val="20"/>
              </w:rPr>
              <w:t xml:space="preserve">Suite aux contrôles effectués par la DRCCP, nous vous rappelons </w:t>
            </w:r>
            <w:r w:rsidRPr="008C4B51">
              <w:rPr>
                <w:rFonts w:ascii="Times New Roman" w:hAnsi="Times New Roman" w:cs="Times New Roman"/>
                <w:b/>
                <w:sz w:val="20"/>
                <w:szCs w:val="20"/>
              </w:rPr>
              <w:t xml:space="preserve">que la souscription à l’OCF est incompatible avec la souscription ou la détention antérieure de certains produits ou services. </w:t>
            </w:r>
            <w:r w:rsidRPr="008C4B51">
              <w:rPr>
                <w:rFonts w:ascii="Times New Roman" w:hAnsi="Times New Roman" w:cs="Times New Roman"/>
                <w:sz w:val="20"/>
                <w:szCs w:val="20"/>
              </w:rPr>
              <w:t xml:space="preserve">La liste des produits et services incompatibles est disponible dans la procédure : </w:t>
            </w:r>
            <w:hyperlink r:id="rId22" w:anchor="default/item/c.procedure.CE_REF_CELCA.C5bwAEl1EeQ78gAd2LsBrw.0" w:history="1">
              <w:r w:rsidRPr="008C4B51">
                <w:rPr>
                  <w:rStyle w:val="Lienhypertexte"/>
                  <w:rFonts w:ascii="Times New Roman" w:hAnsi="Times New Roman" w:cs="Times New Roman"/>
                  <w:sz w:val="20"/>
                  <w:szCs w:val="20"/>
                </w:rPr>
                <w:t>PARTICULIER Ouvrir un compte de dépôt sur Offre d’accompagnement de la clientèle en situation de fragilité (OCF)</w:t>
              </w:r>
            </w:hyperlink>
            <w:r w:rsidRPr="008C4B51">
              <w:rPr>
                <w:rFonts w:ascii="Times New Roman" w:hAnsi="Times New Roman" w:cs="Times New Roman"/>
                <w:sz w:val="20"/>
                <w:szCs w:val="20"/>
              </w:rPr>
              <w:t>.</w:t>
            </w:r>
          </w:p>
          <w:p w:rsidR="00DF5ACA" w:rsidRPr="00DF5ACA" w:rsidRDefault="00DF5ACA" w:rsidP="00DF5ACA">
            <w:pPr>
              <w:pStyle w:val="Paragraphedeliste"/>
              <w:numPr>
                <w:ilvl w:val="0"/>
                <w:numId w:val="41"/>
              </w:numPr>
              <w:ind w:left="176" w:hanging="176"/>
              <w:jc w:val="both"/>
              <w:rPr>
                <w:rFonts w:ascii="Times New Roman" w:hAnsi="Times New Roman" w:cs="Times New Roman"/>
                <w:sz w:val="20"/>
                <w:szCs w:val="20"/>
              </w:rPr>
            </w:pPr>
            <w:r w:rsidRPr="00DF5ACA">
              <w:rPr>
                <w:rFonts w:ascii="Times New Roman" w:hAnsi="Times New Roman" w:cs="Times New Roman"/>
                <w:sz w:val="20"/>
                <w:szCs w:val="20"/>
              </w:rPr>
              <w:t>Au cours de ces contrôles, il a notamment été constaté que 98 clients détenteurs d’un OCF étaient également détenteurs d’un crédit renouvelable (</w:t>
            </w:r>
            <w:hyperlink r:id="rId23" w:history="1">
              <w:r w:rsidRPr="00DF5ACA">
                <w:rPr>
                  <w:rStyle w:val="Lienhypertexte"/>
                  <w:rFonts w:ascii="Times New Roman" w:hAnsi="Times New Roman" w:cs="Times New Roman"/>
                  <w:sz w:val="20"/>
                  <w:szCs w:val="20"/>
                </w:rPr>
                <w:t>CLIQUEZ ICI</w:t>
              </w:r>
            </w:hyperlink>
            <w:r w:rsidRPr="00DF5ACA">
              <w:rPr>
                <w:rFonts w:ascii="Times New Roman" w:hAnsi="Times New Roman" w:cs="Times New Roman"/>
                <w:color w:val="000000"/>
                <w:sz w:val="20"/>
                <w:szCs w:val="20"/>
              </w:rPr>
              <w:t xml:space="preserve"> pour accéder </w:t>
            </w:r>
            <w:r w:rsidRPr="00DF5ACA">
              <w:rPr>
                <w:rFonts w:ascii="Times New Roman" w:hAnsi="Times New Roman" w:cs="Times New Roman"/>
                <w:sz w:val="20"/>
                <w:szCs w:val="20"/>
              </w:rPr>
              <w:t>à la liste des clients).</w:t>
            </w:r>
          </w:p>
          <w:p w:rsidR="00DF5ACA" w:rsidRPr="00DF5ACA" w:rsidRDefault="00DF5ACA" w:rsidP="008C4B51">
            <w:pPr>
              <w:pStyle w:val="Paragraphedeliste"/>
              <w:numPr>
                <w:ilvl w:val="0"/>
                <w:numId w:val="41"/>
              </w:numPr>
              <w:ind w:left="176" w:hanging="176"/>
              <w:jc w:val="both"/>
              <w:rPr>
                <w:rFonts w:ascii="Times New Roman" w:hAnsi="Times New Roman" w:cs="Times New Roman"/>
                <w:sz w:val="20"/>
                <w:szCs w:val="20"/>
              </w:rPr>
            </w:pPr>
            <w:r w:rsidRPr="00DF5ACA">
              <w:rPr>
                <w:rFonts w:ascii="Times New Roman" w:hAnsi="Times New Roman" w:cs="Times New Roman"/>
                <w:sz w:val="20"/>
                <w:szCs w:val="20"/>
              </w:rPr>
              <w:t>La souscription à l’OCF ne met pas d’office fin au contrat de crédit souscrit antérieurement. Dans le cas d’un crédit renouvelable, le contrat en cours se poursuit jusqu’au remboursement total du crédit mais le client ne doit pas être en mesure de débloquer de nouveaux fonds.</w:t>
            </w:r>
          </w:p>
          <w:p w:rsidR="00DF5ACA" w:rsidRPr="00DF5ACA" w:rsidRDefault="00DF5ACA" w:rsidP="00DF5ACA">
            <w:pPr>
              <w:pStyle w:val="Paragraphedeliste"/>
              <w:numPr>
                <w:ilvl w:val="0"/>
                <w:numId w:val="42"/>
              </w:numPr>
              <w:contextualSpacing w:val="0"/>
              <w:jc w:val="both"/>
              <w:rPr>
                <w:rFonts w:ascii="Times New Roman" w:hAnsi="Times New Roman" w:cs="Times New Roman"/>
                <w:sz w:val="20"/>
                <w:szCs w:val="20"/>
              </w:rPr>
            </w:pPr>
            <w:r w:rsidRPr="00DF5ACA">
              <w:rPr>
                <w:rFonts w:ascii="Times New Roman" w:hAnsi="Times New Roman" w:cs="Times New Roman"/>
                <w:b/>
                <w:bCs/>
                <w:sz w:val="20"/>
                <w:szCs w:val="20"/>
              </w:rPr>
              <w:t> Natixis Financement va ainsi poser un verrou sur les réserves de ces clients afin d’empêcher tout nouveau déblocage</w:t>
            </w:r>
            <w:r w:rsidRPr="00DF5ACA">
              <w:rPr>
                <w:rFonts w:ascii="Times New Roman" w:hAnsi="Times New Roman" w:cs="Times New Roman"/>
                <w:sz w:val="20"/>
                <w:szCs w:val="20"/>
              </w:rPr>
              <w:t>.</w:t>
            </w:r>
          </w:p>
          <w:p w:rsidR="00DF5ACA" w:rsidRPr="008C4B51" w:rsidRDefault="00DF5ACA" w:rsidP="008C4B51">
            <w:pPr>
              <w:pStyle w:val="Paragraphedeliste"/>
              <w:numPr>
                <w:ilvl w:val="0"/>
                <w:numId w:val="42"/>
              </w:numPr>
              <w:contextualSpacing w:val="0"/>
              <w:jc w:val="both"/>
              <w:rPr>
                <w:rFonts w:ascii="Times New Roman" w:hAnsi="Times New Roman" w:cs="Times New Roman"/>
                <w:sz w:val="20"/>
                <w:szCs w:val="20"/>
              </w:rPr>
            </w:pPr>
            <w:r w:rsidRPr="00DF5ACA">
              <w:rPr>
                <w:rFonts w:ascii="Times New Roman" w:hAnsi="Times New Roman" w:cs="Times New Roman"/>
                <w:sz w:val="20"/>
                <w:szCs w:val="20"/>
              </w:rPr>
              <w:t>À noter, si le client souhaite conserver son crédit renouvelable et procéder à de nouveaux déblocages : il conviendra alors de lui faire signer le courrier de renonciation à l’OCF.</w:t>
            </w:r>
          </w:p>
        </w:tc>
      </w:tr>
      <w:tr w:rsidR="00B77E2C" w:rsidRPr="00E81F6E" w:rsidTr="00DA5EC3">
        <w:trPr>
          <w:trHeight w:val="248"/>
        </w:trPr>
        <w:tc>
          <w:tcPr>
            <w:tcW w:w="1560" w:type="dxa"/>
            <w:tcBorders>
              <w:bottom w:val="single" w:sz="4" w:space="0" w:color="auto"/>
            </w:tcBorders>
          </w:tcPr>
          <w:p w:rsidR="00B77E2C" w:rsidRPr="00EC5853" w:rsidRDefault="00B77E2C">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DMA</w:t>
            </w:r>
          </w:p>
        </w:tc>
        <w:tc>
          <w:tcPr>
            <w:tcW w:w="1843" w:type="dxa"/>
            <w:tcBorders>
              <w:bottom w:val="single" w:sz="4" w:space="0" w:color="auto"/>
            </w:tcBorders>
          </w:tcPr>
          <w:p w:rsidR="00B77E2C" w:rsidRDefault="00B77E2C" w:rsidP="00B77E2C">
            <w:pPr>
              <w:spacing w:after="200"/>
              <w:rPr>
                <w:rFonts w:ascii="Times New Roman" w:hAnsi="Times New Roman" w:cs="Times New Roman"/>
                <w:b/>
                <w:bCs/>
                <w:sz w:val="20"/>
                <w:szCs w:val="20"/>
              </w:rPr>
            </w:pPr>
            <w:r>
              <w:rPr>
                <w:rFonts w:ascii="Times New Roman" w:hAnsi="Times New Roman" w:cs="Times New Roman"/>
                <w:b/>
                <w:bCs/>
                <w:sz w:val="20"/>
                <w:szCs w:val="20"/>
              </w:rPr>
              <w:t>MOBILITE BANCAIRE – point</w:t>
            </w:r>
            <w:r w:rsidR="00141E98">
              <w:rPr>
                <w:rFonts w:ascii="Times New Roman" w:hAnsi="Times New Roman" w:cs="Times New Roman"/>
                <w:b/>
                <w:bCs/>
                <w:sz w:val="20"/>
                <w:szCs w:val="20"/>
              </w:rPr>
              <w:t xml:space="preserve"> </w:t>
            </w:r>
            <w:r>
              <w:rPr>
                <w:rFonts w:ascii="Times New Roman" w:hAnsi="Times New Roman" w:cs="Times New Roman"/>
                <w:b/>
                <w:bCs/>
                <w:sz w:val="20"/>
                <w:szCs w:val="20"/>
              </w:rPr>
              <w:t xml:space="preserve">sur le dispositif </w:t>
            </w:r>
          </w:p>
        </w:tc>
        <w:tc>
          <w:tcPr>
            <w:tcW w:w="12332" w:type="dxa"/>
            <w:tcBorders>
              <w:bottom w:val="single" w:sz="4" w:space="0" w:color="auto"/>
            </w:tcBorders>
            <w:shd w:val="clear" w:color="auto" w:fill="auto"/>
          </w:tcPr>
          <w:p w:rsidR="00B77E2C" w:rsidRDefault="00B77E2C" w:rsidP="00B77E2C">
            <w:pPr>
              <w:pStyle w:val="Paragraphedeliste"/>
              <w:numPr>
                <w:ilvl w:val="0"/>
                <w:numId w:val="46"/>
              </w:numPr>
              <w:ind w:left="176" w:hanging="176"/>
              <w:jc w:val="both"/>
              <w:rPr>
                <w:rFonts w:ascii="Times New Roman" w:hAnsi="Times New Roman" w:cs="Times New Roman"/>
                <w:sz w:val="20"/>
                <w:szCs w:val="20"/>
                <w:lang w:eastAsia="fr-FR"/>
              </w:rPr>
            </w:pPr>
            <w:r>
              <w:rPr>
                <w:rFonts w:ascii="Times New Roman" w:hAnsi="Times New Roman" w:cs="Times New Roman"/>
              </w:rPr>
              <w:t xml:space="preserve">Le dispositif de Mobilité Bancaire est un moyen de conquête de nouveaux clients. Prévu par la Loi Macron, il est entré en vigueur en février 2017 et a pour objectif de simplifier le changement de banque pour les clients Particuliers en </w:t>
            </w:r>
            <w:r>
              <w:rPr>
                <w:rFonts w:ascii="Times New Roman" w:hAnsi="Times New Roman" w:cs="Times New Roman"/>
                <w:b/>
                <w:bCs/>
              </w:rPr>
              <w:t>automatisant les échanges de données</w:t>
            </w:r>
            <w:r>
              <w:rPr>
                <w:rFonts w:ascii="Times New Roman" w:hAnsi="Times New Roman" w:cs="Times New Roman"/>
              </w:rPr>
              <w:t xml:space="preserve"> entre les principaux acteurs. Depuis le début d’année 2018, l’activité Mobilité Bancaire est élevée avec toujours plus de départs, 1 152 mandats, que d’arrivées, 786 mandats.</w:t>
            </w:r>
          </w:p>
          <w:p w:rsidR="00B77E2C" w:rsidRDefault="00B77E2C" w:rsidP="00B77E2C">
            <w:pPr>
              <w:pStyle w:val="Paragraphedeliste"/>
              <w:numPr>
                <w:ilvl w:val="0"/>
                <w:numId w:val="46"/>
              </w:numPr>
              <w:ind w:left="176" w:hanging="176"/>
              <w:jc w:val="both"/>
              <w:rPr>
                <w:rFonts w:ascii="Times New Roman" w:eastAsia="Times New Roman" w:hAnsi="Times New Roman" w:cs="Times New Roman"/>
              </w:rPr>
            </w:pPr>
            <w:r>
              <w:rPr>
                <w:rFonts w:ascii="Times New Roman" w:hAnsi="Times New Roman" w:cs="Times New Roman"/>
              </w:rPr>
              <w:t xml:space="preserve">Suite aux nombreux dysfonctionnements qu’a connu le dispositif Macron à son lancement, nous pouvons aujourd’hui affirmer que le </w:t>
            </w:r>
            <w:r>
              <w:rPr>
                <w:rFonts w:ascii="Times New Roman" w:hAnsi="Times New Roman" w:cs="Times New Roman"/>
                <w:b/>
                <w:bCs/>
              </w:rPr>
              <w:t>dispositif Mobilité Bancaire fonctionne</w:t>
            </w:r>
            <w:r>
              <w:rPr>
                <w:rFonts w:ascii="Times New Roman" w:hAnsi="Times New Roman" w:cs="Times New Roman"/>
              </w:rPr>
              <w:t xml:space="preserve">. En effet, les délais de réponse règlementaires en tant que banque de départ et banque d’arrivée sont globalement respectés. En revanche, il est constaté des délais de prise en compte très variables selon les </w:t>
            </w:r>
            <w:r>
              <w:rPr>
                <w:rFonts w:ascii="Times New Roman" w:hAnsi="Times New Roman" w:cs="Times New Roman"/>
                <w:b/>
                <w:bCs/>
              </w:rPr>
              <w:t>émetteurs</w:t>
            </w:r>
            <w:r>
              <w:rPr>
                <w:rFonts w:ascii="Times New Roman" w:hAnsi="Times New Roman" w:cs="Times New Roman"/>
              </w:rPr>
              <w:t xml:space="preserve">. </w:t>
            </w:r>
          </w:p>
          <w:p w:rsidR="00B77E2C" w:rsidRDefault="00B77E2C" w:rsidP="00B77E2C">
            <w:pPr>
              <w:pStyle w:val="Paragraphedeliste"/>
              <w:numPr>
                <w:ilvl w:val="0"/>
                <w:numId w:val="46"/>
              </w:numPr>
              <w:ind w:left="176" w:hanging="176"/>
              <w:jc w:val="both"/>
              <w:rPr>
                <w:rFonts w:ascii="Times New Roman" w:hAnsi="Times New Roman" w:cs="Times New Roman"/>
              </w:rPr>
            </w:pPr>
            <w:r>
              <w:rPr>
                <w:rFonts w:ascii="Times New Roman" w:hAnsi="Times New Roman" w:cs="Times New Roman"/>
              </w:rPr>
              <w:t xml:space="preserve">Par ailleurs, les différents suivis permettent de constater que la </w:t>
            </w:r>
            <w:r>
              <w:rPr>
                <w:rFonts w:ascii="Times New Roman" w:hAnsi="Times New Roman" w:cs="Times New Roman"/>
                <w:b/>
                <w:bCs/>
              </w:rPr>
              <w:t>Mobilité Non Réglementée est encore trop souvent utilisée</w:t>
            </w:r>
            <w:r>
              <w:rPr>
                <w:rFonts w:ascii="Times New Roman" w:hAnsi="Times New Roman" w:cs="Times New Roman"/>
              </w:rPr>
              <w:t>. Pour mémoire, ce dispositif demeure pour répondre aux besoins des marchés Pro et BDR et des cas de divorce chez les clients Particuliers ; dans tous les autres cas, le dispositif de Mobilité Réglementée doit être utilisé.</w:t>
            </w:r>
          </w:p>
          <w:p w:rsidR="00B77E2C" w:rsidRDefault="00B77E2C" w:rsidP="00B77E2C">
            <w:pPr>
              <w:pStyle w:val="Paragraphedeliste"/>
              <w:numPr>
                <w:ilvl w:val="0"/>
                <w:numId w:val="46"/>
              </w:numPr>
              <w:ind w:left="176" w:hanging="176"/>
              <w:jc w:val="both"/>
              <w:rPr>
                <w:rFonts w:ascii="Times New Roman" w:hAnsi="Times New Roman" w:cs="Times New Roman"/>
              </w:rPr>
            </w:pPr>
            <w:r>
              <w:rPr>
                <w:rFonts w:ascii="Times New Roman" w:hAnsi="Times New Roman" w:cs="Times New Roman"/>
              </w:rPr>
              <w:t>Pour rappel, un mode opératoire complet est disponible depuis Easynet, mot-clé « Mobilité »</w:t>
            </w:r>
          </w:p>
        </w:tc>
      </w:tr>
      <w:tr w:rsidR="0072594F" w:rsidRPr="00E81F6E" w:rsidTr="0072594F">
        <w:trPr>
          <w:trHeight w:val="248"/>
        </w:trPr>
        <w:tc>
          <w:tcPr>
            <w:tcW w:w="15735" w:type="dxa"/>
            <w:gridSpan w:val="3"/>
            <w:tcBorders>
              <w:bottom w:val="single" w:sz="4" w:space="0" w:color="auto"/>
            </w:tcBorders>
            <w:shd w:val="pct20" w:color="auto" w:fill="auto"/>
          </w:tcPr>
          <w:p w:rsidR="0072594F" w:rsidRPr="0072594F" w:rsidRDefault="0072594F" w:rsidP="0072594F">
            <w:pPr>
              <w:contextualSpacing/>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Multicanal</w:t>
            </w:r>
          </w:p>
        </w:tc>
      </w:tr>
      <w:tr w:rsidR="00B77E2C" w:rsidRPr="00E81F6E" w:rsidTr="00B77E2C">
        <w:trPr>
          <w:trHeight w:val="759"/>
        </w:trPr>
        <w:tc>
          <w:tcPr>
            <w:tcW w:w="1560" w:type="dxa"/>
            <w:tcBorders>
              <w:bottom w:val="single" w:sz="4" w:space="0" w:color="auto"/>
            </w:tcBorders>
          </w:tcPr>
          <w:p w:rsidR="00B77E2C" w:rsidRDefault="00B77E2C">
            <w:bookmarkStart w:id="0" w:name="_GoBack"/>
            <w:bookmarkEnd w:id="0"/>
            <w:r w:rsidRPr="0083730C">
              <w:rPr>
                <w:rFonts w:ascii="Times New Roman" w:hAnsi="Times New Roman" w:cs="Times New Roman"/>
                <w:b/>
                <w:bCs/>
                <w:sz w:val="20"/>
                <w:szCs w:val="20"/>
              </w:rPr>
              <w:t>Com. DMA</w:t>
            </w:r>
          </w:p>
        </w:tc>
        <w:tc>
          <w:tcPr>
            <w:tcW w:w="1843" w:type="dxa"/>
            <w:tcBorders>
              <w:bottom w:val="single" w:sz="4" w:space="0" w:color="auto"/>
            </w:tcBorders>
          </w:tcPr>
          <w:p w:rsidR="00B77E2C" w:rsidRPr="00B77E2C" w:rsidRDefault="00B77E2C" w:rsidP="002A67A7">
            <w:pPr>
              <w:rPr>
                <w:rFonts w:ascii="Times New Roman" w:hAnsi="Times New Roman" w:cs="Times New Roman"/>
                <w:b/>
                <w:sz w:val="20"/>
                <w:szCs w:val="20"/>
              </w:rPr>
            </w:pPr>
            <w:r w:rsidRPr="00B77E2C">
              <w:rPr>
                <w:rFonts w:ascii="Times New Roman" w:hAnsi="Times New Roman" w:cs="Times New Roman"/>
                <w:b/>
                <w:sz w:val="20"/>
                <w:szCs w:val="20"/>
              </w:rPr>
              <w:t xml:space="preserve">SECURPASS </w:t>
            </w:r>
            <w:r>
              <w:rPr>
                <w:rFonts w:ascii="Times New Roman" w:hAnsi="Times New Roman" w:cs="Times New Roman"/>
                <w:b/>
                <w:sz w:val="20"/>
                <w:szCs w:val="20"/>
              </w:rPr>
              <w:t>-</w:t>
            </w:r>
            <w:r w:rsidRPr="00B77E2C">
              <w:rPr>
                <w:rFonts w:ascii="Times New Roman" w:hAnsi="Times New Roman" w:cs="Times New Roman"/>
                <w:b/>
                <w:sz w:val="20"/>
                <w:szCs w:val="20"/>
              </w:rPr>
              <w:t>Modification de la date de lancement</w:t>
            </w:r>
          </w:p>
        </w:tc>
        <w:tc>
          <w:tcPr>
            <w:tcW w:w="12332" w:type="dxa"/>
            <w:tcBorders>
              <w:bottom w:val="single" w:sz="4" w:space="0" w:color="auto"/>
            </w:tcBorders>
            <w:shd w:val="clear" w:color="auto" w:fill="auto"/>
          </w:tcPr>
          <w:p w:rsidR="00B77E2C" w:rsidRPr="00B77E2C" w:rsidRDefault="00B77E2C" w:rsidP="00B77E2C">
            <w:pPr>
              <w:pStyle w:val="Paragraphedeliste"/>
              <w:numPr>
                <w:ilvl w:val="0"/>
                <w:numId w:val="32"/>
              </w:numPr>
              <w:ind w:left="175" w:hanging="218"/>
              <w:jc w:val="both"/>
              <w:rPr>
                <w:rFonts w:ascii="Times New Roman" w:hAnsi="Times New Roman" w:cs="Times New Roman"/>
                <w:sz w:val="20"/>
                <w:szCs w:val="20"/>
              </w:rPr>
            </w:pPr>
            <w:r w:rsidRPr="00B77E2C">
              <w:rPr>
                <w:rFonts w:ascii="Times New Roman" w:hAnsi="Times New Roman" w:cs="Times New Roman"/>
                <w:sz w:val="20"/>
                <w:szCs w:val="20"/>
              </w:rPr>
              <w:t>Le lancement initialement annoncé pour le 27/02/2017 de SECURIPASS (la nouvelle fonction de sécurisation de nos services de BANQUE A DISTANCE)</w:t>
            </w:r>
            <w:r w:rsidR="00141E98">
              <w:rPr>
                <w:rFonts w:ascii="Times New Roman" w:hAnsi="Times New Roman" w:cs="Times New Roman"/>
                <w:sz w:val="20"/>
                <w:szCs w:val="20"/>
              </w:rPr>
              <w:t xml:space="preserve"> </w:t>
            </w:r>
            <w:r w:rsidRPr="00B77E2C">
              <w:rPr>
                <w:rFonts w:ascii="Times New Roman" w:hAnsi="Times New Roman" w:cs="Times New Roman"/>
                <w:sz w:val="20"/>
                <w:szCs w:val="20"/>
              </w:rPr>
              <w:t>est reporté par BPCE. La note d’information (</w:t>
            </w:r>
            <w:bookmarkStart w:id="1" w:name="REFERENCE"/>
            <w:r w:rsidRPr="00B77E2C">
              <w:rPr>
                <w:rFonts w:ascii="Times New Roman" w:hAnsi="Times New Roman" w:cs="Times New Roman"/>
                <w:sz w:val="20"/>
                <w:szCs w:val="20"/>
              </w:rPr>
              <w:t>DMA-INF</w:t>
            </w:r>
            <w:bookmarkEnd w:id="1"/>
            <w:r w:rsidRPr="00B77E2C">
              <w:rPr>
                <w:rFonts w:ascii="Times New Roman" w:hAnsi="Times New Roman" w:cs="Times New Roman"/>
                <w:sz w:val="20"/>
                <w:szCs w:val="20"/>
              </w:rPr>
              <w:t xml:space="preserve"> 18.011) ainsi qu’un MEMO CONSEILLER restent disponibles sur le portail en attendant la nouvelle date de commercialisation.</w:t>
            </w:r>
          </w:p>
        </w:tc>
      </w:tr>
      <w:tr w:rsidR="00B77E2C" w:rsidRPr="00E81F6E" w:rsidTr="00AF3BE3">
        <w:trPr>
          <w:trHeight w:val="248"/>
        </w:trPr>
        <w:tc>
          <w:tcPr>
            <w:tcW w:w="1560" w:type="dxa"/>
            <w:tcBorders>
              <w:bottom w:val="single" w:sz="4" w:space="0" w:color="auto"/>
            </w:tcBorders>
          </w:tcPr>
          <w:p w:rsidR="00B77E2C" w:rsidRDefault="00B77E2C">
            <w:r w:rsidRPr="0083730C">
              <w:rPr>
                <w:rFonts w:ascii="Times New Roman" w:hAnsi="Times New Roman" w:cs="Times New Roman"/>
                <w:b/>
                <w:bCs/>
                <w:sz w:val="20"/>
                <w:szCs w:val="20"/>
              </w:rPr>
              <w:t>Com. DMA</w:t>
            </w:r>
          </w:p>
        </w:tc>
        <w:tc>
          <w:tcPr>
            <w:tcW w:w="1843" w:type="dxa"/>
            <w:tcBorders>
              <w:bottom w:val="single" w:sz="4" w:space="0" w:color="auto"/>
            </w:tcBorders>
          </w:tcPr>
          <w:p w:rsidR="00B77E2C" w:rsidRPr="00B77E2C" w:rsidRDefault="00B77E2C" w:rsidP="002A67A7">
            <w:pPr>
              <w:rPr>
                <w:rFonts w:ascii="Times New Roman" w:hAnsi="Times New Roman" w:cs="Times New Roman"/>
                <w:b/>
                <w:sz w:val="20"/>
                <w:szCs w:val="20"/>
              </w:rPr>
            </w:pPr>
            <w:r w:rsidRPr="00B77E2C">
              <w:rPr>
                <w:rFonts w:ascii="Times New Roman" w:hAnsi="Times New Roman" w:cs="Times New Roman"/>
                <w:b/>
                <w:sz w:val="20"/>
                <w:szCs w:val="20"/>
              </w:rPr>
              <w:t>BAD MOBILE</w:t>
            </w:r>
            <w:r>
              <w:rPr>
                <w:rFonts w:ascii="Times New Roman" w:hAnsi="Times New Roman" w:cs="Times New Roman"/>
                <w:b/>
                <w:sz w:val="20"/>
                <w:szCs w:val="20"/>
              </w:rPr>
              <w:t xml:space="preserve"> - </w:t>
            </w:r>
          </w:p>
          <w:p w:rsidR="00B77E2C" w:rsidRPr="00B77E2C" w:rsidRDefault="00B77E2C" w:rsidP="002A67A7">
            <w:pPr>
              <w:rPr>
                <w:rFonts w:ascii="Times New Roman" w:hAnsi="Times New Roman" w:cs="Times New Roman"/>
                <w:b/>
                <w:sz w:val="20"/>
                <w:szCs w:val="20"/>
              </w:rPr>
            </w:pPr>
            <w:r w:rsidRPr="00B77E2C">
              <w:rPr>
                <w:rFonts w:ascii="Times New Roman" w:hAnsi="Times New Roman" w:cs="Times New Roman"/>
                <w:b/>
                <w:sz w:val="20"/>
                <w:szCs w:val="20"/>
              </w:rPr>
              <w:t>2 nouveautés </w:t>
            </w:r>
          </w:p>
        </w:tc>
        <w:tc>
          <w:tcPr>
            <w:tcW w:w="12332" w:type="dxa"/>
            <w:tcBorders>
              <w:bottom w:val="single" w:sz="4" w:space="0" w:color="auto"/>
            </w:tcBorders>
            <w:shd w:val="clear" w:color="auto" w:fill="auto"/>
          </w:tcPr>
          <w:p w:rsidR="00B77E2C" w:rsidRPr="00B77E2C" w:rsidRDefault="00B77E2C" w:rsidP="002A67A7">
            <w:pPr>
              <w:pStyle w:val="Paragraphedeliste"/>
              <w:numPr>
                <w:ilvl w:val="0"/>
                <w:numId w:val="32"/>
              </w:numPr>
              <w:ind w:left="175" w:hanging="218"/>
              <w:jc w:val="both"/>
              <w:rPr>
                <w:rFonts w:ascii="Times New Roman" w:hAnsi="Times New Roman" w:cs="Times New Roman"/>
                <w:sz w:val="20"/>
                <w:szCs w:val="20"/>
              </w:rPr>
            </w:pPr>
            <w:r w:rsidRPr="00B77E2C">
              <w:rPr>
                <w:rFonts w:ascii="Times New Roman" w:hAnsi="Times New Roman" w:cs="Times New Roman"/>
                <w:sz w:val="20"/>
                <w:szCs w:val="20"/>
              </w:rPr>
              <w:t xml:space="preserve">En raison d’une utilisation très faible par les clients, BPCE annonce à compter du 27/02/2018 la fin de l’option météo sur les applications mobiles (soleil ou nuage en fonction de la situation du compte). A l’occasion de ce changement BPCE mettra à disposition des clients la consultation </w:t>
            </w:r>
            <w:r w:rsidRPr="00B77E2C">
              <w:rPr>
                <w:rFonts w:ascii="Times New Roman" w:hAnsi="Times New Roman" w:cs="Times New Roman"/>
                <w:sz w:val="20"/>
                <w:szCs w:val="20"/>
              </w:rPr>
              <w:lastRenderedPageBreak/>
              <w:t>possible via le mobile des plafonds et du « consommé » ou</w:t>
            </w:r>
            <w:r w:rsidR="00141E98">
              <w:rPr>
                <w:rFonts w:ascii="Times New Roman" w:hAnsi="Times New Roman" w:cs="Times New Roman"/>
                <w:sz w:val="20"/>
                <w:szCs w:val="20"/>
              </w:rPr>
              <w:t xml:space="preserve"> </w:t>
            </w:r>
            <w:r w:rsidRPr="00B77E2C">
              <w:rPr>
                <w:rFonts w:ascii="Times New Roman" w:hAnsi="Times New Roman" w:cs="Times New Roman"/>
                <w:sz w:val="20"/>
                <w:szCs w:val="20"/>
              </w:rPr>
              <w:t>« reste à dépenser » de la carte.</w:t>
            </w:r>
          </w:p>
        </w:tc>
      </w:tr>
      <w:tr w:rsidR="00056A0C" w:rsidRPr="00E81F6E" w:rsidTr="00AF3BE3">
        <w:trPr>
          <w:trHeight w:val="248"/>
        </w:trPr>
        <w:tc>
          <w:tcPr>
            <w:tcW w:w="1560" w:type="dxa"/>
            <w:tcBorders>
              <w:bottom w:val="single" w:sz="4" w:space="0" w:color="auto"/>
            </w:tcBorders>
          </w:tcPr>
          <w:p w:rsidR="00056A0C" w:rsidRPr="0083730C" w:rsidRDefault="00056A0C">
            <w:pPr>
              <w:rPr>
                <w:rFonts w:ascii="Times New Roman" w:hAnsi="Times New Roman" w:cs="Times New Roman"/>
                <w:b/>
                <w:bCs/>
                <w:sz w:val="20"/>
                <w:szCs w:val="20"/>
              </w:rPr>
            </w:pPr>
            <w:r>
              <w:rPr>
                <w:rFonts w:ascii="Times New Roman" w:hAnsi="Times New Roman" w:cs="Times New Roman"/>
                <w:b/>
                <w:bCs/>
                <w:sz w:val="20"/>
                <w:szCs w:val="20"/>
              </w:rPr>
              <w:lastRenderedPageBreak/>
              <w:t>Com. DEO</w:t>
            </w:r>
          </w:p>
        </w:tc>
        <w:tc>
          <w:tcPr>
            <w:tcW w:w="1843" w:type="dxa"/>
            <w:tcBorders>
              <w:bottom w:val="single" w:sz="4" w:space="0" w:color="auto"/>
            </w:tcBorders>
          </w:tcPr>
          <w:p w:rsidR="00056A0C" w:rsidRPr="00B77E2C" w:rsidRDefault="00056A0C" w:rsidP="002A67A7">
            <w:pPr>
              <w:rPr>
                <w:rFonts w:ascii="Times New Roman" w:hAnsi="Times New Roman" w:cs="Times New Roman"/>
                <w:b/>
                <w:sz w:val="20"/>
                <w:szCs w:val="20"/>
              </w:rPr>
            </w:pPr>
            <w:r w:rsidRPr="00056A0C">
              <w:rPr>
                <w:rFonts w:ascii="Times New Roman" w:hAnsi="Times New Roman" w:cs="Times New Roman"/>
                <w:b/>
                <w:sz w:val="20"/>
                <w:szCs w:val="20"/>
              </w:rPr>
              <w:t>Académie Digitale</w:t>
            </w:r>
          </w:p>
        </w:tc>
        <w:tc>
          <w:tcPr>
            <w:tcW w:w="12332" w:type="dxa"/>
            <w:tcBorders>
              <w:bottom w:val="single" w:sz="4" w:space="0" w:color="auto"/>
            </w:tcBorders>
            <w:shd w:val="clear" w:color="auto" w:fill="auto"/>
          </w:tcPr>
          <w:p w:rsidR="00056A0C" w:rsidRPr="00056A0C" w:rsidRDefault="00056A0C" w:rsidP="00056A0C">
            <w:pPr>
              <w:pStyle w:val="Paragraphedeliste"/>
              <w:numPr>
                <w:ilvl w:val="0"/>
                <w:numId w:val="32"/>
              </w:numPr>
              <w:ind w:left="175" w:hanging="218"/>
              <w:jc w:val="both"/>
              <w:rPr>
                <w:rFonts w:ascii="Times New Roman" w:hAnsi="Times New Roman" w:cs="Times New Roman"/>
                <w:sz w:val="20"/>
                <w:szCs w:val="20"/>
              </w:rPr>
            </w:pPr>
            <w:r w:rsidRPr="00056A0C">
              <w:rPr>
                <w:rFonts w:ascii="Times New Roman" w:hAnsi="Times New Roman" w:cs="Times New Roman"/>
                <w:b/>
                <w:sz w:val="20"/>
                <w:szCs w:val="20"/>
              </w:rPr>
              <w:t>Plus que 2 jours pour vous porter candidat et rejoindre la communauté des Référents Digitaux</w:t>
            </w:r>
            <w:r w:rsidRPr="00056A0C">
              <w:rPr>
                <w:rFonts w:ascii="Times New Roman" w:hAnsi="Times New Roman" w:cs="Times New Roman"/>
                <w:sz w:val="20"/>
                <w:szCs w:val="20"/>
              </w:rPr>
              <w:t>. Vidéo explicative, Inscription et Quiz accessibles sur le Portail ou</w:t>
            </w:r>
            <w:r>
              <w:rPr>
                <w:rFonts w:ascii="Times New Roman" w:hAnsi="Times New Roman" w:cs="Times New Roman"/>
                <w:sz w:val="20"/>
                <w:szCs w:val="20"/>
              </w:rPr>
              <w:t xml:space="preserve"> en</w:t>
            </w:r>
            <w:r w:rsidRPr="00056A0C">
              <w:rPr>
                <w:rFonts w:ascii="Times New Roman" w:hAnsi="Times New Roman" w:cs="Times New Roman"/>
                <w:sz w:val="20"/>
                <w:szCs w:val="20"/>
              </w:rPr>
              <w:t xml:space="preserve"> </w:t>
            </w:r>
            <w:hyperlink r:id="rId24" w:history="1">
              <w:r w:rsidRPr="00056A0C">
                <w:rPr>
                  <w:rStyle w:val="Lienhypertexte"/>
                  <w:rFonts w:ascii="Times New Roman" w:hAnsi="Times New Roman" w:cs="Times New Roman"/>
                  <w:sz w:val="20"/>
                  <w:szCs w:val="20"/>
                </w:rPr>
                <w:t>Cliquant sur le Lien</w:t>
              </w:r>
            </w:hyperlink>
            <w:r w:rsidRPr="00056A0C">
              <w:rPr>
                <w:rFonts w:ascii="Times New Roman" w:hAnsi="Times New Roman" w:cs="Times New Roman"/>
                <w:sz w:val="20"/>
                <w:szCs w:val="20"/>
              </w:rPr>
              <w:t>.</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E45011" w:rsidRPr="00E81F6E" w:rsidTr="00AF3BE3">
        <w:trPr>
          <w:trHeight w:val="248"/>
        </w:trPr>
        <w:tc>
          <w:tcPr>
            <w:tcW w:w="1560" w:type="dxa"/>
            <w:tcBorders>
              <w:bottom w:val="single" w:sz="4" w:space="0" w:color="auto"/>
            </w:tcBorders>
          </w:tcPr>
          <w:p w:rsidR="00E45011" w:rsidRDefault="00E45011">
            <w:pPr>
              <w:rPr>
                <w:rFonts w:ascii="Calibri" w:hAnsi="Calibri" w:cs="Calibri"/>
              </w:rPr>
            </w:pPr>
            <w:r>
              <w:rPr>
                <w:rFonts w:ascii="Times New Roman" w:hAnsi="Times New Roman" w:cs="Times New Roman"/>
                <w:b/>
                <w:bCs/>
                <w:sz w:val="20"/>
                <w:szCs w:val="20"/>
              </w:rPr>
              <w:t>Com. DMP</w:t>
            </w:r>
          </w:p>
        </w:tc>
        <w:tc>
          <w:tcPr>
            <w:tcW w:w="1843" w:type="dxa"/>
            <w:tcBorders>
              <w:bottom w:val="single" w:sz="4" w:space="0" w:color="auto"/>
            </w:tcBorders>
          </w:tcPr>
          <w:p w:rsidR="00E45011" w:rsidRDefault="00E45011">
            <w:pPr>
              <w:rPr>
                <w:rFonts w:ascii="Calibri" w:hAnsi="Calibri" w:cs="Calibri"/>
                <w:sz w:val="20"/>
                <w:szCs w:val="20"/>
              </w:rPr>
            </w:pPr>
            <w:r>
              <w:rPr>
                <w:rFonts w:ascii="Times New Roman" w:hAnsi="Times New Roman" w:cs="Times New Roman"/>
                <w:b/>
                <w:bCs/>
                <w:sz w:val="20"/>
                <w:szCs w:val="20"/>
              </w:rPr>
              <w:t>Révision Annuelle – Part Variable</w:t>
            </w:r>
          </w:p>
        </w:tc>
        <w:tc>
          <w:tcPr>
            <w:tcW w:w="12332" w:type="dxa"/>
            <w:tcBorders>
              <w:bottom w:val="single" w:sz="4" w:space="0" w:color="auto"/>
            </w:tcBorders>
            <w:shd w:val="clear" w:color="auto" w:fill="auto"/>
          </w:tcPr>
          <w:p w:rsidR="00E45011" w:rsidRDefault="00E45011" w:rsidP="00E45011">
            <w:pPr>
              <w:numPr>
                <w:ilvl w:val="0"/>
                <w:numId w:val="44"/>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L’état à fin décembre 2017 des opérations menées sur la révision annuelle et le DRC est disponible dans </w:t>
            </w:r>
            <w:hyperlink r:id="rId25" w:history="1">
              <w:r>
                <w:rPr>
                  <w:rStyle w:val="Lienhypertexte"/>
                  <w:rFonts w:ascii="Times New Roman" w:hAnsi="Times New Roman" w:cs="Times New Roman"/>
                  <w:sz w:val="20"/>
                  <w:szCs w:val="20"/>
                  <w:lang w:eastAsia="fr-FR"/>
                </w:rPr>
                <w:t>l’Espace Pro de la Rubrique des Commerciaux Connaissance Client / Révision Annuelle</w:t>
              </w:r>
            </w:hyperlink>
            <w:r>
              <w:rPr>
                <w:rFonts w:ascii="Times New Roman" w:hAnsi="Times New Roman" w:cs="Times New Roman"/>
                <w:sz w:val="20"/>
                <w:szCs w:val="20"/>
                <w:lang w:eastAsia="fr-FR"/>
              </w:rPr>
              <w:t>. Cette nouvelle version servira au calcul de la part variable.</w:t>
            </w:r>
          </w:p>
          <w:p w:rsidR="00E45011" w:rsidRDefault="00E45011" w:rsidP="00E45011">
            <w:pPr>
              <w:numPr>
                <w:ilvl w:val="0"/>
                <w:numId w:val="44"/>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lang w:eastAsia="fr-FR"/>
              </w:rPr>
              <w:t>Le taux de traitement global se situe à 93% en nombre et à 95.67% en encours, soit une belle progression avec environ 250 tiers supplémentaires traités au courant du mois de janvier.</w:t>
            </w:r>
          </w:p>
        </w:tc>
      </w:tr>
      <w:tr w:rsidR="00E45011" w:rsidRPr="00E81F6E" w:rsidTr="00AF3BE3">
        <w:trPr>
          <w:trHeight w:val="248"/>
        </w:trPr>
        <w:tc>
          <w:tcPr>
            <w:tcW w:w="1560" w:type="dxa"/>
            <w:tcBorders>
              <w:bottom w:val="single" w:sz="4" w:space="0" w:color="auto"/>
            </w:tcBorders>
          </w:tcPr>
          <w:p w:rsidR="00E45011" w:rsidRDefault="00E45011">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E45011" w:rsidRDefault="00E45011">
            <w:pPr>
              <w:rPr>
                <w:rFonts w:ascii="Times New Roman" w:hAnsi="Times New Roman" w:cs="Times New Roman"/>
                <w:b/>
                <w:bCs/>
                <w:sz w:val="20"/>
                <w:szCs w:val="20"/>
              </w:rPr>
            </w:pPr>
            <w:r>
              <w:rPr>
                <w:rFonts w:ascii="Times New Roman" w:hAnsi="Times New Roman" w:cs="Times New Roman"/>
                <w:b/>
                <w:bCs/>
                <w:sz w:val="20"/>
                <w:szCs w:val="20"/>
              </w:rPr>
              <w:t>CE NET</w:t>
            </w:r>
          </w:p>
        </w:tc>
        <w:tc>
          <w:tcPr>
            <w:tcW w:w="12332" w:type="dxa"/>
            <w:tcBorders>
              <w:bottom w:val="single" w:sz="4" w:space="0" w:color="auto"/>
            </w:tcBorders>
            <w:shd w:val="clear" w:color="auto" w:fill="auto"/>
          </w:tcPr>
          <w:p w:rsidR="00E45011" w:rsidRDefault="00E45011" w:rsidP="00E45011">
            <w:pPr>
              <w:numPr>
                <w:ilvl w:val="0"/>
                <w:numId w:val="44"/>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Suite au lancement de CE NET (cf note </w:t>
            </w:r>
            <w:hyperlink r:id="rId26" w:history="1">
              <w:r>
                <w:rPr>
                  <w:rStyle w:val="Lienhypertexte"/>
                  <w:rFonts w:ascii="Times New Roman" w:hAnsi="Times New Roman" w:cs="Times New Roman"/>
                  <w:sz w:val="20"/>
                  <w:szCs w:val="20"/>
                  <w:lang w:eastAsia="fr-FR"/>
                </w:rPr>
                <w:t>DDBDR – INF 18.004</w:t>
              </w:r>
            </w:hyperlink>
            <w:r>
              <w:rPr>
                <w:rFonts w:ascii="Times New Roman" w:hAnsi="Times New Roman" w:cs="Times New Roman"/>
                <w:sz w:val="20"/>
                <w:szCs w:val="20"/>
                <w:lang w:eastAsia="fr-FR"/>
              </w:rPr>
              <w:t>) il convient de ne plus commercialiser l’ancienne offre EDI et E-remises mais de proposer uniquement la nouvelle offre CE NET.</w:t>
            </w:r>
          </w:p>
          <w:p w:rsidR="00E45011" w:rsidRDefault="00E45011" w:rsidP="00E45011">
            <w:pPr>
              <w:numPr>
                <w:ilvl w:val="0"/>
                <w:numId w:val="44"/>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Un addendum à la tarification a été ajouté dans </w:t>
            </w:r>
            <w:hyperlink r:id="rId27" w:history="1">
              <w:r>
                <w:rPr>
                  <w:rStyle w:val="Lienhypertexte"/>
                  <w:rFonts w:ascii="Times New Roman" w:hAnsi="Times New Roman" w:cs="Times New Roman"/>
                  <w:sz w:val="20"/>
                  <w:szCs w:val="20"/>
                  <w:lang w:eastAsia="fr-FR"/>
                </w:rPr>
                <w:t>l’Espace Pros de la Rubrique des Commerciaux / Tarification</w:t>
              </w:r>
            </w:hyperlink>
            <w:r>
              <w:rPr>
                <w:rFonts w:ascii="Times New Roman" w:hAnsi="Times New Roman" w:cs="Times New Roman"/>
                <w:sz w:val="20"/>
                <w:szCs w:val="20"/>
                <w:lang w:eastAsia="fr-FR"/>
              </w:rPr>
              <w:t>. Il doit impérativement être remis avec la brochure tarifaire pro en vigueur.</w:t>
            </w:r>
          </w:p>
          <w:p w:rsidR="00E45011" w:rsidRDefault="00E45011" w:rsidP="00E45011">
            <w:pPr>
              <w:numPr>
                <w:ilvl w:val="0"/>
                <w:numId w:val="44"/>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La migration des clients équipés EDI vers CE NET aura lieu le 11 mars 2018.</w:t>
            </w:r>
          </w:p>
        </w:tc>
      </w:tr>
      <w:tr w:rsidR="00DA5EC3" w:rsidRPr="00E81F6E" w:rsidTr="00DA5EC3">
        <w:trPr>
          <w:trHeight w:val="333"/>
        </w:trPr>
        <w:tc>
          <w:tcPr>
            <w:tcW w:w="1560" w:type="dxa"/>
            <w:tcBorders>
              <w:bottom w:val="single" w:sz="4" w:space="0" w:color="auto"/>
            </w:tcBorders>
          </w:tcPr>
          <w:p w:rsidR="00DA5EC3" w:rsidRDefault="00DA5EC3">
            <w:pPr>
              <w:rPr>
                <w:rFonts w:ascii="Times New Roman" w:hAnsi="Times New Roman" w:cs="Times New Roman"/>
                <w:b/>
                <w:bCs/>
                <w:sz w:val="20"/>
                <w:szCs w:val="20"/>
              </w:rPr>
            </w:pPr>
            <w:r w:rsidRPr="0083730C">
              <w:rPr>
                <w:rFonts w:ascii="Times New Roman" w:hAnsi="Times New Roman" w:cs="Times New Roman"/>
                <w:b/>
                <w:bCs/>
                <w:sz w:val="20"/>
                <w:szCs w:val="20"/>
              </w:rPr>
              <w:t>Com. DMA</w:t>
            </w:r>
          </w:p>
        </w:tc>
        <w:tc>
          <w:tcPr>
            <w:tcW w:w="1843" w:type="dxa"/>
            <w:tcBorders>
              <w:bottom w:val="single" w:sz="4" w:space="0" w:color="auto"/>
            </w:tcBorders>
          </w:tcPr>
          <w:p w:rsidR="00DA5EC3" w:rsidRPr="00DA5EC3" w:rsidRDefault="00DA5EC3" w:rsidP="00DA5EC3">
            <w:pPr>
              <w:rPr>
                <w:rFonts w:ascii="Calibri" w:hAnsi="Calibri" w:cs="Calibri"/>
                <w:sz w:val="20"/>
                <w:szCs w:val="20"/>
              </w:rPr>
            </w:pPr>
            <w:r w:rsidRPr="00DA5EC3">
              <w:rPr>
                <w:rFonts w:ascii="Times New Roman" w:hAnsi="Times New Roman" w:cs="Times New Roman"/>
                <w:b/>
                <w:bCs/>
                <w:sz w:val="20"/>
                <w:szCs w:val="20"/>
              </w:rPr>
              <w:t xml:space="preserve">CG BPCE </w:t>
            </w:r>
          </w:p>
        </w:tc>
        <w:tc>
          <w:tcPr>
            <w:tcW w:w="12332" w:type="dxa"/>
            <w:tcBorders>
              <w:bottom w:val="single" w:sz="4" w:space="0" w:color="auto"/>
            </w:tcBorders>
            <w:shd w:val="clear" w:color="auto" w:fill="auto"/>
          </w:tcPr>
          <w:p w:rsidR="00DA5EC3" w:rsidRPr="00DA5EC3" w:rsidRDefault="00DA5EC3" w:rsidP="00DA5EC3">
            <w:pPr>
              <w:pStyle w:val="Paragraphedeliste"/>
              <w:numPr>
                <w:ilvl w:val="0"/>
                <w:numId w:val="2"/>
              </w:numPr>
              <w:ind w:left="176" w:hanging="176"/>
              <w:jc w:val="both"/>
              <w:rPr>
                <w:rFonts w:ascii="Times New Roman" w:hAnsi="Times New Roman" w:cs="Times New Roman"/>
                <w:sz w:val="20"/>
                <w:szCs w:val="20"/>
              </w:rPr>
            </w:pPr>
            <w:r w:rsidRPr="00DA5EC3">
              <w:rPr>
                <w:rFonts w:ascii="Times New Roman" w:hAnsi="Times New Roman" w:cs="Times New Roman"/>
                <w:sz w:val="20"/>
                <w:szCs w:val="20"/>
              </w:rPr>
              <w:t xml:space="preserve">Suite à l’information parue dans le </w:t>
            </w:r>
            <w:proofErr w:type="spellStart"/>
            <w:r w:rsidRPr="00DA5EC3">
              <w:rPr>
                <w:rFonts w:ascii="Times New Roman" w:hAnsi="Times New Roman" w:cs="Times New Roman"/>
                <w:sz w:val="20"/>
                <w:szCs w:val="20"/>
              </w:rPr>
              <w:t>brief</w:t>
            </w:r>
            <w:proofErr w:type="spellEnd"/>
            <w:r w:rsidRPr="00DA5EC3">
              <w:rPr>
                <w:rFonts w:ascii="Times New Roman" w:hAnsi="Times New Roman" w:cs="Times New Roman"/>
                <w:sz w:val="20"/>
                <w:szCs w:val="20"/>
              </w:rPr>
              <w:t xml:space="preserve"> semaine 3, nous vous informons que la nouvelle dotation des CG Auto Pros est en cours de diffusion.</w:t>
            </w:r>
          </w:p>
          <w:p w:rsidR="00DA5EC3" w:rsidRPr="00DA5EC3" w:rsidRDefault="00DA5EC3" w:rsidP="00DA5EC3">
            <w:pPr>
              <w:pStyle w:val="Paragraphedeliste"/>
              <w:ind w:left="360"/>
              <w:rPr>
                <w:rFonts w:ascii="Times New Roman" w:hAnsi="Times New Roman" w:cs="Times New Roman"/>
                <w:sz w:val="20"/>
                <w:szCs w:val="20"/>
              </w:rPr>
            </w:pPr>
          </w:p>
        </w:tc>
      </w:tr>
      <w:tr w:rsidR="00EC375C" w:rsidRPr="00E81F6E" w:rsidTr="00D92A80">
        <w:trPr>
          <w:trHeight w:val="248"/>
        </w:trPr>
        <w:tc>
          <w:tcPr>
            <w:tcW w:w="15735" w:type="dxa"/>
            <w:gridSpan w:val="3"/>
            <w:tcBorders>
              <w:bottom w:val="single" w:sz="4" w:space="0" w:color="auto"/>
            </w:tcBorders>
            <w:shd w:val="clear" w:color="auto" w:fill="BFBFBF" w:themeFill="background1" w:themeFillShade="BF"/>
          </w:tcPr>
          <w:p w:rsidR="00EC375C" w:rsidRPr="00832B1B" w:rsidRDefault="00EC375C" w:rsidP="00D92A80">
            <w:pPr>
              <w:contextualSpacing/>
              <w:jc w:val="center"/>
              <w:rPr>
                <w:rFonts w:ascii="Times New Roman" w:hAnsi="Times New Roman" w:cs="Times New Roman"/>
                <w:b/>
                <w:sz w:val="20"/>
                <w:szCs w:val="20"/>
              </w:rPr>
            </w:pPr>
            <w:r>
              <w:rPr>
                <w:rFonts w:ascii="Times New Roman" w:hAnsi="Times New Roman" w:cs="Times New Roman"/>
                <w:b/>
                <w:sz w:val="20"/>
                <w:szCs w:val="20"/>
              </w:rPr>
              <w:t>Divers</w:t>
            </w:r>
          </w:p>
        </w:tc>
      </w:tr>
      <w:tr w:rsidR="00E45011" w:rsidRPr="00E81F6E" w:rsidTr="00D92A80">
        <w:trPr>
          <w:trHeight w:val="248"/>
        </w:trPr>
        <w:tc>
          <w:tcPr>
            <w:tcW w:w="1560" w:type="dxa"/>
            <w:tcBorders>
              <w:bottom w:val="single" w:sz="4" w:space="0" w:color="auto"/>
            </w:tcBorders>
          </w:tcPr>
          <w:p w:rsidR="00E45011" w:rsidRPr="00E81F6E" w:rsidRDefault="00E45011" w:rsidP="0098174C">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Qualité</w:t>
            </w:r>
          </w:p>
        </w:tc>
        <w:tc>
          <w:tcPr>
            <w:tcW w:w="1843" w:type="dxa"/>
            <w:tcBorders>
              <w:bottom w:val="single" w:sz="4" w:space="0" w:color="auto"/>
            </w:tcBorders>
          </w:tcPr>
          <w:p w:rsidR="00E45011" w:rsidRPr="00E45011" w:rsidRDefault="00E45011" w:rsidP="004B1F6E">
            <w:pPr>
              <w:rPr>
                <w:rFonts w:ascii="Times New Roman" w:hAnsi="Times New Roman" w:cs="Times New Roman"/>
              </w:rPr>
            </w:pPr>
            <w:r w:rsidRPr="00E45011">
              <w:rPr>
                <w:rFonts w:ascii="Times New Roman" w:hAnsi="Times New Roman" w:cs="Times New Roman"/>
                <w:b/>
                <w:bCs/>
                <w:color w:val="000000"/>
                <w:sz w:val="20"/>
                <w:szCs w:val="20"/>
              </w:rPr>
              <w:t>Qualité Haute Définition (QHD)</w:t>
            </w:r>
          </w:p>
          <w:p w:rsidR="00E45011" w:rsidRPr="00E45011" w:rsidRDefault="00E45011" w:rsidP="004B1F6E">
            <w:pPr>
              <w:rPr>
                <w:rFonts w:ascii="Times New Roman" w:hAnsi="Times New Roman" w:cs="Times New Roman"/>
              </w:rPr>
            </w:pPr>
            <w:r w:rsidRPr="00E45011">
              <w:rPr>
                <w:rFonts w:ascii="Times New Roman" w:hAnsi="Times New Roman" w:cs="Times New Roman"/>
                <w:b/>
                <w:bCs/>
                <w:color w:val="000000"/>
                <w:sz w:val="20"/>
                <w:szCs w:val="20"/>
              </w:rPr>
              <w:t> </w:t>
            </w:r>
          </w:p>
        </w:tc>
        <w:tc>
          <w:tcPr>
            <w:tcW w:w="12332" w:type="dxa"/>
            <w:tcBorders>
              <w:bottom w:val="single" w:sz="4" w:space="0" w:color="auto"/>
            </w:tcBorders>
            <w:shd w:val="clear" w:color="auto" w:fill="auto"/>
          </w:tcPr>
          <w:p w:rsidR="00E45011" w:rsidRPr="00E45011" w:rsidRDefault="00A51B64" w:rsidP="004B1F6E">
            <w:pPr>
              <w:numPr>
                <w:ilvl w:val="0"/>
                <w:numId w:val="44"/>
              </w:numPr>
              <w:ind w:left="176" w:hanging="176"/>
              <w:contextualSpacing/>
              <w:jc w:val="both"/>
              <w:rPr>
                <w:rFonts w:ascii="Times New Roman" w:hAnsi="Times New Roman" w:cs="Times New Roman"/>
              </w:rPr>
            </w:pPr>
            <w:hyperlink r:id="rId28" w:history="1">
              <w:r w:rsidR="00E45011" w:rsidRPr="004B1F6E">
                <w:rPr>
                  <w:rStyle w:val="Lienhypertexte"/>
                  <w:rFonts w:ascii="Times New Roman" w:hAnsi="Times New Roman" w:cs="Times New Roman"/>
                  <w:sz w:val="20"/>
                  <w:szCs w:val="20"/>
                </w:rPr>
                <w:t>Les rappo</w:t>
              </w:r>
              <w:r w:rsidR="004B1F6E">
                <w:rPr>
                  <w:rStyle w:val="Lienhypertexte"/>
                  <w:rFonts w:ascii="Times New Roman" w:hAnsi="Times New Roman" w:cs="Times New Roman"/>
                  <w:sz w:val="20"/>
                  <w:szCs w:val="20"/>
                </w:rPr>
                <w:t>rts de satisfaction du mois de j</w:t>
              </w:r>
              <w:r w:rsidR="00E45011" w:rsidRPr="004B1F6E">
                <w:rPr>
                  <w:rStyle w:val="Lienhypertexte"/>
                  <w:rFonts w:ascii="Times New Roman" w:hAnsi="Times New Roman" w:cs="Times New Roman"/>
                  <w:sz w:val="20"/>
                  <w:szCs w:val="20"/>
                </w:rPr>
                <w:t>anvier</w:t>
              </w:r>
            </w:hyperlink>
            <w:r w:rsidR="00E45011" w:rsidRPr="004B1F6E">
              <w:rPr>
                <w:rFonts w:ascii="Times New Roman" w:hAnsi="Times New Roman" w:cs="Times New Roman"/>
                <w:sz w:val="20"/>
                <w:szCs w:val="20"/>
              </w:rPr>
              <w:t xml:space="preserve"> sont accessibles sur </w:t>
            </w:r>
            <w:hyperlink r:id="rId29" w:history="1">
              <w:r w:rsidR="00E45011" w:rsidRPr="004B1F6E">
                <w:rPr>
                  <w:rStyle w:val="Lienhypertexte"/>
                  <w:rFonts w:ascii="Times New Roman" w:hAnsi="Times New Roman" w:cs="Times New Roman"/>
                  <w:sz w:val="20"/>
                  <w:szCs w:val="20"/>
                </w:rPr>
                <w:t>le site Qualité</w:t>
              </w:r>
            </w:hyperlink>
            <w:r w:rsidR="004B1F6E" w:rsidRPr="004B1F6E">
              <w:rPr>
                <w:rFonts w:ascii="Times New Roman" w:hAnsi="Times New Roman" w:cs="Times New Roman"/>
                <w:sz w:val="20"/>
                <w:szCs w:val="20"/>
              </w:rPr>
              <w:t>. En j</w:t>
            </w:r>
            <w:r w:rsidR="00E45011" w:rsidRPr="004B1F6E">
              <w:rPr>
                <w:rFonts w:ascii="Times New Roman" w:hAnsi="Times New Roman" w:cs="Times New Roman"/>
                <w:sz w:val="20"/>
                <w:szCs w:val="20"/>
              </w:rPr>
              <w:t>anvier, la moyenne de satisfaction sur 3 mois glissants est de 72%. Les amplitudes de Satisfaction en TS-I (% de Très Satisfaits - % d’Insatisfaits) vont de 3 % à 100 % ce mois-ci.</w:t>
            </w:r>
          </w:p>
          <w:p w:rsidR="00E45011" w:rsidRPr="00E45011" w:rsidRDefault="00E45011" w:rsidP="004B1F6E">
            <w:pPr>
              <w:numPr>
                <w:ilvl w:val="0"/>
                <w:numId w:val="44"/>
              </w:numPr>
              <w:ind w:left="176" w:hanging="176"/>
              <w:contextualSpacing/>
              <w:jc w:val="both"/>
              <w:rPr>
                <w:rFonts w:ascii="Times New Roman" w:hAnsi="Times New Roman" w:cs="Times New Roman"/>
              </w:rPr>
            </w:pPr>
            <w:r w:rsidRPr="00E45011">
              <w:rPr>
                <w:rFonts w:ascii="Times New Roman" w:hAnsi="Times New Roman" w:cs="Times New Roman"/>
                <w:sz w:val="20"/>
                <w:szCs w:val="20"/>
              </w:rPr>
              <w:t>Le Service Qualité propose, aux DUC / DA / DAA qui le souhaitent, une audio de 45 min pour décrypter les résultats.</w:t>
            </w:r>
            <w:r w:rsidR="004B1F6E">
              <w:rPr>
                <w:rFonts w:ascii="Times New Roman" w:hAnsi="Times New Roman" w:cs="Times New Roman"/>
                <w:sz w:val="20"/>
                <w:szCs w:val="20"/>
              </w:rPr>
              <w:t xml:space="preserve"> </w:t>
            </w:r>
            <w:r w:rsidRPr="00E45011">
              <w:rPr>
                <w:rFonts w:ascii="Times New Roman" w:hAnsi="Times New Roman" w:cs="Times New Roman"/>
                <w:sz w:val="20"/>
                <w:szCs w:val="20"/>
              </w:rPr>
              <w:t>Les agences qui recueillent une Satisfaction globale inférieure à 50% (TS-I), peuvent également être accompagnées.</w:t>
            </w:r>
            <w:r w:rsidRPr="00E45011">
              <w:rPr>
                <w:rFonts w:ascii="Times New Roman" w:hAnsi="Times New Roman" w:cs="Times New Roman"/>
              </w:rPr>
              <w:t xml:space="preserve"> </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51717D"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1717D" w:rsidRPr="00E81F6E" w:rsidRDefault="002164C6" w:rsidP="009663E4">
            <w:pPr>
              <w:rPr>
                <w:rFonts w:ascii="Times New Roman" w:hAnsi="Times New Roman" w:cs="Times New Roman"/>
                <w:sz w:val="20"/>
                <w:szCs w:val="20"/>
              </w:rPr>
            </w:pPr>
            <w:r>
              <w:rPr>
                <w:rFonts w:ascii="Times New Roman" w:hAnsi="Times New Roman" w:cs="Times New Roman"/>
                <w:b/>
                <w:bCs/>
                <w:sz w:val="20"/>
                <w:szCs w:val="20"/>
              </w:rPr>
              <w:t>Com. DFCG</w:t>
            </w:r>
          </w:p>
        </w:tc>
        <w:tc>
          <w:tcPr>
            <w:tcW w:w="1843" w:type="dxa"/>
            <w:tcBorders>
              <w:top w:val="single" w:sz="4" w:space="0" w:color="auto"/>
              <w:left w:val="single" w:sz="4" w:space="0" w:color="auto"/>
              <w:bottom w:val="single" w:sz="4" w:space="0" w:color="auto"/>
              <w:right w:val="single" w:sz="4" w:space="0" w:color="auto"/>
            </w:tcBorders>
          </w:tcPr>
          <w:p w:rsidR="0051717D" w:rsidRPr="00E81F6E" w:rsidRDefault="002164C6" w:rsidP="009663E4">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Suivi ADE</w:t>
            </w:r>
          </w:p>
        </w:tc>
        <w:tc>
          <w:tcPr>
            <w:tcW w:w="12332" w:type="dxa"/>
            <w:tcBorders>
              <w:top w:val="single" w:sz="4" w:space="0" w:color="auto"/>
              <w:left w:val="single" w:sz="4" w:space="0" w:color="auto"/>
              <w:bottom w:val="single" w:sz="4" w:space="0" w:color="auto"/>
              <w:right w:val="single" w:sz="4" w:space="0" w:color="auto"/>
            </w:tcBorders>
          </w:tcPr>
          <w:p w:rsidR="002164C6" w:rsidRPr="00557B0B" w:rsidRDefault="002164C6" w:rsidP="00557B0B">
            <w:pPr>
              <w:pStyle w:val="Paragraphedeliste"/>
              <w:numPr>
                <w:ilvl w:val="0"/>
                <w:numId w:val="2"/>
              </w:numPr>
              <w:ind w:left="176" w:hanging="176"/>
              <w:jc w:val="both"/>
              <w:rPr>
                <w:rFonts w:ascii="Times New Roman" w:hAnsi="Times New Roman" w:cs="Times New Roman"/>
                <w:sz w:val="20"/>
                <w:szCs w:val="20"/>
              </w:rPr>
            </w:pPr>
            <w:r w:rsidRPr="00557B0B">
              <w:rPr>
                <w:rFonts w:ascii="Times New Roman" w:hAnsi="Times New Roman" w:cs="Times New Roman"/>
                <w:b/>
                <w:sz w:val="20"/>
                <w:szCs w:val="20"/>
              </w:rPr>
              <w:t>Retrouvez le suivi du taux de pénétration ADE, à fin décembre 2017</w:t>
            </w:r>
            <w:r w:rsidRPr="00557B0B">
              <w:rPr>
                <w:rFonts w:ascii="Times New Roman" w:hAnsi="Times New Roman" w:cs="Times New Roman"/>
                <w:sz w:val="20"/>
                <w:szCs w:val="20"/>
              </w:rPr>
              <w:t>, dans votre espace Pilotage de la Rubrique des Commerciaux (</w:t>
            </w:r>
            <w:hyperlink r:id="rId30" w:history="1">
              <w:r w:rsidRPr="00557B0B">
                <w:rPr>
                  <w:rStyle w:val="Lienhypertexte"/>
                  <w:rFonts w:ascii="Times New Roman" w:hAnsi="Times New Roman" w:cs="Times New Roman"/>
                  <w:sz w:val="20"/>
                  <w:szCs w:val="20"/>
                </w:rPr>
                <w:t>cliquez ici</w:t>
              </w:r>
            </w:hyperlink>
            <w:r w:rsidRPr="00557B0B">
              <w:rPr>
                <w:rFonts w:ascii="Times New Roman" w:hAnsi="Times New Roman" w:cs="Times New Roman"/>
                <w:sz w:val="20"/>
                <w:szCs w:val="20"/>
              </w:rPr>
              <w:t>).</w:t>
            </w:r>
          </w:p>
          <w:p w:rsidR="002164C6" w:rsidRPr="00557B0B" w:rsidRDefault="002164C6" w:rsidP="00557B0B">
            <w:pPr>
              <w:pStyle w:val="Paragraphedeliste"/>
              <w:numPr>
                <w:ilvl w:val="0"/>
                <w:numId w:val="2"/>
              </w:numPr>
              <w:ind w:left="176" w:hanging="176"/>
              <w:jc w:val="both"/>
              <w:rPr>
                <w:rFonts w:ascii="Times New Roman" w:hAnsi="Times New Roman" w:cs="Times New Roman"/>
                <w:sz w:val="20"/>
                <w:szCs w:val="20"/>
              </w:rPr>
            </w:pPr>
            <w:r w:rsidRPr="00557B0B">
              <w:rPr>
                <w:rFonts w:ascii="Times New Roman" w:hAnsi="Times New Roman" w:cs="Times New Roman"/>
                <w:sz w:val="20"/>
                <w:szCs w:val="20"/>
              </w:rPr>
              <w:t>Sur le crédit immo, le taux de pénétration à fin décembre 2017 est de 63,5 % (baisse de 2,4 pts par rapport à fin 2016) pour un objectif de 75%. La quotité est de 144,6% (baisse de 2 pts par rapport à fin 2016) pour un objectif de 150%. Le manque à gagner total sur la durée de vie de la production des crédits immobiliers de l’année 2017 est de 4,9 M€.</w:t>
            </w:r>
          </w:p>
          <w:p w:rsidR="0051717D" w:rsidRPr="00557B0B" w:rsidRDefault="002164C6" w:rsidP="00557B0B">
            <w:pPr>
              <w:pStyle w:val="Paragraphedeliste"/>
              <w:numPr>
                <w:ilvl w:val="0"/>
                <w:numId w:val="2"/>
              </w:numPr>
              <w:ind w:left="176" w:hanging="176"/>
              <w:jc w:val="both"/>
              <w:rPr>
                <w:rFonts w:ascii="Times New Roman" w:hAnsi="Times New Roman" w:cs="Times New Roman"/>
                <w:sz w:val="20"/>
                <w:szCs w:val="20"/>
              </w:rPr>
            </w:pPr>
            <w:r w:rsidRPr="00557B0B">
              <w:rPr>
                <w:rFonts w:ascii="Times New Roman" w:hAnsi="Times New Roman" w:cs="Times New Roman"/>
                <w:sz w:val="20"/>
                <w:szCs w:val="20"/>
              </w:rPr>
              <w:t xml:space="preserve">Sur le crédit Conso, le taux de pénétration à fin juillet 2017 est de 78,4% (stable par rapport à fin 2016) pour un objectif de 90%. La quotité moyenne est de 136,4% (+1 point par rapport à fin 2016) pour un objectif de 135%. </w:t>
            </w:r>
          </w:p>
        </w:tc>
      </w:tr>
      <w:tr w:rsidR="00557B0B"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57B0B" w:rsidRDefault="00557B0B" w:rsidP="009663E4">
            <w:pPr>
              <w:rPr>
                <w:rFonts w:ascii="Times New Roman" w:hAnsi="Times New Roman" w:cs="Times New Roman"/>
                <w:b/>
                <w:bCs/>
                <w:sz w:val="20"/>
                <w:szCs w:val="20"/>
              </w:rPr>
            </w:pPr>
            <w:r>
              <w:rPr>
                <w:rFonts w:ascii="Times New Roman" w:hAnsi="Times New Roman" w:cs="Times New Roman"/>
                <w:b/>
                <w:bCs/>
                <w:sz w:val="20"/>
                <w:szCs w:val="20"/>
              </w:rPr>
              <w:t>Com. DRCCP</w:t>
            </w:r>
          </w:p>
        </w:tc>
        <w:tc>
          <w:tcPr>
            <w:tcW w:w="1843" w:type="dxa"/>
            <w:tcBorders>
              <w:top w:val="single" w:sz="4" w:space="0" w:color="auto"/>
              <w:left w:val="single" w:sz="4" w:space="0" w:color="auto"/>
              <w:bottom w:val="single" w:sz="4" w:space="0" w:color="auto"/>
              <w:right w:val="single" w:sz="4" w:space="0" w:color="auto"/>
            </w:tcBorders>
          </w:tcPr>
          <w:p w:rsidR="00557B0B" w:rsidRPr="00557B0B" w:rsidRDefault="00557B0B">
            <w:pPr>
              <w:rPr>
                <w:rFonts w:ascii="Times New Roman" w:hAnsi="Times New Roman" w:cs="Times New Roman"/>
                <w:b/>
                <w:bCs/>
                <w:color w:val="FFFFFF"/>
                <w:sz w:val="20"/>
                <w:szCs w:val="20"/>
                <w:highlight w:val="red"/>
              </w:rPr>
            </w:pPr>
            <w:r w:rsidRPr="00557B0B">
              <w:rPr>
                <w:rFonts w:ascii="Times New Roman" w:hAnsi="Times New Roman" w:cs="Times New Roman"/>
                <w:b/>
                <w:bCs/>
                <w:sz w:val="20"/>
                <w:szCs w:val="20"/>
              </w:rPr>
              <w:t xml:space="preserve">Comptes en dépassement de plafond </w:t>
            </w:r>
          </w:p>
        </w:tc>
        <w:tc>
          <w:tcPr>
            <w:tcW w:w="12332" w:type="dxa"/>
            <w:tcBorders>
              <w:top w:val="single" w:sz="4" w:space="0" w:color="auto"/>
              <w:left w:val="single" w:sz="4" w:space="0" w:color="auto"/>
              <w:bottom w:val="single" w:sz="4" w:space="0" w:color="auto"/>
              <w:right w:val="single" w:sz="4" w:space="0" w:color="auto"/>
            </w:tcBorders>
          </w:tcPr>
          <w:p w:rsidR="00557B0B" w:rsidRPr="00557B0B" w:rsidRDefault="00557B0B" w:rsidP="00557B0B">
            <w:pPr>
              <w:pStyle w:val="Paragraphedeliste"/>
              <w:numPr>
                <w:ilvl w:val="0"/>
                <w:numId w:val="48"/>
              </w:numPr>
              <w:ind w:left="175" w:hanging="175"/>
              <w:jc w:val="both"/>
              <w:rPr>
                <w:rFonts w:ascii="Times New Roman" w:hAnsi="Times New Roman" w:cs="Times New Roman"/>
                <w:sz w:val="20"/>
                <w:szCs w:val="20"/>
              </w:rPr>
            </w:pPr>
            <w:r w:rsidRPr="00557B0B">
              <w:rPr>
                <w:rFonts w:ascii="Times New Roman" w:hAnsi="Times New Roman" w:cs="Times New Roman"/>
                <w:sz w:val="20"/>
                <w:szCs w:val="20"/>
              </w:rPr>
              <w:t xml:space="preserve">Vous trouverez </w:t>
            </w:r>
            <w:hyperlink r:id="rId31" w:history="1">
              <w:r w:rsidRPr="00557B0B">
                <w:rPr>
                  <w:rStyle w:val="Lienhypertexte"/>
                  <w:rFonts w:ascii="Times New Roman" w:hAnsi="Times New Roman" w:cs="Times New Roman"/>
                  <w:sz w:val="20"/>
                  <w:szCs w:val="20"/>
                </w:rPr>
                <w:t>en cliquant ici</w:t>
              </w:r>
            </w:hyperlink>
            <w:r w:rsidRPr="00557B0B">
              <w:rPr>
                <w:rFonts w:ascii="Times New Roman" w:hAnsi="Times New Roman" w:cs="Times New Roman"/>
                <w:sz w:val="20"/>
                <w:szCs w:val="20"/>
              </w:rPr>
              <w:t xml:space="preserve"> le fichier des comptes en anomalie à traiter. </w:t>
            </w:r>
          </w:p>
          <w:p w:rsidR="00557B0B" w:rsidRPr="00557B0B" w:rsidRDefault="00557B0B" w:rsidP="00557B0B">
            <w:pPr>
              <w:pStyle w:val="Paragraphedeliste"/>
              <w:numPr>
                <w:ilvl w:val="0"/>
                <w:numId w:val="48"/>
              </w:numPr>
              <w:ind w:left="175" w:hanging="175"/>
              <w:jc w:val="both"/>
              <w:rPr>
                <w:rFonts w:ascii="Times New Roman" w:hAnsi="Times New Roman" w:cs="Times New Roman"/>
                <w:sz w:val="20"/>
                <w:szCs w:val="20"/>
              </w:rPr>
            </w:pPr>
            <w:r w:rsidRPr="00557B0B">
              <w:rPr>
                <w:rFonts w:ascii="Times New Roman" w:hAnsi="Times New Roman" w:cs="Times New Roman"/>
                <w:sz w:val="20"/>
                <w:szCs w:val="20"/>
              </w:rPr>
              <w:t xml:space="preserve">Ces comptes sont en réel dépassement de plafond (hors capitalisation des intérêts) et </w:t>
            </w:r>
            <w:r w:rsidRPr="009B31A9">
              <w:rPr>
                <w:rFonts w:ascii="Times New Roman" w:hAnsi="Times New Roman" w:cs="Times New Roman"/>
                <w:b/>
                <w:sz w:val="20"/>
                <w:szCs w:val="20"/>
              </w:rPr>
              <w:t>doivent être repositionnés au plafond réglementaire.</w:t>
            </w:r>
            <w:r w:rsidRPr="00557B0B">
              <w:rPr>
                <w:rFonts w:ascii="Times New Roman" w:hAnsi="Times New Roman" w:cs="Times New Roman"/>
                <w:sz w:val="20"/>
                <w:szCs w:val="20"/>
              </w:rPr>
              <w:t xml:space="preserve"> Afin de respecter la réglementation et capitaliser sur cette opportunité commerciale, il convient de prendre contact avec les 221clients concernés pour leur proposer de recycler une partie de ces fonds vers de nouvelles solutions d’Epargne. Accéder au fichier disponible également dans la RDC &gt; Particuliers &gt; Epargne &gt; les Livrets &gt; Livrets A / LEP / LDDS / Livret Jeune</w:t>
            </w:r>
          </w:p>
        </w:tc>
      </w:tr>
      <w:tr w:rsidR="009B31A9"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B31A9" w:rsidRDefault="009B31A9">
            <w:r w:rsidRPr="00113B9F">
              <w:rPr>
                <w:rFonts w:ascii="Times New Roman" w:hAnsi="Times New Roman" w:cs="Times New Roman"/>
                <w:b/>
                <w:bCs/>
                <w:sz w:val="20"/>
                <w:szCs w:val="20"/>
              </w:rPr>
              <w:t>Com. DRCCP</w:t>
            </w:r>
          </w:p>
        </w:tc>
        <w:tc>
          <w:tcPr>
            <w:tcW w:w="1843" w:type="dxa"/>
            <w:tcBorders>
              <w:top w:val="single" w:sz="4" w:space="0" w:color="auto"/>
              <w:left w:val="single" w:sz="4" w:space="0" w:color="auto"/>
              <w:bottom w:val="single" w:sz="4" w:space="0" w:color="auto"/>
              <w:right w:val="single" w:sz="4" w:space="0" w:color="auto"/>
            </w:tcBorders>
          </w:tcPr>
          <w:p w:rsidR="009B31A9" w:rsidRPr="009B31A9" w:rsidRDefault="009B31A9" w:rsidP="008E1393">
            <w:pPr>
              <w:rPr>
                <w:rFonts w:ascii="Times New Roman" w:hAnsi="Times New Roman" w:cs="Times New Roman"/>
                <w:b/>
                <w:bCs/>
                <w:color w:val="FFFFFF" w:themeColor="background1"/>
                <w:sz w:val="20"/>
                <w:szCs w:val="20"/>
                <w:highlight w:val="red"/>
              </w:rPr>
            </w:pPr>
            <w:r w:rsidRPr="009B31A9">
              <w:rPr>
                <w:rFonts w:ascii="Times New Roman" w:eastAsia="+mn-ea" w:hAnsi="Times New Roman" w:cs="Times New Roman"/>
                <w:b/>
                <w:color w:val="000000"/>
                <w:kern w:val="24"/>
                <w:sz w:val="20"/>
                <w:szCs w:val="20"/>
              </w:rPr>
              <w:t xml:space="preserve">Parcours client épargne financière et assurance </w:t>
            </w:r>
          </w:p>
        </w:tc>
        <w:tc>
          <w:tcPr>
            <w:tcW w:w="12332" w:type="dxa"/>
            <w:tcBorders>
              <w:top w:val="single" w:sz="4" w:space="0" w:color="auto"/>
              <w:left w:val="single" w:sz="4" w:space="0" w:color="auto"/>
              <w:bottom w:val="single" w:sz="4" w:space="0" w:color="auto"/>
              <w:right w:val="single" w:sz="4" w:space="0" w:color="auto"/>
            </w:tcBorders>
          </w:tcPr>
          <w:p w:rsidR="009B31A9" w:rsidRPr="00AB6D8D" w:rsidRDefault="009B31A9" w:rsidP="009B31A9">
            <w:pPr>
              <w:pStyle w:val="Paragraphedeliste"/>
              <w:numPr>
                <w:ilvl w:val="0"/>
                <w:numId w:val="48"/>
              </w:numPr>
              <w:ind w:left="175" w:hanging="175"/>
              <w:jc w:val="both"/>
              <w:rPr>
                <w:rFonts w:ascii="Times New Roman" w:hAnsi="Times New Roman" w:cs="Times New Roman"/>
                <w:sz w:val="20"/>
                <w:szCs w:val="20"/>
              </w:rPr>
            </w:pPr>
            <w:r>
              <w:rPr>
                <w:rFonts w:ascii="Times New Roman" w:hAnsi="Times New Roman" w:cs="Times New Roman"/>
                <w:sz w:val="20"/>
                <w:szCs w:val="20"/>
              </w:rPr>
              <w:t>v</w:t>
            </w:r>
            <w:r w:rsidRPr="004D2B60">
              <w:rPr>
                <w:rFonts w:ascii="Times New Roman" w:hAnsi="Times New Roman" w:cs="Times New Roman"/>
                <w:sz w:val="20"/>
                <w:szCs w:val="20"/>
              </w:rPr>
              <w:t>ous trouverez</w:t>
            </w:r>
            <w:r w:rsidR="00BD30E7">
              <w:rPr>
                <w:rFonts w:ascii="Times New Roman" w:hAnsi="Times New Roman" w:cs="Times New Roman"/>
                <w:sz w:val="20"/>
                <w:szCs w:val="20"/>
              </w:rPr>
              <w:t xml:space="preserve"> </w:t>
            </w:r>
            <w:hyperlink r:id="rId32" w:history="1">
              <w:r w:rsidRPr="009B31A9">
                <w:rPr>
                  <w:rStyle w:val="Lienhypertexte"/>
                  <w:rFonts w:ascii="Times New Roman" w:hAnsi="Times New Roman" w:cs="Times New Roman"/>
                  <w:sz w:val="20"/>
                  <w:szCs w:val="20"/>
                </w:rPr>
                <w:t>en cliquant ici</w:t>
              </w:r>
            </w:hyperlink>
            <w:r w:rsidRPr="009B31A9">
              <w:rPr>
                <w:rFonts w:ascii="Times New Roman" w:hAnsi="Times New Roman" w:cs="Times New Roman"/>
                <w:b/>
                <w:sz w:val="20"/>
                <w:szCs w:val="20"/>
              </w:rPr>
              <w:t>, le suivi du dispositif de renforcement des contrôles PILCOP, hors pré-chargements DRCCP</w:t>
            </w:r>
            <w:r w:rsidRPr="00AB6D8D">
              <w:rPr>
                <w:rFonts w:ascii="Times New Roman" w:hAnsi="Times New Roman" w:cs="Times New Roman"/>
                <w:sz w:val="20"/>
                <w:szCs w:val="20"/>
              </w:rPr>
              <w:t>,</w:t>
            </w:r>
            <w:r w:rsidR="00BD30E7">
              <w:rPr>
                <w:rFonts w:ascii="Times New Roman" w:hAnsi="Times New Roman" w:cs="Times New Roman"/>
                <w:sz w:val="20"/>
                <w:szCs w:val="20"/>
              </w:rPr>
              <w:t xml:space="preserve"> </w:t>
            </w:r>
            <w:r w:rsidRPr="00AB6D8D">
              <w:rPr>
                <w:rFonts w:ascii="Times New Roman" w:hAnsi="Times New Roman" w:cs="Times New Roman"/>
                <w:sz w:val="20"/>
                <w:szCs w:val="20"/>
              </w:rPr>
              <w:t>sur les opérations (souscription, versement, arbitrage) d’assurance-vie et Instruments Financiers, réalisées auprès :</w:t>
            </w:r>
          </w:p>
          <w:p w:rsidR="009B31A9" w:rsidRPr="00AB6D8D" w:rsidRDefault="009B31A9" w:rsidP="009B31A9">
            <w:pPr>
              <w:numPr>
                <w:ilvl w:val="0"/>
                <w:numId w:val="49"/>
              </w:numPr>
              <w:rPr>
                <w:rFonts w:ascii="Times New Roman" w:hAnsi="Times New Roman" w:cs="Times New Roman"/>
                <w:sz w:val="20"/>
                <w:szCs w:val="20"/>
              </w:rPr>
            </w:pPr>
            <w:r>
              <w:rPr>
                <w:rFonts w:ascii="Times New Roman" w:hAnsi="Times New Roman" w:cs="Times New Roman"/>
                <w:sz w:val="20"/>
                <w:szCs w:val="20"/>
              </w:rPr>
              <w:t xml:space="preserve">PJ1et PJ1bis : </w:t>
            </w:r>
            <w:r w:rsidRPr="00AB6D8D">
              <w:rPr>
                <w:rFonts w:ascii="Times New Roman" w:hAnsi="Times New Roman" w:cs="Times New Roman"/>
                <w:sz w:val="20"/>
                <w:szCs w:val="20"/>
              </w:rPr>
              <w:t>de clients âgés de 75 ans et plus, pour des capitaux supérieurs à 10K€ (taux de présence du</w:t>
            </w:r>
            <w:r>
              <w:rPr>
                <w:rFonts w:ascii="Times New Roman" w:hAnsi="Times New Roman" w:cs="Times New Roman"/>
                <w:sz w:val="20"/>
                <w:szCs w:val="20"/>
              </w:rPr>
              <w:t xml:space="preserve"> DDC,</w:t>
            </w:r>
            <w:r w:rsidRPr="00AB6D8D">
              <w:rPr>
                <w:rFonts w:ascii="Times New Roman" w:hAnsi="Times New Roman" w:cs="Times New Roman"/>
                <w:sz w:val="20"/>
                <w:szCs w:val="20"/>
              </w:rPr>
              <w:t xml:space="preserve"> respect de la primauté des intérêts du client</w:t>
            </w:r>
            <w:r>
              <w:rPr>
                <w:rFonts w:ascii="Times New Roman" w:hAnsi="Times New Roman" w:cs="Times New Roman"/>
                <w:sz w:val="20"/>
                <w:szCs w:val="20"/>
              </w:rPr>
              <w:t>, présence de la fiche de supervision</w:t>
            </w:r>
            <w:r w:rsidRPr="00AB6D8D">
              <w:rPr>
                <w:rFonts w:ascii="Times New Roman" w:hAnsi="Times New Roman" w:cs="Times New Roman"/>
                <w:sz w:val="20"/>
                <w:szCs w:val="20"/>
              </w:rPr>
              <w:t>);</w:t>
            </w:r>
          </w:p>
          <w:p w:rsidR="009B31A9" w:rsidRDefault="009B31A9" w:rsidP="009B31A9">
            <w:pPr>
              <w:numPr>
                <w:ilvl w:val="0"/>
                <w:numId w:val="49"/>
              </w:numPr>
              <w:rPr>
                <w:rFonts w:ascii="Times New Roman" w:hAnsi="Times New Roman" w:cs="Times New Roman"/>
                <w:sz w:val="20"/>
                <w:szCs w:val="20"/>
              </w:rPr>
            </w:pPr>
            <w:r>
              <w:rPr>
                <w:rFonts w:ascii="Times New Roman" w:hAnsi="Times New Roman" w:cs="Times New Roman"/>
                <w:sz w:val="20"/>
                <w:szCs w:val="20"/>
              </w:rPr>
              <w:t xml:space="preserve">PJ2 et PJ2bis : </w:t>
            </w:r>
            <w:r w:rsidRPr="00AB6D8D">
              <w:rPr>
                <w:rFonts w:ascii="Times New Roman" w:hAnsi="Times New Roman" w:cs="Times New Roman"/>
                <w:sz w:val="20"/>
                <w:szCs w:val="20"/>
              </w:rPr>
              <w:t>Po</w:t>
            </w:r>
            <w:r>
              <w:rPr>
                <w:rFonts w:ascii="Times New Roman" w:hAnsi="Times New Roman" w:cs="Times New Roman"/>
                <w:sz w:val="20"/>
                <w:szCs w:val="20"/>
              </w:rPr>
              <w:t>ur des montants souscrits &gt;50K€ (</w:t>
            </w:r>
            <w:r w:rsidRPr="00AB6D8D">
              <w:rPr>
                <w:rFonts w:ascii="Times New Roman" w:hAnsi="Times New Roman" w:cs="Times New Roman"/>
                <w:sz w:val="20"/>
                <w:szCs w:val="20"/>
              </w:rPr>
              <w:t>taux de présence du DDC, respect de la primauté des intérêts du client, présence de la fiche de supervision);</w:t>
            </w:r>
          </w:p>
        </w:tc>
      </w:tr>
      <w:tr w:rsidR="00D7795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141E98" w:rsidRDefault="00D77957" w:rsidP="0036331E">
            <w:pPr>
              <w:rPr>
                <w:rFonts w:ascii="Times New Roman" w:hAnsi="Times New Roman" w:cs="Times New Roman"/>
                <w:b/>
                <w:bCs/>
                <w:sz w:val="20"/>
                <w:szCs w:val="20"/>
              </w:rPr>
            </w:pPr>
            <w:r w:rsidRPr="00141E98">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D77957" w:rsidRPr="00141E98" w:rsidRDefault="00D77957" w:rsidP="00A57700">
            <w:pPr>
              <w:rPr>
                <w:rFonts w:ascii="Times New Roman" w:hAnsi="Times New Roman" w:cs="Times New Roman"/>
                <w:b/>
                <w:bCs/>
                <w:color w:val="000000"/>
                <w:sz w:val="20"/>
                <w:szCs w:val="20"/>
              </w:rPr>
            </w:pPr>
            <w:r w:rsidRPr="00141E98">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D77957" w:rsidRPr="00141E98" w:rsidRDefault="00D77957" w:rsidP="00141E98">
            <w:pPr>
              <w:pStyle w:val="Paragraphedeliste"/>
              <w:numPr>
                <w:ilvl w:val="0"/>
                <w:numId w:val="2"/>
              </w:numPr>
              <w:ind w:left="176" w:hanging="176"/>
              <w:jc w:val="both"/>
              <w:rPr>
                <w:rFonts w:ascii="Times New Roman" w:hAnsi="Times New Roman" w:cs="Times New Roman"/>
                <w:bCs/>
                <w:sz w:val="20"/>
                <w:szCs w:val="20"/>
                <w:lang w:eastAsia="fr-FR"/>
              </w:rPr>
            </w:pPr>
            <w:r w:rsidRPr="00141E98">
              <w:rPr>
                <w:rFonts w:ascii="Times New Roman" w:hAnsi="Times New Roman" w:cs="Times New Roman"/>
                <w:sz w:val="20"/>
                <w:szCs w:val="20"/>
              </w:rPr>
              <w:t xml:space="preserve">Vous trouverez </w:t>
            </w:r>
            <w:hyperlink r:id="rId33" w:history="1">
              <w:r w:rsidRPr="00141E98">
                <w:rPr>
                  <w:rStyle w:val="Lienhypertexte"/>
                  <w:rFonts w:ascii="Times New Roman" w:hAnsi="Times New Roman" w:cs="Times New Roman"/>
                  <w:sz w:val="20"/>
                  <w:szCs w:val="20"/>
                </w:rPr>
                <w:t xml:space="preserve">en </w:t>
              </w:r>
              <w:r w:rsidR="00141E98" w:rsidRPr="00141E98">
                <w:rPr>
                  <w:rStyle w:val="Lienhypertexte"/>
                  <w:rFonts w:ascii="Times New Roman" w:hAnsi="Times New Roman" w:cs="Times New Roman"/>
                  <w:sz w:val="20"/>
                  <w:szCs w:val="20"/>
                </w:rPr>
                <w:t>cliquant ici</w:t>
              </w:r>
            </w:hyperlink>
            <w:r w:rsidRPr="00141E98">
              <w:rPr>
                <w:rFonts w:ascii="Times New Roman" w:hAnsi="Times New Roman" w:cs="Times New Roman"/>
                <w:sz w:val="20"/>
                <w:szCs w:val="20"/>
              </w:rPr>
              <w:t xml:space="preserve"> </w:t>
            </w:r>
            <w:r w:rsidRPr="00141E98">
              <w:rPr>
                <w:rFonts w:ascii="Times New Roman" w:hAnsi="Times New Roman" w:cs="Times New Roman"/>
                <w:b/>
                <w:sz w:val="20"/>
                <w:szCs w:val="20"/>
              </w:rPr>
              <w:t>la</w:t>
            </w:r>
            <w:r w:rsidR="00141E98">
              <w:rPr>
                <w:rFonts w:ascii="Times New Roman" w:hAnsi="Times New Roman" w:cs="Times New Roman"/>
                <w:b/>
                <w:sz w:val="20"/>
                <w:szCs w:val="20"/>
              </w:rPr>
              <w:t xml:space="preserve"> météo des crédits arrêtée au 16</w:t>
            </w:r>
            <w:r w:rsidRPr="00141E98">
              <w:rPr>
                <w:rFonts w:ascii="Times New Roman" w:hAnsi="Times New Roman" w:cs="Times New Roman"/>
                <w:b/>
                <w:sz w:val="20"/>
                <w:szCs w:val="20"/>
              </w:rPr>
              <w:t>/02/2017.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4"/>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B64" w:rsidRDefault="00A51B64" w:rsidP="0035465A">
      <w:pPr>
        <w:spacing w:after="0" w:line="240" w:lineRule="auto"/>
      </w:pPr>
      <w:r>
        <w:separator/>
      </w:r>
    </w:p>
  </w:endnote>
  <w:endnote w:type="continuationSeparator" w:id="0">
    <w:p w:rsidR="00A51B64" w:rsidRDefault="00A51B64"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B64" w:rsidRDefault="00A51B64" w:rsidP="0035465A">
      <w:pPr>
        <w:spacing w:after="0" w:line="240" w:lineRule="auto"/>
      </w:pPr>
      <w:r>
        <w:separator/>
      </w:r>
    </w:p>
  </w:footnote>
  <w:footnote w:type="continuationSeparator" w:id="0">
    <w:p w:rsidR="00A51B64" w:rsidRDefault="00A51B64"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60BDE"/>
    <w:multiLevelType w:val="hybridMultilevel"/>
    <w:tmpl w:val="C5722B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08751F2B"/>
    <w:multiLevelType w:val="hybridMultilevel"/>
    <w:tmpl w:val="B6848514"/>
    <w:lvl w:ilvl="0" w:tplc="040C000F">
      <w:start w:val="1"/>
      <w:numFmt w:val="decimal"/>
      <w:lvlText w:val="%1."/>
      <w:lvlJc w:val="left"/>
      <w:pPr>
        <w:ind w:left="720" w:hanging="360"/>
      </w:p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0C485E78"/>
    <w:multiLevelType w:val="hybridMultilevel"/>
    <w:tmpl w:val="C9764A1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0F544490"/>
    <w:multiLevelType w:val="hybridMultilevel"/>
    <w:tmpl w:val="295049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8CA03874">
      <w:start w:val="1"/>
      <w:numFmt w:val="bullet"/>
      <w:lvlText w:val="-"/>
      <w:lvlJc w:val="left"/>
      <w:pPr>
        <w:ind w:left="2160" w:hanging="360"/>
      </w:pPr>
      <w:rPr>
        <w:rFonts w:ascii="Times New Roman" w:hAnsi="Times New Roman" w:cs="Times New Roman"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7">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8">
    <w:nsid w:val="151A4DE6"/>
    <w:multiLevelType w:val="hybridMultilevel"/>
    <w:tmpl w:val="667E47A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17513CCA"/>
    <w:multiLevelType w:val="hybridMultilevel"/>
    <w:tmpl w:val="A0544380"/>
    <w:lvl w:ilvl="0" w:tplc="040C0003">
      <w:start w:val="1"/>
      <w:numFmt w:val="bullet"/>
      <w:lvlText w:val="o"/>
      <w:lvlJc w:val="left"/>
      <w:pPr>
        <w:ind w:left="535" w:hanging="360"/>
      </w:pPr>
      <w:rPr>
        <w:rFonts w:ascii="Courier New" w:hAnsi="Courier New" w:cs="Courier New" w:hint="default"/>
      </w:rPr>
    </w:lvl>
    <w:lvl w:ilvl="1" w:tplc="040C0003">
      <w:start w:val="1"/>
      <w:numFmt w:val="bullet"/>
      <w:lvlText w:val="o"/>
      <w:lvlJc w:val="left"/>
      <w:pPr>
        <w:ind w:left="1255" w:hanging="360"/>
      </w:pPr>
      <w:rPr>
        <w:rFonts w:ascii="Courier New" w:hAnsi="Courier New" w:cs="Courier New" w:hint="default"/>
      </w:rPr>
    </w:lvl>
    <w:lvl w:ilvl="2" w:tplc="040C0005">
      <w:start w:val="1"/>
      <w:numFmt w:val="bullet"/>
      <w:lvlText w:val=""/>
      <w:lvlJc w:val="left"/>
      <w:pPr>
        <w:ind w:left="1975" w:hanging="360"/>
      </w:pPr>
      <w:rPr>
        <w:rFonts w:ascii="Wingdings" w:hAnsi="Wingdings" w:hint="default"/>
      </w:rPr>
    </w:lvl>
    <w:lvl w:ilvl="3" w:tplc="040C0001">
      <w:start w:val="1"/>
      <w:numFmt w:val="bullet"/>
      <w:lvlText w:val=""/>
      <w:lvlJc w:val="left"/>
      <w:pPr>
        <w:ind w:left="2695" w:hanging="360"/>
      </w:pPr>
      <w:rPr>
        <w:rFonts w:ascii="Symbol" w:hAnsi="Symbol" w:hint="default"/>
      </w:rPr>
    </w:lvl>
    <w:lvl w:ilvl="4" w:tplc="040C0003">
      <w:start w:val="1"/>
      <w:numFmt w:val="bullet"/>
      <w:lvlText w:val="o"/>
      <w:lvlJc w:val="left"/>
      <w:pPr>
        <w:ind w:left="3415" w:hanging="360"/>
      </w:pPr>
      <w:rPr>
        <w:rFonts w:ascii="Courier New" w:hAnsi="Courier New" w:cs="Courier New" w:hint="default"/>
      </w:rPr>
    </w:lvl>
    <w:lvl w:ilvl="5" w:tplc="040C0005">
      <w:start w:val="1"/>
      <w:numFmt w:val="bullet"/>
      <w:lvlText w:val=""/>
      <w:lvlJc w:val="left"/>
      <w:pPr>
        <w:ind w:left="4135" w:hanging="360"/>
      </w:pPr>
      <w:rPr>
        <w:rFonts w:ascii="Wingdings" w:hAnsi="Wingdings" w:hint="default"/>
      </w:rPr>
    </w:lvl>
    <w:lvl w:ilvl="6" w:tplc="040C0001">
      <w:start w:val="1"/>
      <w:numFmt w:val="bullet"/>
      <w:lvlText w:val=""/>
      <w:lvlJc w:val="left"/>
      <w:pPr>
        <w:ind w:left="4855" w:hanging="360"/>
      </w:pPr>
      <w:rPr>
        <w:rFonts w:ascii="Symbol" w:hAnsi="Symbol" w:hint="default"/>
      </w:rPr>
    </w:lvl>
    <w:lvl w:ilvl="7" w:tplc="040C0003">
      <w:start w:val="1"/>
      <w:numFmt w:val="bullet"/>
      <w:lvlText w:val="o"/>
      <w:lvlJc w:val="left"/>
      <w:pPr>
        <w:ind w:left="5575" w:hanging="360"/>
      </w:pPr>
      <w:rPr>
        <w:rFonts w:ascii="Courier New" w:hAnsi="Courier New" w:cs="Courier New" w:hint="default"/>
      </w:rPr>
    </w:lvl>
    <w:lvl w:ilvl="8" w:tplc="040C0005">
      <w:start w:val="1"/>
      <w:numFmt w:val="bullet"/>
      <w:lvlText w:val=""/>
      <w:lvlJc w:val="left"/>
      <w:pPr>
        <w:ind w:left="6295" w:hanging="360"/>
      </w:pPr>
      <w:rPr>
        <w:rFonts w:ascii="Wingdings" w:hAnsi="Wingdings" w:hint="default"/>
      </w:rPr>
    </w:lvl>
  </w:abstractNum>
  <w:abstractNum w:abstractNumId="10">
    <w:nsid w:val="177A53EC"/>
    <w:multiLevelType w:val="hybridMultilevel"/>
    <w:tmpl w:val="83EEEB5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2">
    <w:nsid w:val="1CE07DD2"/>
    <w:multiLevelType w:val="hybridMultilevel"/>
    <w:tmpl w:val="618A4B7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1D724E5B"/>
    <w:multiLevelType w:val="hybridMultilevel"/>
    <w:tmpl w:val="741E15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7">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nsid w:val="3C890298"/>
    <w:multiLevelType w:val="hybridMultilevel"/>
    <w:tmpl w:val="D2A0D0D6"/>
    <w:lvl w:ilvl="0" w:tplc="2778B1AE">
      <w:start w:val="1"/>
      <w:numFmt w:val="bullet"/>
      <w:suff w:val="space"/>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0">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21">
    <w:nsid w:val="4D2E319F"/>
    <w:multiLevelType w:val="hybridMultilevel"/>
    <w:tmpl w:val="BCA6C02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nsid w:val="4E8C16E2"/>
    <w:multiLevelType w:val="hybridMultilevel"/>
    <w:tmpl w:val="01F0C6EE"/>
    <w:lvl w:ilvl="0" w:tplc="040C0003">
      <w:start w:val="1"/>
      <w:numFmt w:val="bullet"/>
      <w:lvlText w:val="o"/>
      <w:lvlJc w:val="left"/>
      <w:pPr>
        <w:ind w:left="187" w:hanging="187"/>
      </w:pPr>
      <w:rPr>
        <w:rFonts w:ascii="Courier New" w:hAnsi="Courier New" w:cs="Courier New"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3">
    <w:nsid w:val="670E4827"/>
    <w:multiLevelType w:val="hybridMultilevel"/>
    <w:tmpl w:val="A48E895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24">
    <w:nsid w:val="73363FEC"/>
    <w:multiLevelType w:val="hybridMultilevel"/>
    <w:tmpl w:val="B7888618"/>
    <w:lvl w:ilvl="0" w:tplc="040C0003">
      <w:start w:val="1"/>
      <w:numFmt w:val="bullet"/>
      <w:lvlText w:val="o"/>
      <w:lvlJc w:val="left"/>
      <w:pPr>
        <w:ind w:left="907" w:hanging="360"/>
      </w:pPr>
      <w:rPr>
        <w:rFonts w:ascii="Courier New" w:hAnsi="Courier New" w:cs="Courier New" w:hint="default"/>
      </w:rPr>
    </w:lvl>
    <w:lvl w:ilvl="1" w:tplc="040C0003">
      <w:start w:val="1"/>
      <w:numFmt w:val="bullet"/>
      <w:lvlText w:val="o"/>
      <w:lvlJc w:val="left"/>
      <w:pPr>
        <w:ind w:left="1627" w:hanging="360"/>
      </w:pPr>
      <w:rPr>
        <w:rFonts w:ascii="Courier New" w:hAnsi="Courier New" w:cs="Courier New" w:hint="default"/>
      </w:rPr>
    </w:lvl>
    <w:lvl w:ilvl="2" w:tplc="040C0005">
      <w:start w:val="1"/>
      <w:numFmt w:val="bullet"/>
      <w:lvlText w:val=""/>
      <w:lvlJc w:val="left"/>
      <w:pPr>
        <w:ind w:left="2347" w:hanging="360"/>
      </w:pPr>
      <w:rPr>
        <w:rFonts w:ascii="Wingdings" w:hAnsi="Wingdings" w:hint="default"/>
      </w:rPr>
    </w:lvl>
    <w:lvl w:ilvl="3" w:tplc="040C0001">
      <w:start w:val="1"/>
      <w:numFmt w:val="bullet"/>
      <w:lvlText w:val=""/>
      <w:lvlJc w:val="left"/>
      <w:pPr>
        <w:ind w:left="3067" w:hanging="360"/>
      </w:pPr>
      <w:rPr>
        <w:rFonts w:ascii="Symbol" w:hAnsi="Symbol" w:hint="default"/>
      </w:rPr>
    </w:lvl>
    <w:lvl w:ilvl="4" w:tplc="040C0003">
      <w:start w:val="1"/>
      <w:numFmt w:val="bullet"/>
      <w:lvlText w:val="o"/>
      <w:lvlJc w:val="left"/>
      <w:pPr>
        <w:ind w:left="3787" w:hanging="360"/>
      </w:pPr>
      <w:rPr>
        <w:rFonts w:ascii="Courier New" w:hAnsi="Courier New" w:cs="Courier New" w:hint="default"/>
      </w:rPr>
    </w:lvl>
    <w:lvl w:ilvl="5" w:tplc="040C0005">
      <w:start w:val="1"/>
      <w:numFmt w:val="bullet"/>
      <w:lvlText w:val=""/>
      <w:lvlJc w:val="left"/>
      <w:pPr>
        <w:ind w:left="4507" w:hanging="360"/>
      </w:pPr>
      <w:rPr>
        <w:rFonts w:ascii="Wingdings" w:hAnsi="Wingdings" w:hint="default"/>
      </w:rPr>
    </w:lvl>
    <w:lvl w:ilvl="6" w:tplc="040C0001">
      <w:start w:val="1"/>
      <w:numFmt w:val="bullet"/>
      <w:lvlText w:val=""/>
      <w:lvlJc w:val="left"/>
      <w:pPr>
        <w:ind w:left="5227" w:hanging="360"/>
      </w:pPr>
      <w:rPr>
        <w:rFonts w:ascii="Symbol" w:hAnsi="Symbol" w:hint="default"/>
      </w:rPr>
    </w:lvl>
    <w:lvl w:ilvl="7" w:tplc="040C0003">
      <w:start w:val="1"/>
      <w:numFmt w:val="bullet"/>
      <w:lvlText w:val="o"/>
      <w:lvlJc w:val="left"/>
      <w:pPr>
        <w:ind w:left="5947" w:hanging="360"/>
      </w:pPr>
      <w:rPr>
        <w:rFonts w:ascii="Courier New" w:hAnsi="Courier New" w:cs="Courier New" w:hint="default"/>
      </w:rPr>
    </w:lvl>
    <w:lvl w:ilvl="8" w:tplc="040C0005">
      <w:start w:val="1"/>
      <w:numFmt w:val="bullet"/>
      <w:lvlText w:val=""/>
      <w:lvlJc w:val="left"/>
      <w:pPr>
        <w:ind w:left="6667" w:hanging="360"/>
      </w:pPr>
      <w:rPr>
        <w:rFonts w:ascii="Wingdings" w:hAnsi="Wingdings" w:hint="default"/>
      </w:rPr>
    </w:lvl>
  </w:abstractNum>
  <w:num w:numId="1">
    <w:abstractNumId w:val="16"/>
  </w:num>
  <w:num w:numId="2">
    <w:abstractNumId w:val="19"/>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
  </w:num>
  <w:num w:numId="6">
    <w:abstractNumId w:val="18"/>
  </w:num>
  <w:num w:numId="7">
    <w:abstractNumId w:val="9"/>
  </w:num>
  <w:num w:numId="8">
    <w:abstractNumId w:val="19"/>
  </w:num>
  <w:num w:numId="9">
    <w:abstractNumId w:val="19"/>
  </w:num>
  <w:num w:numId="10">
    <w:abstractNumId w:val="19"/>
  </w:num>
  <w:num w:numId="11">
    <w:abstractNumId w:val="17"/>
  </w:num>
  <w:num w:numId="12">
    <w:abstractNumId w:val="19"/>
  </w:num>
  <w:num w:numId="13">
    <w:abstractNumId w:val="19"/>
  </w:num>
  <w:num w:numId="14">
    <w:abstractNumId w:val="19"/>
  </w:num>
  <w:num w:numId="15">
    <w:abstractNumId w:val="19"/>
  </w:num>
  <w:num w:numId="16">
    <w:abstractNumId w:val="12"/>
  </w:num>
  <w:num w:numId="17">
    <w:abstractNumId w:val="23"/>
  </w:num>
  <w:num w:numId="18">
    <w:abstractNumId w:val="20"/>
  </w:num>
  <w:num w:numId="19">
    <w:abstractNumId w:val="21"/>
  </w:num>
  <w:num w:numId="20">
    <w:abstractNumId w:val="13"/>
  </w:num>
  <w:num w:numId="21">
    <w:abstractNumId w:val="5"/>
  </w:num>
  <w:num w:numId="22">
    <w:abstractNumId w:val="4"/>
  </w:num>
  <w:num w:numId="23">
    <w:abstractNumId w:val="19"/>
  </w:num>
  <w:num w:numId="24">
    <w:abstractNumId w:val="24"/>
  </w:num>
  <w:num w:numId="25">
    <w:abstractNumId w:val="19"/>
  </w:num>
  <w:num w:numId="26">
    <w:abstractNumId w:val="17"/>
  </w:num>
  <w:num w:numId="27">
    <w:abstractNumId w:val="21"/>
  </w:num>
  <w:num w:numId="28">
    <w:abstractNumId w:val="19"/>
  </w:num>
  <w:num w:numId="29">
    <w:abstractNumId w:val="0"/>
  </w:num>
  <w:num w:numId="30">
    <w:abstractNumId w:val="2"/>
    <w:lvlOverride w:ilvl="0">
      <w:startOverride w:val="1"/>
    </w:lvlOverride>
    <w:lvlOverride w:ilvl="1"/>
    <w:lvlOverride w:ilvl="2"/>
    <w:lvlOverride w:ilvl="3"/>
    <w:lvlOverride w:ilvl="4"/>
    <w:lvlOverride w:ilvl="5"/>
    <w:lvlOverride w:ilvl="6"/>
    <w:lvlOverride w:ilvl="7"/>
    <w:lvlOverride w:ilvl="8"/>
  </w:num>
  <w:num w:numId="31">
    <w:abstractNumId w:val="20"/>
  </w:num>
  <w:num w:numId="32">
    <w:abstractNumId w:val="3"/>
  </w:num>
  <w:num w:numId="33">
    <w:abstractNumId w:val="15"/>
  </w:num>
  <w:num w:numId="34">
    <w:abstractNumId w:val="22"/>
  </w:num>
  <w:num w:numId="35">
    <w:abstractNumId w:val="0"/>
  </w:num>
  <w:num w:numId="36">
    <w:abstractNumId w:val="2"/>
  </w:num>
  <w:num w:numId="37">
    <w:abstractNumId w:val="8"/>
  </w:num>
  <w:num w:numId="38">
    <w:abstractNumId w:val="22"/>
  </w:num>
  <w:num w:numId="39">
    <w:abstractNumId w:val="17"/>
  </w:num>
  <w:num w:numId="40">
    <w:abstractNumId w:val="19"/>
  </w:num>
  <w:num w:numId="41">
    <w:abstractNumId w:val="19"/>
  </w:num>
  <w:num w:numId="42">
    <w:abstractNumId w:val="14"/>
  </w:num>
  <w:num w:numId="43">
    <w:abstractNumId w:val="10"/>
  </w:num>
  <w:num w:numId="44">
    <w:abstractNumId w:val="17"/>
  </w:num>
  <w:num w:numId="45">
    <w:abstractNumId w:val="19"/>
  </w:num>
  <w:num w:numId="46">
    <w:abstractNumId w:val="20"/>
  </w:num>
  <w:num w:numId="47">
    <w:abstractNumId w:val="19"/>
  </w:num>
  <w:num w:numId="48">
    <w:abstractNumId w:val="8"/>
  </w:num>
  <w:num w:numId="49">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5E7"/>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D3A"/>
    <w:rsid w:val="0094354C"/>
    <w:rsid w:val="0094373D"/>
    <w:rsid w:val="009443A2"/>
    <w:rsid w:val="009444C9"/>
    <w:rsid w:val="00944902"/>
    <w:rsid w:val="0094514B"/>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64"/>
    <w:rsid w:val="00A51B7E"/>
    <w:rsid w:val="00A5343E"/>
    <w:rsid w:val="00A55192"/>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http://indispensable-myeav.ecuvie.caisse-epargne.fr/" TargetMode="External"/><Relationship Id="rId26" Type="http://schemas.openxmlformats.org/officeDocument/2006/relationships/hyperlink" Target="http://wnsgprw1.celca.caisse-epargne.fr/app/bci/INF/DDBDR-INF_18.004_-_Note_de_Lancement_CENet.pdf" TargetMode="External"/><Relationship Id="rId3" Type="http://schemas.openxmlformats.org/officeDocument/2006/relationships/styles" Target="styles.xml"/><Relationship Id="rId21" Type="http://schemas.openxmlformats.org/officeDocument/2006/relationships/hyperlink" Target="http://commerciaux.celca.caisse-epargne.fr/download/1176/documents-hors-arbo-2/7161/suivi-commercialisation-iris-4.xlsx"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commerciaux.celca.caisse-epargne.fr/download/261/taux-de-rendement/7153/revalorisation-rentes-2017.pdf" TargetMode="External"/><Relationship Id="rId25" Type="http://schemas.openxmlformats.org/officeDocument/2006/relationships/hyperlink" Target="http://commerciaux.celca.caisse-epargne.fr/download/380/revision-annuelle/7152/201712_revisionannuellepro_vf.xlsx" TargetMode="External"/><Relationship Id="rId33" Type="http://schemas.openxmlformats.org/officeDocument/2006/relationships/hyperlink" Target="http://commerciaux.celca.caisse-epargne.fr/download/1176/documents-hors-arbo-2/5429/delai-de-traitement-bdd-dircred-2017.xlsx" TargetMode="External"/><Relationship Id="rId2" Type="http://schemas.openxmlformats.org/officeDocument/2006/relationships/numbering" Target="numbering.xml"/><Relationship Id="rId16" Type="http://schemas.openxmlformats.org/officeDocument/2006/relationships/hyperlink" Target="http://commerciaux.celca.caisse-epargne.fr/download/1176/documents-hors-arbo-2/7138/oav-eai.pptx" TargetMode="External"/><Relationship Id="rId20" Type="http://schemas.openxmlformats.org/officeDocument/2006/relationships/hyperlink" Target="http://commerciaux.celca.caisse-epargne.fr/download/1176/documents-hors-arbo-2/7162/suivi-commercialisation-helios-3.xlsx" TargetMode="External"/><Relationship Id="rId29" Type="http://schemas.openxmlformats.org/officeDocument/2006/relationships/hyperlink" Target="http://service-celca-moss.sigce.caisse-epargne.fr/sites/lca1/SiteDirectory/Obj_Quali/defaul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pmmpresentation-pro.sigce.caisse-epargne.fr:8851/GCE.CultureNet.Web/Pages/Contenu.aspx?action=Contenu&amp;mode=ContenuUneEntreprise&amp;indexrss=1&amp;HauteurIframe=331&amp;url=http%3a%2f%2fPMMPresentation-PRO.sigce.caisse-epargne.fr%3a8851%2fGCE.CultureNet.Web%2fContenuOAPN%2f%2fCaisses%2fcelca%2fhtml_item%2fUneCaisse_47296.html" TargetMode="External"/><Relationship Id="rId32" Type="http://schemas.openxmlformats.org/officeDocument/2006/relationships/hyperlink" Target="http://commerciaux.celca.caisse-epargne.fr/download/1176/documents-hors-arbo-2/7177/brief-audio-2018-semaine-8-pieces-jointes-dg.zip" TargetMode="External"/><Relationship Id="rId5" Type="http://schemas.openxmlformats.org/officeDocument/2006/relationships/settings" Target="settings.xml"/><Relationship Id="rId15" Type="http://schemas.openxmlformats.org/officeDocument/2006/relationships/hyperlink" Target="http://commerciaux.celca.caisse-epargne.fr/download/1157/fichiers-a-traiter/4147/mb_dossiers-domilis-a-saisir-mode-operatoire.docx" TargetMode="External"/><Relationship Id="rId23" Type="http://schemas.openxmlformats.org/officeDocument/2006/relationships/hyperlink" Target="http://commerciaux.celca.caisse-epargne.fr/download/239/documents-clients/7160/clients-ocf_incompatibilite-credit-renouvelable.xlsx" TargetMode="External"/><Relationship Id="rId28" Type="http://schemas.openxmlformats.org/officeDocument/2006/relationships/hyperlink" Target="http://service-celca-moss.sigce.caisse-epargne.fr/sites/lca1/SiteDirectory/Obj_Quali/BDD/Forms/AllItems.aspx?RootFolder=%2Fsites%2Flca1%2FSiteDirectory%2FObj%5FQuali%2FBDD%2FR%C3%A9sultats%2FQHD%2FR%C3%A9sultats%202018&amp;FolderCTID=0x012000549A1825CC86B445AB8DB45A0172167C&amp;View=%7B252A23C3%2D24A7%2D455E%2DA0DF%2D5765C7E93558%7D" TargetMode="External"/><Relationship Id="rId36" Type="http://schemas.openxmlformats.org/officeDocument/2006/relationships/theme" Target="theme/theme1.xm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hyperlink" Target="http://commerciaux.celca.caisse-epargne.fr/download/1300/eurogram-3/7140/liste-detenteurs_eurogram3.xlsx" TargetMode="External"/><Relationship Id="rId31" Type="http://schemas.openxmlformats.org/officeDocument/2006/relationships/hyperlink" Target="http://commerciaux.celca.caisse-epargne.fr/download/1287/livrets-a-lep-ldds-livret-jeune/7045/comptes-en-depassement-de-plafonds-par-transfert.xlsx"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download/1157/fichiers-a-traiter/4960/mb_dossiers-domilis-a-saisir.xls" TargetMode="External"/><Relationship Id="rId22" Type="http://schemas.openxmlformats.org/officeDocument/2006/relationships/hyperlink" Target="http://service-gce-aris.sigce.caisse-epargne.fr/" TargetMode="External"/><Relationship Id="rId27" Type="http://schemas.openxmlformats.org/officeDocument/2006/relationships/hyperlink" Target="http://commerciaux.celca.caisse-epargne.fr/download/456/tarification/7154/20180219-addendum-tarifs-pros.pdf" TargetMode="External"/><Relationship Id="rId30" Type="http://schemas.openxmlformats.org/officeDocument/2006/relationships/hyperlink" Target="http://commerciaux.celca.caisse-epargne.fr/global-bdd/pilotage/la-production-commerciale/le-suivi-du-taux-de-penetration-ade/le-suivi-du-taux-de-penetration-ade/" TargetMode="External"/><Relationship Id="rId35"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13ED9-8360-4692-B214-2E0D32447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1412</TotalTime>
  <Pages>1</Pages>
  <Words>2521</Words>
  <Characters>13867</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16356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93</cp:revision>
  <dcterms:created xsi:type="dcterms:W3CDTF">2018-01-22T16:25:00Z</dcterms:created>
  <dcterms:modified xsi:type="dcterms:W3CDTF">2018-02-19T16:13:00Z</dcterms:modified>
</cp:coreProperties>
</file>