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F675C6">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A757A4">
              <w:rPr>
                <w:rFonts w:ascii="Times New Roman" w:hAnsi="Times New Roman" w:cs="Times New Roman"/>
                <w:b/>
                <w:sz w:val="32"/>
                <w:szCs w:val="40"/>
              </w:rPr>
              <w:t>1</w:t>
            </w:r>
            <w:r w:rsidR="00F675C6">
              <w:rPr>
                <w:rFonts w:ascii="Times New Roman" w:hAnsi="Times New Roman" w:cs="Times New Roman"/>
                <w:b/>
                <w:sz w:val="32"/>
                <w:szCs w:val="40"/>
              </w:rPr>
              <w:t>1</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9453FF" w:rsidRPr="00E81F6E" w:rsidTr="00AF3BE3">
        <w:trPr>
          <w:trHeight w:val="169"/>
        </w:trPr>
        <w:tc>
          <w:tcPr>
            <w:tcW w:w="1560"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color w:val="000000"/>
                <w:sz w:val="20"/>
                <w:szCs w:val="20"/>
              </w:rPr>
            </w:pPr>
            <w:r w:rsidRPr="00FD1C02">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b/>
                <w:bCs/>
                <w:color w:val="000000"/>
                <w:sz w:val="20"/>
                <w:szCs w:val="20"/>
              </w:rPr>
            </w:pPr>
            <w:r w:rsidRPr="00FD1C02">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99200F" w:rsidRPr="0099200F" w:rsidRDefault="00B16CC5" w:rsidP="009453FF">
            <w:pPr>
              <w:numPr>
                <w:ilvl w:val="0"/>
                <w:numId w:val="16"/>
              </w:numPr>
              <w:ind w:left="176" w:hanging="176"/>
              <w:contextualSpacing/>
              <w:jc w:val="both"/>
              <w:rPr>
                <w:rFonts w:ascii="Times New Roman" w:hAnsi="Times New Roman" w:cs="Times New Roman"/>
                <w:b/>
                <w:bCs/>
                <w:strike/>
                <w:color w:val="000000"/>
                <w:sz w:val="20"/>
                <w:szCs w:val="20"/>
              </w:rPr>
            </w:pPr>
            <w:hyperlink r:id="rId9" w:history="1">
              <w:r w:rsidR="0099200F" w:rsidRPr="0099200F">
                <w:rPr>
                  <w:rStyle w:val="Lienhypertexte"/>
                  <w:rFonts w:ascii="Times New Roman" w:hAnsi="Times New Roman" w:cs="Times New Roman"/>
                  <w:sz w:val="20"/>
                  <w:szCs w:val="20"/>
                  <w:lang w:eastAsia="fr-FR"/>
                </w:rPr>
                <w:t>CLIQUEZ ICI</w:t>
              </w:r>
            </w:hyperlink>
            <w:r w:rsidR="0099200F" w:rsidRPr="0099200F">
              <w:rPr>
                <w:rFonts w:ascii="Times New Roman" w:hAnsi="Times New Roman" w:cs="Times New Roman"/>
                <w:color w:val="000000"/>
                <w:sz w:val="20"/>
                <w:szCs w:val="20"/>
                <w:lang w:eastAsia="fr-FR"/>
              </w:rPr>
              <w:t xml:space="preserve"> pour accéder à la liste des PEL potentiellement en non-respect arrêté au 12 mars 2018 qui seront clôturés à J+1 de la date anniversaire</w:t>
            </w:r>
            <w:r w:rsidR="0099200F" w:rsidRPr="0099200F">
              <w:rPr>
                <w:rFonts w:ascii="Times New Roman" w:hAnsi="Times New Roman" w:cs="Times New Roman"/>
                <w:color w:val="1F497D"/>
                <w:sz w:val="20"/>
                <w:szCs w:val="20"/>
                <w:lang w:eastAsia="fr-FR"/>
              </w:rPr>
              <w:t xml:space="preserve"> </w:t>
            </w:r>
            <w:r w:rsidR="0099200F" w:rsidRPr="0099200F">
              <w:rPr>
                <w:rFonts w:ascii="Times New Roman" w:hAnsi="Times New Roman" w:cs="Times New Roman"/>
                <w:color w:val="000000"/>
                <w:sz w:val="20"/>
                <w:szCs w:val="20"/>
                <w:lang w:eastAsia="fr-FR"/>
              </w:rPr>
              <w:t>(volumétrie 494 clients)</w:t>
            </w:r>
          </w:p>
        </w:tc>
      </w:tr>
      <w:tr w:rsidR="009453FF" w:rsidRPr="00E81F6E" w:rsidTr="00AF3BE3">
        <w:trPr>
          <w:trHeight w:val="334"/>
        </w:trPr>
        <w:tc>
          <w:tcPr>
            <w:tcW w:w="1560"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color w:val="000000"/>
                <w:sz w:val="20"/>
                <w:szCs w:val="20"/>
              </w:rPr>
            </w:pPr>
            <w:r w:rsidRPr="00FD1C02">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b/>
                <w:bCs/>
                <w:color w:val="000000"/>
                <w:sz w:val="20"/>
                <w:szCs w:val="20"/>
              </w:rPr>
            </w:pPr>
            <w:r w:rsidRPr="00FD1C02">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99200F" w:rsidRPr="0099200F" w:rsidRDefault="00B16CC5" w:rsidP="009453FF">
            <w:pPr>
              <w:numPr>
                <w:ilvl w:val="0"/>
                <w:numId w:val="16"/>
              </w:numPr>
              <w:ind w:left="176" w:hanging="176"/>
              <w:contextualSpacing/>
              <w:jc w:val="both"/>
              <w:rPr>
                <w:rFonts w:ascii="Times New Roman" w:hAnsi="Times New Roman" w:cs="Times New Roman"/>
                <w:strike/>
                <w:color w:val="000000"/>
                <w:sz w:val="20"/>
                <w:szCs w:val="20"/>
                <w:lang w:eastAsia="fr-FR"/>
              </w:rPr>
            </w:pPr>
            <w:hyperlink r:id="rId10" w:history="1">
              <w:r w:rsidR="0099200F" w:rsidRPr="0099200F">
                <w:rPr>
                  <w:rStyle w:val="Lienhypertexte"/>
                  <w:rFonts w:ascii="Times New Roman" w:hAnsi="Times New Roman" w:cs="Times New Roman"/>
                  <w:sz w:val="20"/>
                  <w:szCs w:val="20"/>
                  <w:lang w:eastAsia="fr-FR"/>
                </w:rPr>
                <w:t>CLIQUEZ ICI</w:t>
              </w:r>
            </w:hyperlink>
            <w:r w:rsidR="0099200F" w:rsidRPr="0099200F">
              <w:rPr>
                <w:rFonts w:ascii="Times New Roman" w:hAnsi="Times New Roman" w:cs="Times New Roman"/>
                <w:color w:val="000000"/>
                <w:sz w:val="20"/>
                <w:szCs w:val="20"/>
                <w:lang w:eastAsia="fr-FR"/>
              </w:rPr>
              <w:t xml:space="preserve"> pour accéder au fichier Lutte anti-résiliation IARD arrêté au 26 février 2018 (volumétrie 261 clients).</w:t>
            </w:r>
          </w:p>
        </w:tc>
      </w:tr>
      <w:tr w:rsidR="009453FF" w:rsidRPr="00E81F6E" w:rsidTr="00AF3BE3">
        <w:trPr>
          <w:trHeight w:val="365"/>
        </w:trPr>
        <w:tc>
          <w:tcPr>
            <w:tcW w:w="1560"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b/>
                <w:bCs/>
                <w:color w:val="000000"/>
                <w:sz w:val="20"/>
                <w:szCs w:val="20"/>
              </w:rPr>
            </w:pPr>
            <w:r w:rsidRPr="00FD1C02">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b/>
                <w:bCs/>
                <w:color w:val="000000"/>
                <w:sz w:val="20"/>
                <w:szCs w:val="20"/>
              </w:rPr>
            </w:pPr>
            <w:r w:rsidRPr="00FD1C02">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99200F" w:rsidRPr="0099200F" w:rsidRDefault="00B16CC5" w:rsidP="009453FF">
            <w:pPr>
              <w:numPr>
                <w:ilvl w:val="0"/>
                <w:numId w:val="16"/>
              </w:numPr>
              <w:ind w:left="176" w:hanging="176"/>
              <w:contextualSpacing/>
              <w:jc w:val="both"/>
              <w:rPr>
                <w:rFonts w:ascii="Times New Roman" w:hAnsi="Times New Roman" w:cs="Times New Roman"/>
                <w:strike/>
                <w:color w:val="000000"/>
                <w:sz w:val="20"/>
                <w:szCs w:val="20"/>
                <w:lang w:eastAsia="fr-FR"/>
              </w:rPr>
            </w:pPr>
            <w:hyperlink r:id="rId11" w:history="1">
              <w:r w:rsidR="0099200F" w:rsidRPr="0099200F">
                <w:rPr>
                  <w:rStyle w:val="Lienhypertexte"/>
                  <w:rFonts w:ascii="Times New Roman" w:hAnsi="Times New Roman" w:cs="Times New Roman"/>
                  <w:sz w:val="20"/>
                  <w:szCs w:val="20"/>
                  <w:lang w:eastAsia="fr-FR"/>
                </w:rPr>
                <w:t>CLIQUEZ ICI</w:t>
              </w:r>
            </w:hyperlink>
            <w:r w:rsidR="0099200F" w:rsidRPr="0099200F">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9453FF" w:rsidRPr="00E81F6E" w:rsidTr="00AF3BE3">
        <w:trPr>
          <w:trHeight w:val="169"/>
        </w:trPr>
        <w:tc>
          <w:tcPr>
            <w:tcW w:w="1560"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b/>
                <w:bCs/>
                <w:color w:val="000000"/>
                <w:sz w:val="20"/>
                <w:szCs w:val="20"/>
              </w:rPr>
            </w:pPr>
            <w:r w:rsidRPr="00FD1C02">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9453FF" w:rsidRPr="00FD1C02" w:rsidRDefault="009453FF">
            <w:pPr>
              <w:rPr>
                <w:rFonts w:ascii="Times New Roman" w:hAnsi="Times New Roman" w:cs="Times New Roman"/>
                <w:b/>
                <w:bCs/>
                <w:color w:val="000000"/>
                <w:sz w:val="20"/>
                <w:szCs w:val="20"/>
              </w:rPr>
            </w:pPr>
            <w:r w:rsidRPr="00FD1C02">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99200F" w:rsidRPr="00A757A4" w:rsidRDefault="0099200F" w:rsidP="009453FF">
            <w:pPr>
              <w:numPr>
                <w:ilvl w:val="0"/>
                <w:numId w:val="16"/>
              </w:numPr>
              <w:ind w:left="176" w:hanging="176"/>
              <w:contextualSpacing/>
              <w:jc w:val="both"/>
              <w:rPr>
                <w:rFonts w:ascii="Times New Roman" w:hAnsi="Times New Roman" w:cs="Times New Roman"/>
                <w:strike/>
                <w:color w:val="000000"/>
                <w:sz w:val="20"/>
                <w:szCs w:val="20"/>
              </w:rPr>
            </w:pPr>
            <w:r>
              <w:rPr>
                <w:rFonts w:ascii="Times New Roman" w:hAnsi="Times New Roman" w:cs="Times New Roman"/>
                <w:color w:val="000000"/>
                <w:sz w:val="20"/>
                <w:szCs w:val="20"/>
                <w:lang w:eastAsia="fr-FR"/>
              </w:rPr>
              <w:t>Comme indiqué dans la note</w:t>
            </w:r>
            <w:r>
              <w:rPr>
                <w:color w:val="000000"/>
                <w:sz w:val="20"/>
                <w:szCs w:val="20"/>
                <w:lang w:eastAsia="fr-FR"/>
              </w:rPr>
              <w:t xml:space="preserve"> </w:t>
            </w:r>
            <w:hyperlink r:id="rId12" w:history="1">
              <w:r>
                <w:rPr>
                  <w:rStyle w:val="Lienhypertexte"/>
                  <w:color w:val="000000"/>
                  <w:sz w:val="20"/>
                  <w:szCs w:val="20"/>
                  <w:lang w:eastAsia="fr-FR"/>
                </w:rPr>
                <w:t>DSB INF17/05</w:t>
              </w:r>
            </w:hyperlink>
            <w:r>
              <w:rPr>
                <w:color w:val="000000"/>
                <w:sz w:val="20"/>
                <w:szCs w:val="20"/>
                <w:lang w:eastAsia="fr-FR"/>
              </w:rPr>
              <w:t xml:space="preserve">, </w:t>
            </w:r>
            <w:r>
              <w:rPr>
                <w:rFonts w:ascii="Times New Roman" w:hAnsi="Times New Roman" w:cs="Times New Roman"/>
                <w:color w:val="000000"/>
                <w:sz w:val="20"/>
                <w:szCs w:val="20"/>
                <w:lang w:eastAsia="fr-FR"/>
              </w:rPr>
              <w:t xml:space="preserve">vous trouverez la liste des Livrets A ouverts en février suite à clôture à la concurrence en </w:t>
            </w:r>
            <w:hyperlink r:id="rId13" w:history="1">
              <w:r>
                <w:rPr>
                  <w:rStyle w:val="Lienhypertexte"/>
                  <w:rFonts w:ascii="Times New Roman" w:hAnsi="Times New Roman" w:cs="Times New Roman"/>
                  <w:color w:val="000000"/>
                  <w:sz w:val="20"/>
                  <w:szCs w:val="20"/>
                  <w:lang w:eastAsia="fr-FR"/>
                </w:rPr>
                <w:t>cliquant ici</w:t>
              </w:r>
            </w:hyperlink>
            <w:r>
              <w:rPr>
                <w:rFonts w:ascii="Times New Roman" w:hAnsi="Times New Roman" w:cs="Times New Roman"/>
                <w:color w:val="000000"/>
                <w:sz w:val="20"/>
                <w:szCs w:val="20"/>
                <w:lang w:eastAsia="fr-FR"/>
              </w:rPr>
              <w:t xml:space="preserve"> (215 clients)</w:t>
            </w:r>
          </w:p>
        </w:tc>
      </w:tr>
      <w:tr w:rsidR="00B77E2C" w:rsidRPr="00E81F6E" w:rsidTr="00AF3BE3">
        <w:trPr>
          <w:trHeight w:val="515"/>
        </w:trPr>
        <w:tc>
          <w:tcPr>
            <w:tcW w:w="1560" w:type="dxa"/>
            <w:tcBorders>
              <w:bottom w:val="single" w:sz="4" w:space="0" w:color="auto"/>
            </w:tcBorders>
            <w:shd w:val="clear" w:color="auto" w:fill="FFFFFF" w:themeFill="background1"/>
          </w:tcPr>
          <w:p w:rsidR="00B77E2C" w:rsidRPr="00926ACD" w:rsidRDefault="00B77E2C">
            <w:pPr>
              <w:spacing w:after="200" w:line="276" w:lineRule="auto"/>
              <w:rPr>
                <w:rFonts w:ascii="Times New Roman" w:hAnsi="Times New Roman" w:cs="Times New Roman"/>
                <w:b/>
                <w:bCs/>
                <w:sz w:val="20"/>
                <w:szCs w:val="20"/>
              </w:rPr>
            </w:pPr>
            <w:r w:rsidRPr="00926ACD">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B77E2C" w:rsidRPr="00926ACD" w:rsidRDefault="00B77E2C" w:rsidP="00B77E2C">
            <w:pPr>
              <w:rPr>
                <w:rFonts w:ascii="Times New Roman" w:hAnsi="Times New Roman" w:cs="Times New Roman"/>
                <w:b/>
                <w:bCs/>
                <w:sz w:val="20"/>
                <w:szCs w:val="20"/>
              </w:rPr>
            </w:pPr>
            <w:r w:rsidRPr="00926ACD">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926ACD" w:rsidRPr="00926ACD" w:rsidRDefault="00B16CC5" w:rsidP="00926ACD">
            <w:pPr>
              <w:numPr>
                <w:ilvl w:val="0"/>
                <w:numId w:val="10"/>
              </w:numPr>
              <w:ind w:left="176" w:hanging="176"/>
              <w:contextualSpacing/>
              <w:jc w:val="both"/>
              <w:rPr>
                <w:rFonts w:ascii="Times New Roman" w:hAnsi="Times New Roman" w:cs="Times New Roman"/>
                <w:sz w:val="20"/>
                <w:szCs w:val="20"/>
                <w:lang w:eastAsia="fr-FR"/>
              </w:rPr>
            </w:pPr>
            <w:hyperlink r:id="rId14" w:history="1">
              <w:r w:rsidR="00926ACD" w:rsidRPr="00926ACD">
                <w:rPr>
                  <w:rStyle w:val="Lienhypertexte"/>
                  <w:rFonts w:ascii="Times New Roman" w:hAnsi="Times New Roman" w:cs="Times New Roman"/>
                  <w:sz w:val="20"/>
                  <w:szCs w:val="20"/>
                  <w:lang w:eastAsia="fr-FR"/>
                </w:rPr>
                <w:t>CLIQUEZ ICI</w:t>
              </w:r>
            </w:hyperlink>
            <w:r w:rsidR="00926ACD" w:rsidRPr="00926ACD">
              <w:rPr>
                <w:rStyle w:val="Lienhypertexte"/>
                <w:rFonts w:ascii="Times New Roman" w:hAnsi="Times New Roman" w:cs="Times New Roman"/>
                <w:sz w:val="20"/>
                <w:szCs w:val="20"/>
                <w:lang w:eastAsia="fr-FR"/>
              </w:rPr>
              <w:t xml:space="preserve"> </w:t>
            </w:r>
            <w:r w:rsidR="006A77EF" w:rsidRPr="00926ACD">
              <w:rPr>
                <w:rFonts w:ascii="Times New Roman" w:hAnsi="Times New Roman" w:cs="Times New Roman"/>
                <w:sz w:val="20"/>
                <w:szCs w:val="20"/>
                <w:lang w:eastAsia="fr-FR"/>
              </w:rPr>
              <w:t>pour trouver</w:t>
            </w:r>
            <w:r w:rsidR="003C7588" w:rsidRPr="00926ACD">
              <w:rPr>
                <w:rFonts w:ascii="Times New Roman" w:hAnsi="Times New Roman" w:cs="Times New Roman"/>
                <w:sz w:val="20"/>
                <w:szCs w:val="20"/>
                <w:lang w:eastAsia="fr-FR"/>
              </w:rPr>
              <w:t xml:space="preserve"> </w:t>
            </w:r>
            <w:r w:rsidR="006A77EF" w:rsidRPr="00926ACD">
              <w:rPr>
                <w:rFonts w:ascii="Times New Roman" w:hAnsi="Times New Roman" w:cs="Times New Roman"/>
                <w:sz w:val="20"/>
                <w:szCs w:val="20"/>
                <w:lang w:eastAsia="fr-FR"/>
              </w:rPr>
              <w:t xml:space="preserve">la liste des dossiers </w:t>
            </w:r>
            <w:proofErr w:type="spellStart"/>
            <w:r w:rsidR="006A77EF" w:rsidRPr="00926ACD">
              <w:rPr>
                <w:rFonts w:ascii="Times New Roman" w:hAnsi="Times New Roman" w:cs="Times New Roman"/>
                <w:sz w:val="20"/>
                <w:szCs w:val="20"/>
                <w:lang w:eastAsia="fr-FR"/>
              </w:rPr>
              <w:t>Domilis</w:t>
            </w:r>
            <w:proofErr w:type="spellEnd"/>
            <w:r w:rsidR="006A77EF" w:rsidRPr="00926ACD">
              <w:rPr>
                <w:rFonts w:ascii="Times New Roman" w:hAnsi="Times New Roman" w:cs="Times New Roman"/>
                <w:sz w:val="20"/>
                <w:szCs w:val="20"/>
                <w:lang w:eastAsia="fr-FR"/>
              </w:rPr>
              <w:t xml:space="preserve"> à initier, qui sont pour l’heure en échec suite au rejet des mandats (volumétrie : </w:t>
            </w:r>
            <w:r w:rsidR="00926ACD" w:rsidRPr="00926ACD">
              <w:rPr>
                <w:rFonts w:ascii="Times New Roman" w:hAnsi="Times New Roman" w:cs="Times New Roman"/>
                <w:sz w:val="20"/>
                <w:szCs w:val="20"/>
                <w:lang w:eastAsia="fr-FR"/>
              </w:rPr>
              <w:t>511</w:t>
            </w:r>
            <w:r w:rsidR="006A77EF" w:rsidRPr="00926ACD">
              <w:rPr>
                <w:rFonts w:ascii="Times New Roman" w:hAnsi="Times New Roman" w:cs="Times New Roman"/>
                <w:sz w:val="20"/>
                <w:szCs w:val="20"/>
                <w:lang w:eastAsia="fr-FR"/>
              </w:rPr>
              <w:t xml:space="preserve"> mandats au </w:t>
            </w:r>
            <w:r w:rsidR="00926ACD" w:rsidRPr="00926ACD">
              <w:rPr>
                <w:rFonts w:ascii="Times New Roman" w:hAnsi="Times New Roman" w:cs="Times New Roman"/>
                <w:sz w:val="20"/>
                <w:szCs w:val="20"/>
                <w:lang w:eastAsia="fr-FR"/>
              </w:rPr>
              <w:t>12 mars 2018</w:t>
            </w:r>
            <w:r w:rsidR="006A77EF" w:rsidRPr="00926ACD">
              <w:rPr>
                <w:rFonts w:ascii="Times New Roman" w:hAnsi="Times New Roman" w:cs="Times New Roman"/>
                <w:sz w:val="20"/>
                <w:szCs w:val="20"/>
                <w:lang w:eastAsia="fr-FR"/>
              </w:rPr>
              <w:t>)</w:t>
            </w:r>
            <w:r w:rsidR="00926ACD">
              <w:rPr>
                <w:rFonts w:ascii="Times New Roman" w:hAnsi="Times New Roman" w:cs="Times New Roman"/>
                <w:sz w:val="20"/>
                <w:szCs w:val="20"/>
                <w:lang w:eastAsia="fr-FR"/>
              </w:rPr>
              <w:t>.</w:t>
            </w:r>
            <w:r w:rsidR="006A77EF" w:rsidRPr="00926ACD">
              <w:rPr>
                <w:rFonts w:ascii="Times New Roman" w:hAnsi="Times New Roman" w:cs="Times New Roman"/>
                <w:sz w:val="20"/>
                <w:szCs w:val="20"/>
                <w:lang w:eastAsia="fr-FR"/>
              </w:rPr>
              <w:t xml:space="preserve"> </w:t>
            </w:r>
            <w:hyperlink r:id="rId15" w:history="1">
              <w:r w:rsidR="00926ACD" w:rsidRPr="00926ACD">
                <w:rPr>
                  <w:rStyle w:val="Lienhypertexte"/>
                  <w:rFonts w:ascii="Times New Roman" w:hAnsi="Times New Roman" w:cs="Times New Roman"/>
                  <w:sz w:val="20"/>
                  <w:szCs w:val="20"/>
                  <w:lang w:eastAsia="fr-FR"/>
                </w:rPr>
                <w:t>CLIQUEZ ICI</w:t>
              </w:r>
            </w:hyperlink>
            <w:r w:rsidR="006A77EF" w:rsidRPr="00926ACD">
              <w:rPr>
                <w:rFonts w:ascii="Times New Roman" w:hAnsi="Times New Roman" w:cs="Times New Roman"/>
                <w:sz w:val="20"/>
                <w:szCs w:val="20"/>
                <w:lang w:eastAsia="fr-FR"/>
              </w:rPr>
              <w:t xml:space="preserve"> pour accéder au mode opératoire.</w:t>
            </w:r>
          </w:p>
        </w:tc>
      </w:tr>
      <w:tr w:rsidR="0063118F" w:rsidRPr="00E81F6E" w:rsidTr="00AF3BE3">
        <w:trPr>
          <w:trHeight w:val="515"/>
        </w:trPr>
        <w:tc>
          <w:tcPr>
            <w:tcW w:w="1560" w:type="dxa"/>
            <w:tcBorders>
              <w:bottom w:val="single" w:sz="4" w:space="0" w:color="auto"/>
            </w:tcBorders>
            <w:shd w:val="clear" w:color="auto" w:fill="FFFFFF" w:themeFill="background1"/>
          </w:tcPr>
          <w:p w:rsidR="0063118F" w:rsidRPr="00FD1C02" w:rsidRDefault="0063118F">
            <w:pPr>
              <w:rPr>
                <w:rFonts w:ascii="Times New Roman" w:hAnsi="Times New Roman" w:cs="Times New Roman"/>
                <w:b/>
                <w:bCs/>
                <w:sz w:val="20"/>
                <w:szCs w:val="20"/>
              </w:rPr>
            </w:pPr>
            <w:r w:rsidRPr="00FD1C0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63118F" w:rsidRPr="00FD1C02" w:rsidRDefault="0063118F">
            <w:pPr>
              <w:spacing w:after="200" w:line="276" w:lineRule="auto"/>
              <w:rPr>
                <w:rFonts w:ascii="Times New Roman" w:hAnsi="Times New Roman" w:cs="Times New Roman"/>
                <w:b/>
                <w:bCs/>
                <w:sz w:val="20"/>
                <w:szCs w:val="20"/>
              </w:rPr>
            </w:pPr>
            <w:r w:rsidRPr="00FD1C02">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D15CF1" w:rsidRPr="00A757A4" w:rsidRDefault="00B16CC5" w:rsidP="00E272F3">
            <w:pPr>
              <w:numPr>
                <w:ilvl w:val="0"/>
                <w:numId w:val="14"/>
              </w:numPr>
              <w:spacing w:after="200" w:line="276" w:lineRule="auto"/>
              <w:ind w:left="176" w:hanging="176"/>
              <w:contextualSpacing/>
              <w:jc w:val="both"/>
              <w:rPr>
                <w:rFonts w:ascii="Times New Roman" w:hAnsi="Times New Roman" w:cs="Times New Roman"/>
                <w:strike/>
                <w:sz w:val="20"/>
                <w:szCs w:val="20"/>
                <w:lang w:eastAsia="fr-FR"/>
              </w:rPr>
            </w:pPr>
            <w:hyperlink r:id="rId16" w:history="1">
              <w:r w:rsidR="00D15CF1">
                <w:rPr>
                  <w:rStyle w:val="Lienhypertexte"/>
                  <w:rFonts w:ascii="Times New Roman" w:hAnsi="Times New Roman" w:cs="Times New Roman"/>
                  <w:sz w:val="20"/>
                  <w:szCs w:val="20"/>
                  <w:lang w:eastAsia="fr-FR"/>
                </w:rPr>
                <w:t>CLIQUEZ ICI</w:t>
              </w:r>
            </w:hyperlink>
            <w:r w:rsidR="00D15CF1">
              <w:rPr>
                <w:rFonts w:ascii="Times New Roman" w:hAnsi="Times New Roman" w:cs="Times New Roman"/>
                <w:sz w:val="20"/>
                <w:szCs w:val="20"/>
                <w:lang w:eastAsia="fr-FR"/>
              </w:rPr>
              <w:t xml:space="preserve"> pour trouver le fichier des IZICARTES en attente de saisie d’une date de signature (volumétrie : 255 cartes en attente). Tant que les 2 étapes « mise en force » et « saisie la date de signature » ne seront pas faites, nos clients ne recevront pas leur carte.</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764506" w:rsidRPr="00E81F6E" w:rsidTr="00AF3BE3">
        <w:trPr>
          <w:trHeight w:val="248"/>
        </w:trPr>
        <w:tc>
          <w:tcPr>
            <w:tcW w:w="1560" w:type="dxa"/>
            <w:tcBorders>
              <w:bottom w:val="single" w:sz="4" w:space="0" w:color="auto"/>
            </w:tcBorders>
          </w:tcPr>
          <w:p w:rsidR="00764506" w:rsidRPr="00DF5B29" w:rsidRDefault="00764506" w:rsidP="00007762">
            <w:pPr>
              <w:rPr>
                <w:rFonts w:ascii="Times New Roman" w:hAnsi="Times New Roman" w:cs="Times New Roman"/>
                <w:b/>
                <w:bCs/>
                <w:sz w:val="20"/>
                <w:szCs w:val="20"/>
              </w:rPr>
            </w:pPr>
            <w:r>
              <w:rPr>
                <w:rFonts w:ascii="Times New Roman" w:hAnsi="Times New Roman" w:cs="Times New Roman"/>
                <w:b/>
                <w:bCs/>
                <w:sz w:val="20"/>
                <w:szCs w:val="20"/>
              </w:rPr>
              <w:t>Com. DMA - DEB</w:t>
            </w:r>
          </w:p>
        </w:tc>
        <w:tc>
          <w:tcPr>
            <w:tcW w:w="1843" w:type="dxa"/>
            <w:tcBorders>
              <w:bottom w:val="single" w:sz="4" w:space="0" w:color="auto"/>
            </w:tcBorders>
          </w:tcPr>
          <w:p w:rsidR="00764506" w:rsidRPr="00DF5B29" w:rsidRDefault="00764506" w:rsidP="00007762">
            <w:pPr>
              <w:pStyle w:val="wordsection1"/>
              <w:spacing w:before="0" w:beforeAutospacing="0" w:after="0" w:afterAutospacing="0"/>
              <w:rPr>
                <w:b/>
                <w:bCs/>
                <w:sz w:val="20"/>
                <w:szCs w:val="20"/>
                <w:highlight w:val="red"/>
              </w:rPr>
            </w:pPr>
            <w:r>
              <w:rPr>
                <w:b/>
                <w:bCs/>
                <w:sz w:val="20"/>
                <w:szCs w:val="20"/>
              </w:rPr>
              <w:t>MIF II - Nouveaux parcours client</w:t>
            </w:r>
          </w:p>
        </w:tc>
        <w:tc>
          <w:tcPr>
            <w:tcW w:w="12332" w:type="dxa"/>
            <w:tcBorders>
              <w:bottom w:val="single" w:sz="4" w:space="0" w:color="auto"/>
            </w:tcBorders>
            <w:shd w:val="clear" w:color="auto" w:fill="auto"/>
          </w:tcPr>
          <w:p w:rsidR="00764506" w:rsidRDefault="00764506" w:rsidP="00007762">
            <w:pPr>
              <w:pStyle w:val="wordsection1"/>
              <w:numPr>
                <w:ilvl w:val="0"/>
                <w:numId w:val="41"/>
              </w:numPr>
              <w:spacing w:before="0" w:beforeAutospacing="0" w:after="120" w:afterAutospacing="0"/>
              <w:ind w:left="187" w:hanging="187"/>
              <w:rPr>
                <w:i/>
                <w:iCs/>
                <w:sz w:val="20"/>
                <w:szCs w:val="20"/>
              </w:rPr>
            </w:pPr>
            <w:r>
              <w:rPr>
                <w:b/>
                <w:bCs/>
                <w:sz w:val="20"/>
                <w:szCs w:val="20"/>
                <w:u w:val="single"/>
              </w:rPr>
              <w:t>Pour Rappel :</w:t>
            </w:r>
            <w:r>
              <w:rPr>
                <w:i/>
                <w:iCs/>
                <w:sz w:val="20"/>
                <w:szCs w:val="20"/>
              </w:rPr>
              <w:t xml:space="preserve"> Il est indispensable de suivre l’E-Learning </w:t>
            </w:r>
            <w:r>
              <w:rPr>
                <w:b/>
                <w:bCs/>
                <w:i/>
                <w:iCs/>
                <w:sz w:val="20"/>
                <w:szCs w:val="20"/>
              </w:rPr>
              <w:t xml:space="preserve">Tutoriel - Parcours </w:t>
            </w:r>
            <w:proofErr w:type="spellStart"/>
            <w:r>
              <w:rPr>
                <w:b/>
                <w:bCs/>
                <w:i/>
                <w:iCs/>
                <w:sz w:val="20"/>
                <w:szCs w:val="20"/>
              </w:rPr>
              <w:t>Epargne</w:t>
            </w:r>
            <w:proofErr w:type="spellEnd"/>
            <w:r>
              <w:rPr>
                <w:b/>
                <w:bCs/>
                <w:i/>
                <w:iCs/>
                <w:sz w:val="20"/>
                <w:szCs w:val="20"/>
              </w:rPr>
              <w:t xml:space="preserve"> Financière et Assurance</w:t>
            </w:r>
            <w:r>
              <w:rPr>
                <w:i/>
                <w:iCs/>
                <w:sz w:val="20"/>
                <w:szCs w:val="20"/>
              </w:rPr>
              <w:t xml:space="preserve">. L’HDJ  du 15/03/2018 a été libérée afin que les collaborateurs puissent effectuer </w:t>
            </w:r>
            <w:r>
              <w:rPr>
                <w:b/>
                <w:bCs/>
                <w:i/>
                <w:iCs/>
                <w:sz w:val="20"/>
                <w:szCs w:val="20"/>
              </w:rPr>
              <w:t>en priorité</w:t>
            </w:r>
            <w:r>
              <w:rPr>
                <w:i/>
                <w:iCs/>
                <w:sz w:val="20"/>
                <w:szCs w:val="20"/>
              </w:rPr>
              <w:t xml:space="preserve"> ce E-learning. Pour les collaborateurs l’ayant déjà réalisé, nous les invitons à suivre le E-learning Loi de finances - Particuliers 2018.</w:t>
            </w:r>
          </w:p>
          <w:p w:rsidR="00764506" w:rsidRDefault="00764506" w:rsidP="00007762">
            <w:pPr>
              <w:pStyle w:val="wordsection1"/>
              <w:numPr>
                <w:ilvl w:val="0"/>
                <w:numId w:val="41"/>
              </w:numPr>
              <w:spacing w:before="0" w:beforeAutospacing="0" w:after="0" w:afterAutospacing="0"/>
              <w:ind w:left="187" w:hanging="187"/>
              <w:rPr>
                <w:sz w:val="20"/>
                <w:szCs w:val="20"/>
              </w:rPr>
            </w:pPr>
            <w:r>
              <w:rPr>
                <w:sz w:val="20"/>
                <w:szCs w:val="20"/>
              </w:rPr>
              <w:t>Après une semaine de mise en œuvre du parcours transitoire MIF II, 4 points à avoir à l’esprit :</w:t>
            </w:r>
          </w:p>
          <w:p w:rsidR="00764506" w:rsidRDefault="00764506" w:rsidP="00007762">
            <w:pPr>
              <w:pStyle w:val="wordsection1"/>
              <w:numPr>
                <w:ilvl w:val="0"/>
                <w:numId w:val="41"/>
              </w:numPr>
              <w:spacing w:before="0" w:beforeAutospacing="0" w:after="0" w:afterAutospacing="0"/>
              <w:ind w:left="187" w:hanging="187"/>
              <w:rPr>
                <w:sz w:val="20"/>
                <w:szCs w:val="20"/>
              </w:rPr>
            </w:pPr>
            <w:r>
              <w:rPr>
                <w:b/>
                <w:bCs/>
                <w:sz w:val="20"/>
                <w:szCs w:val="20"/>
                <w:u w:val="single"/>
              </w:rPr>
              <w:t>En souscription :</w:t>
            </w:r>
            <w:r>
              <w:rPr>
                <w:sz w:val="20"/>
                <w:szCs w:val="20"/>
              </w:rPr>
              <w:t xml:space="preserve"> Toujours recourir aux </w:t>
            </w:r>
            <w:r>
              <w:rPr>
                <w:b/>
                <w:bCs/>
                <w:sz w:val="20"/>
                <w:szCs w:val="20"/>
              </w:rPr>
              <w:t>portefeuilles modèles</w:t>
            </w:r>
            <w:r>
              <w:rPr>
                <w:sz w:val="20"/>
                <w:szCs w:val="20"/>
              </w:rPr>
              <w:t xml:space="preserve"> qui constituent la règle ! Seule la commercialisation d’un FAF comme Hélios justifiera le recours à une allocation libre avec la création d’un projet spécifique de risque R1 pour la fraction de versement dédié à l’Hélios. Le reliquat du montant de la souscription devra être affecté à un portefeuille modèle en adéquation avec le niveau de risque admis par le client. Le client conserve la liberté de refuser le conseil et peut toujours modifier l’allocation proposée par la banque.</w:t>
            </w:r>
          </w:p>
          <w:p w:rsidR="00764506" w:rsidRDefault="00764506" w:rsidP="00007762">
            <w:pPr>
              <w:pStyle w:val="wordsection1"/>
              <w:numPr>
                <w:ilvl w:val="0"/>
                <w:numId w:val="41"/>
              </w:numPr>
              <w:spacing w:before="0" w:beforeAutospacing="0" w:after="0" w:afterAutospacing="0"/>
              <w:ind w:left="187" w:hanging="187"/>
              <w:rPr>
                <w:sz w:val="20"/>
                <w:szCs w:val="20"/>
              </w:rPr>
            </w:pPr>
            <w:r>
              <w:rPr>
                <w:b/>
                <w:bCs/>
                <w:sz w:val="20"/>
                <w:szCs w:val="20"/>
                <w:u w:val="single"/>
              </w:rPr>
              <w:t>En assurance vie</w:t>
            </w:r>
            <w:r>
              <w:rPr>
                <w:sz w:val="20"/>
                <w:szCs w:val="20"/>
              </w:rPr>
              <w:t xml:space="preserve"> (ouverture, versement, arbitrage) : Toujours passer préalablement par la transaction </w:t>
            </w:r>
            <w:r>
              <w:rPr>
                <w:b/>
                <w:bCs/>
                <w:sz w:val="20"/>
                <w:szCs w:val="20"/>
              </w:rPr>
              <w:t>0199</w:t>
            </w:r>
            <w:r>
              <w:rPr>
                <w:sz w:val="20"/>
                <w:szCs w:val="20"/>
              </w:rPr>
              <w:t xml:space="preserve"> pour réaliser un parcours conseil.</w:t>
            </w:r>
          </w:p>
          <w:p w:rsidR="00764506" w:rsidRDefault="00764506" w:rsidP="00007762">
            <w:pPr>
              <w:pStyle w:val="wordsection1"/>
              <w:numPr>
                <w:ilvl w:val="0"/>
                <w:numId w:val="42"/>
              </w:numPr>
              <w:spacing w:before="0" w:beforeAutospacing="0" w:after="0" w:afterAutospacing="0"/>
              <w:ind w:left="884"/>
              <w:rPr>
                <w:sz w:val="20"/>
                <w:szCs w:val="20"/>
              </w:rPr>
            </w:pPr>
            <w:r>
              <w:rPr>
                <w:sz w:val="20"/>
                <w:szCs w:val="20"/>
              </w:rPr>
              <w:t xml:space="preserve">La vente « </w:t>
            </w:r>
            <w:r>
              <w:rPr>
                <w:b/>
                <w:bCs/>
                <w:sz w:val="20"/>
                <w:szCs w:val="20"/>
              </w:rPr>
              <w:t>hors parcours</w:t>
            </w:r>
            <w:r>
              <w:rPr>
                <w:sz w:val="20"/>
                <w:szCs w:val="20"/>
              </w:rPr>
              <w:t xml:space="preserve"> » en assurance vie n’est pas admise car </w:t>
            </w:r>
            <w:r>
              <w:rPr>
                <w:b/>
                <w:bCs/>
                <w:sz w:val="20"/>
                <w:szCs w:val="20"/>
              </w:rPr>
              <w:t>non réglementaire</w:t>
            </w:r>
            <w:r>
              <w:rPr>
                <w:sz w:val="20"/>
                <w:szCs w:val="20"/>
              </w:rPr>
              <w:t xml:space="preserve"> ! </w:t>
            </w:r>
          </w:p>
          <w:p w:rsidR="00764506" w:rsidRDefault="00764506" w:rsidP="00007762">
            <w:pPr>
              <w:pStyle w:val="wordsection1"/>
              <w:numPr>
                <w:ilvl w:val="0"/>
                <w:numId w:val="41"/>
              </w:numPr>
              <w:spacing w:before="0" w:beforeAutospacing="0" w:after="0" w:afterAutospacing="0"/>
              <w:ind w:left="187" w:hanging="187"/>
              <w:rPr>
                <w:b/>
                <w:bCs/>
                <w:sz w:val="20"/>
                <w:szCs w:val="20"/>
                <w:u w:val="single"/>
              </w:rPr>
            </w:pPr>
            <w:r>
              <w:rPr>
                <w:b/>
                <w:bCs/>
                <w:sz w:val="20"/>
                <w:szCs w:val="20"/>
                <w:u w:val="single"/>
              </w:rPr>
              <w:t>En assurance vie :</w:t>
            </w:r>
            <w:r>
              <w:rPr>
                <w:sz w:val="20"/>
                <w:szCs w:val="20"/>
              </w:rPr>
              <w:t xml:space="preserve"> Lorsque vous déroulez le parcours conseil et que vous renseignez les différents supports dans le catalogue des produits :</w:t>
            </w:r>
            <w:r>
              <w:rPr>
                <w:b/>
                <w:bCs/>
                <w:sz w:val="20"/>
                <w:szCs w:val="20"/>
                <w:u w:val="single"/>
              </w:rPr>
              <w:t xml:space="preserve"> </w:t>
            </w:r>
          </w:p>
          <w:p w:rsidR="00764506" w:rsidRDefault="00764506" w:rsidP="00007762">
            <w:pPr>
              <w:pStyle w:val="wordsection1"/>
              <w:numPr>
                <w:ilvl w:val="0"/>
                <w:numId w:val="42"/>
              </w:numPr>
              <w:spacing w:before="0" w:beforeAutospacing="0" w:after="0" w:afterAutospacing="0"/>
              <w:ind w:left="884"/>
              <w:rPr>
                <w:sz w:val="20"/>
                <w:szCs w:val="20"/>
              </w:rPr>
            </w:pPr>
            <w:r>
              <w:rPr>
                <w:sz w:val="20"/>
                <w:szCs w:val="20"/>
              </w:rPr>
              <w:t>Veillez à sélectionner l’UC correspondant au niveau de risque admis par le client (par exemple, Hélios = risque faible)</w:t>
            </w:r>
          </w:p>
          <w:p w:rsidR="00764506" w:rsidRDefault="00764506" w:rsidP="00007762">
            <w:pPr>
              <w:pStyle w:val="wordsection1"/>
              <w:numPr>
                <w:ilvl w:val="0"/>
                <w:numId w:val="42"/>
              </w:numPr>
              <w:spacing w:before="0" w:beforeAutospacing="0" w:after="0" w:afterAutospacing="0"/>
              <w:ind w:left="884"/>
              <w:rPr>
                <w:sz w:val="20"/>
                <w:szCs w:val="20"/>
              </w:rPr>
            </w:pPr>
            <w:r>
              <w:rPr>
                <w:sz w:val="20"/>
                <w:szCs w:val="20"/>
              </w:rPr>
              <w:t>Veillez à sélectionner la version capitalisation « C » et pas distribution « D » de l’UC sélectionnée</w:t>
            </w:r>
          </w:p>
          <w:p w:rsidR="00764506" w:rsidRPr="00DF5B29" w:rsidRDefault="00764506" w:rsidP="00007762">
            <w:pPr>
              <w:pStyle w:val="wordsection1"/>
              <w:numPr>
                <w:ilvl w:val="0"/>
                <w:numId w:val="41"/>
              </w:numPr>
              <w:spacing w:before="0" w:beforeAutospacing="0" w:after="0" w:afterAutospacing="0"/>
              <w:ind w:left="187" w:hanging="187"/>
              <w:rPr>
                <w:sz w:val="20"/>
                <w:szCs w:val="20"/>
              </w:rPr>
            </w:pPr>
            <w:r>
              <w:rPr>
                <w:b/>
                <w:bCs/>
                <w:sz w:val="20"/>
                <w:szCs w:val="20"/>
                <w:u w:val="single"/>
              </w:rPr>
              <w:t>CR </w:t>
            </w:r>
            <w:r w:rsidRPr="006E30C4">
              <w:rPr>
                <w:bCs/>
                <w:sz w:val="20"/>
                <w:szCs w:val="20"/>
              </w:rPr>
              <w:t>: Il est impératif de faire un CR en renseignant dans les commentaires : le projet, le niveau de risque choisi par le client et surtout le portefeuille modèle proposé en précisant si celui-ci a été accepté ou refusé par le client.</w:t>
            </w:r>
          </w:p>
        </w:tc>
      </w:tr>
      <w:tr w:rsidR="00764506" w:rsidRPr="00E81F6E" w:rsidTr="00AF3BE3">
        <w:trPr>
          <w:trHeight w:val="248"/>
        </w:trPr>
        <w:tc>
          <w:tcPr>
            <w:tcW w:w="1560" w:type="dxa"/>
            <w:tcBorders>
              <w:bottom w:val="single" w:sz="4" w:space="0" w:color="auto"/>
            </w:tcBorders>
          </w:tcPr>
          <w:p w:rsidR="00764506" w:rsidRPr="00F675C6" w:rsidRDefault="00764506">
            <w:pPr>
              <w:rPr>
                <w:color w:val="FF0000"/>
              </w:rPr>
            </w:pPr>
            <w:r w:rsidRPr="006F61B2">
              <w:rPr>
                <w:rFonts w:ascii="Times New Roman" w:hAnsi="Times New Roman" w:cs="Times New Roman"/>
                <w:b/>
                <w:bCs/>
                <w:sz w:val="20"/>
                <w:szCs w:val="20"/>
              </w:rPr>
              <w:t>Com. DMA</w:t>
            </w:r>
          </w:p>
        </w:tc>
        <w:tc>
          <w:tcPr>
            <w:tcW w:w="1843" w:type="dxa"/>
            <w:tcBorders>
              <w:bottom w:val="single" w:sz="4" w:space="0" w:color="auto"/>
            </w:tcBorders>
          </w:tcPr>
          <w:p w:rsidR="00764506" w:rsidRPr="002151A5" w:rsidRDefault="00764506">
            <w:pPr>
              <w:pStyle w:val="wordsection1"/>
              <w:spacing w:before="0" w:beforeAutospacing="0" w:after="0" w:afterAutospacing="0"/>
              <w:rPr>
                <w:sz w:val="20"/>
                <w:szCs w:val="20"/>
              </w:rPr>
            </w:pPr>
            <w:r w:rsidRPr="006F61B2">
              <w:rPr>
                <w:b/>
                <w:bCs/>
                <w:sz w:val="20"/>
                <w:szCs w:val="20"/>
              </w:rPr>
              <w:t>Assurance-Vie – SCPI PFO 2</w:t>
            </w:r>
          </w:p>
        </w:tc>
        <w:tc>
          <w:tcPr>
            <w:tcW w:w="12332" w:type="dxa"/>
            <w:tcBorders>
              <w:bottom w:val="single" w:sz="4" w:space="0" w:color="auto"/>
            </w:tcBorders>
            <w:shd w:val="clear" w:color="auto" w:fill="auto"/>
          </w:tcPr>
          <w:p w:rsidR="00764506" w:rsidRPr="006F61B2" w:rsidRDefault="00764506" w:rsidP="006F61B2">
            <w:pPr>
              <w:numPr>
                <w:ilvl w:val="0"/>
                <w:numId w:val="27"/>
              </w:numPr>
              <w:ind w:left="187" w:hanging="187"/>
              <w:contextualSpacing/>
              <w:jc w:val="both"/>
              <w:rPr>
                <w:rFonts w:ascii="Times New Roman" w:hAnsi="Times New Roman" w:cs="Times New Roman"/>
                <w:sz w:val="20"/>
                <w:szCs w:val="20"/>
              </w:rPr>
            </w:pPr>
            <w:r w:rsidRPr="006F61B2">
              <w:rPr>
                <w:rFonts w:ascii="Times New Roman" w:hAnsi="Times New Roman" w:cs="Times New Roman"/>
                <w:sz w:val="20"/>
                <w:szCs w:val="20"/>
              </w:rPr>
              <w:t xml:space="preserve">Nous vous informons de la fermeture de la commercialisation de la SCPI </w:t>
            </w:r>
            <w:r w:rsidRPr="006F61B2">
              <w:rPr>
                <w:rFonts w:ascii="Times New Roman" w:hAnsi="Times New Roman" w:cs="Times New Roman"/>
                <w:b/>
                <w:bCs/>
                <w:sz w:val="20"/>
                <w:szCs w:val="20"/>
              </w:rPr>
              <w:t>PFO 2</w:t>
            </w:r>
            <w:r w:rsidRPr="006F61B2">
              <w:rPr>
                <w:rFonts w:ascii="Times New Roman" w:hAnsi="Times New Roman" w:cs="Times New Roman"/>
                <w:sz w:val="20"/>
                <w:szCs w:val="20"/>
              </w:rPr>
              <w:t xml:space="preserve"> accessible dans les contrats BPCE Vie, l’enveloppe de 1 499  K€ ayant été consommée. La SCPI </w:t>
            </w:r>
            <w:r w:rsidRPr="006F61B2">
              <w:rPr>
                <w:rFonts w:ascii="Times New Roman" w:hAnsi="Times New Roman" w:cs="Times New Roman"/>
                <w:b/>
                <w:bCs/>
                <w:sz w:val="20"/>
                <w:szCs w:val="20"/>
              </w:rPr>
              <w:t>PRIMOPIERRE</w:t>
            </w:r>
            <w:r w:rsidRPr="006F61B2">
              <w:rPr>
                <w:rFonts w:ascii="Times New Roman" w:hAnsi="Times New Roman" w:cs="Times New Roman"/>
                <w:sz w:val="20"/>
                <w:szCs w:val="20"/>
              </w:rPr>
              <w:t xml:space="preserve"> est toujours ouverte à la commercialisation sur les contrats CNP jusqu’au 14/04/2018 ou consommation de l’enveloppe de 2 775 K€ (32% au 08/03/2018).</w:t>
            </w:r>
          </w:p>
        </w:tc>
      </w:tr>
      <w:tr w:rsidR="00764506" w:rsidRPr="00E81F6E" w:rsidTr="00AF3BE3">
        <w:trPr>
          <w:trHeight w:val="248"/>
        </w:trPr>
        <w:tc>
          <w:tcPr>
            <w:tcW w:w="1560" w:type="dxa"/>
            <w:tcBorders>
              <w:bottom w:val="single" w:sz="4" w:space="0" w:color="auto"/>
            </w:tcBorders>
          </w:tcPr>
          <w:p w:rsidR="00764506" w:rsidRPr="00F675C6" w:rsidRDefault="00764506">
            <w:pPr>
              <w:rPr>
                <w:color w:val="FF0000"/>
              </w:rPr>
            </w:pPr>
            <w:r w:rsidRPr="006F61B2">
              <w:rPr>
                <w:rFonts w:ascii="Times New Roman" w:hAnsi="Times New Roman" w:cs="Times New Roman"/>
                <w:b/>
                <w:bCs/>
                <w:sz w:val="20"/>
                <w:szCs w:val="20"/>
              </w:rPr>
              <w:t>Com. DMA</w:t>
            </w:r>
          </w:p>
        </w:tc>
        <w:tc>
          <w:tcPr>
            <w:tcW w:w="1843" w:type="dxa"/>
            <w:tcBorders>
              <w:bottom w:val="single" w:sz="4" w:space="0" w:color="auto"/>
            </w:tcBorders>
          </w:tcPr>
          <w:p w:rsidR="00764506" w:rsidRPr="002151A5" w:rsidRDefault="00764506">
            <w:pPr>
              <w:pStyle w:val="wordsection1"/>
              <w:spacing w:before="0" w:beforeAutospacing="0" w:after="0" w:afterAutospacing="0"/>
              <w:rPr>
                <w:sz w:val="20"/>
                <w:szCs w:val="20"/>
              </w:rPr>
            </w:pPr>
            <w:r w:rsidRPr="006F61B2">
              <w:rPr>
                <w:b/>
                <w:bCs/>
                <w:sz w:val="20"/>
                <w:szCs w:val="20"/>
              </w:rPr>
              <w:t>Assurance vie – J’assure Spécial Fonds Euros</w:t>
            </w:r>
          </w:p>
        </w:tc>
        <w:tc>
          <w:tcPr>
            <w:tcW w:w="12332" w:type="dxa"/>
            <w:tcBorders>
              <w:bottom w:val="single" w:sz="4" w:space="0" w:color="auto"/>
            </w:tcBorders>
            <w:shd w:val="clear" w:color="auto" w:fill="auto"/>
          </w:tcPr>
          <w:p w:rsidR="00764506" w:rsidRPr="006F61B2" w:rsidRDefault="00764506" w:rsidP="006F61B2">
            <w:pPr>
              <w:numPr>
                <w:ilvl w:val="0"/>
                <w:numId w:val="36"/>
              </w:numPr>
              <w:ind w:left="176" w:hanging="176"/>
              <w:contextualSpacing/>
              <w:jc w:val="both"/>
              <w:rPr>
                <w:color w:val="1F497D"/>
                <w:sz w:val="20"/>
                <w:szCs w:val="20"/>
              </w:rPr>
            </w:pPr>
            <w:r w:rsidRPr="006F61B2">
              <w:rPr>
                <w:rFonts w:ascii="Times New Roman" w:hAnsi="Times New Roman" w:cs="Times New Roman"/>
                <w:sz w:val="20"/>
                <w:szCs w:val="20"/>
              </w:rPr>
              <w:t xml:space="preserve">Un numéro Hors-série du magazine J’assure </w:t>
            </w:r>
            <w:r w:rsidRPr="006F61B2">
              <w:rPr>
                <w:rFonts w:ascii="Times New Roman" w:hAnsi="Times New Roman" w:cs="Times New Roman"/>
                <w:color w:val="1F497D"/>
                <w:sz w:val="20"/>
                <w:szCs w:val="20"/>
              </w:rPr>
              <w:t>« </w:t>
            </w:r>
            <w:r w:rsidRPr="006F61B2">
              <w:rPr>
                <w:rFonts w:ascii="Times New Roman" w:hAnsi="Times New Roman" w:cs="Times New Roman"/>
                <w:b/>
                <w:bCs/>
                <w:sz w:val="20"/>
                <w:szCs w:val="20"/>
              </w:rPr>
              <w:t>Taux de rendement 2017 des supports en euros : Une baisse modérée à la Caisse d'</w:t>
            </w:r>
            <w:proofErr w:type="spellStart"/>
            <w:r w:rsidRPr="006F61B2">
              <w:rPr>
                <w:rFonts w:ascii="Times New Roman" w:hAnsi="Times New Roman" w:cs="Times New Roman"/>
                <w:b/>
                <w:bCs/>
                <w:sz w:val="20"/>
                <w:szCs w:val="20"/>
              </w:rPr>
              <w:t>Epargne</w:t>
            </w:r>
            <w:proofErr w:type="spellEnd"/>
            <w:r w:rsidRPr="006F61B2">
              <w:rPr>
                <w:rFonts w:ascii="Times New Roman" w:hAnsi="Times New Roman" w:cs="Times New Roman"/>
                <w:b/>
                <w:bCs/>
                <w:color w:val="1F497D"/>
                <w:sz w:val="20"/>
                <w:szCs w:val="20"/>
              </w:rPr>
              <w:t> »</w:t>
            </w:r>
            <w:r w:rsidRPr="006F61B2">
              <w:rPr>
                <w:rFonts w:ascii="Times New Roman" w:hAnsi="Times New Roman" w:cs="Times New Roman"/>
                <w:sz w:val="20"/>
                <w:szCs w:val="20"/>
              </w:rPr>
              <w:t xml:space="preserve"> est à votre disposition (</w:t>
            </w:r>
            <w:hyperlink r:id="rId17" w:history="1">
              <w:r w:rsidRPr="006F61B2">
                <w:rPr>
                  <w:rStyle w:val="Lienhypertexte"/>
                  <w:rFonts w:ascii="Times New Roman" w:hAnsi="Times New Roman" w:cs="Times New Roman"/>
                  <w:sz w:val="20"/>
                  <w:szCs w:val="20"/>
                </w:rPr>
                <w:t>cliquez ici</w:t>
              </w:r>
            </w:hyperlink>
            <w:r w:rsidRPr="006F61B2">
              <w:rPr>
                <w:rFonts w:ascii="Times New Roman" w:hAnsi="Times New Roman" w:cs="Times New Roman"/>
                <w:sz w:val="20"/>
                <w:szCs w:val="20"/>
              </w:rPr>
              <w:t>).</w:t>
            </w:r>
          </w:p>
          <w:p w:rsidR="00764506" w:rsidRPr="006F61B2" w:rsidRDefault="00764506" w:rsidP="006F61B2">
            <w:pPr>
              <w:pStyle w:val="Paragraphedeliste"/>
              <w:numPr>
                <w:ilvl w:val="0"/>
                <w:numId w:val="36"/>
              </w:numPr>
              <w:ind w:left="175" w:hanging="185"/>
              <w:jc w:val="both"/>
              <w:rPr>
                <w:sz w:val="20"/>
                <w:szCs w:val="20"/>
              </w:rPr>
            </w:pPr>
            <w:r w:rsidRPr="006F61B2">
              <w:rPr>
                <w:rFonts w:ascii="Times New Roman" w:hAnsi="Times New Roman" w:cs="Times New Roman"/>
                <w:sz w:val="20"/>
                <w:szCs w:val="20"/>
              </w:rPr>
              <w:t>Malgré un contexte de taux bas, la Caisse d’</w:t>
            </w:r>
            <w:proofErr w:type="spellStart"/>
            <w:r w:rsidRPr="006F61B2">
              <w:rPr>
                <w:rFonts w:ascii="Times New Roman" w:hAnsi="Times New Roman" w:cs="Times New Roman"/>
                <w:sz w:val="20"/>
                <w:szCs w:val="20"/>
              </w:rPr>
              <w:t>Epargne</w:t>
            </w:r>
            <w:proofErr w:type="spellEnd"/>
            <w:r w:rsidRPr="006F61B2">
              <w:rPr>
                <w:rFonts w:ascii="Times New Roman" w:hAnsi="Times New Roman" w:cs="Times New Roman"/>
                <w:sz w:val="20"/>
                <w:szCs w:val="20"/>
              </w:rPr>
              <w:t xml:space="preserve"> réussit à conserver </w:t>
            </w:r>
            <w:proofErr w:type="gramStart"/>
            <w:r w:rsidRPr="006F61B2">
              <w:rPr>
                <w:rFonts w:ascii="Times New Roman" w:hAnsi="Times New Roman" w:cs="Times New Roman"/>
                <w:sz w:val="20"/>
                <w:szCs w:val="20"/>
              </w:rPr>
              <w:t>une</w:t>
            </w:r>
            <w:proofErr w:type="gramEnd"/>
            <w:r w:rsidRPr="006F61B2">
              <w:rPr>
                <w:rFonts w:ascii="Times New Roman" w:hAnsi="Times New Roman" w:cs="Times New Roman"/>
                <w:sz w:val="20"/>
                <w:szCs w:val="20"/>
              </w:rPr>
              <w:t xml:space="preserve"> quasi stabilité de ses taux de rendement des fonds euros en 2017 par rapport à 2016.</w:t>
            </w:r>
          </w:p>
          <w:p w:rsidR="00764506" w:rsidRPr="006F61B2" w:rsidRDefault="00764506" w:rsidP="006F61B2">
            <w:pPr>
              <w:pStyle w:val="Paragraphedeliste"/>
              <w:numPr>
                <w:ilvl w:val="0"/>
                <w:numId w:val="36"/>
              </w:numPr>
              <w:ind w:left="175" w:hanging="185"/>
              <w:jc w:val="both"/>
              <w:rPr>
                <w:rFonts w:ascii="Times New Roman" w:hAnsi="Times New Roman" w:cs="Times New Roman"/>
                <w:sz w:val="20"/>
                <w:szCs w:val="20"/>
              </w:rPr>
            </w:pPr>
            <w:r w:rsidRPr="006F61B2">
              <w:rPr>
                <w:rFonts w:ascii="Times New Roman" w:hAnsi="Times New Roman" w:cs="Times New Roman"/>
                <w:sz w:val="20"/>
                <w:szCs w:val="20"/>
              </w:rPr>
              <w:t>L’assurance vie continue d’être plébiscitée par nos clients pour trois raisons : sécurité du support en euros, rentabilité, disponibilité. Diversifier son investissement en associant des UC au support en euros constitue une solution qui permet à nos clients de dynamiser la performance de leur contrat.</w:t>
            </w:r>
          </w:p>
          <w:p w:rsidR="00764506" w:rsidRPr="006F61B2" w:rsidRDefault="00764506" w:rsidP="006F61B2">
            <w:pPr>
              <w:pStyle w:val="Paragraphedeliste"/>
              <w:numPr>
                <w:ilvl w:val="0"/>
                <w:numId w:val="36"/>
              </w:numPr>
              <w:ind w:left="175" w:hanging="185"/>
              <w:jc w:val="both"/>
              <w:rPr>
                <w:rFonts w:ascii="Times New Roman" w:hAnsi="Times New Roman" w:cs="Times New Roman"/>
                <w:sz w:val="20"/>
                <w:szCs w:val="20"/>
              </w:rPr>
            </w:pPr>
            <w:r w:rsidRPr="006F61B2">
              <w:rPr>
                <w:rFonts w:ascii="Times New Roman" w:hAnsi="Times New Roman" w:cs="Times New Roman"/>
                <w:sz w:val="20"/>
                <w:szCs w:val="20"/>
              </w:rPr>
              <w:t>Vous trouverez dans ce document :</w:t>
            </w:r>
          </w:p>
          <w:p w:rsidR="00764506" w:rsidRPr="006F61B2" w:rsidRDefault="00764506" w:rsidP="006F61B2">
            <w:pPr>
              <w:pStyle w:val="Paragraphedeliste"/>
              <w:numPr>
                <w:ilvl w:val="0"/>
                <w:numId w:val="37"/>
              </w:numPr>
              <w:ind w:left="884"/>
              <w:jc w:val="both"/>
              <w:rPr>
                <w:rFonts w:ascii="Times New Roman" w:hAnsi="Times New Roman" w:cs="Times New Roman"/>
                <w:sz w:val="20"/>
                <w:szCs w:val="20"/>
              </w:rPr>
            </w:pPr>
            <w:r w:rsidRPr="006F61B2">
              <w:rPr>
                <w:rFonts w:ascii="Times New Roman" w:hAnsi="Times New Roman" w:cs="Times New Roman"/>
                <w:sz w:val="20"/>
                <w:szCs w:val="20"/>
              </w:rPr>
              <w:lastRenderedPageBreak/>
              <w:t xml:space="preserve">les éléments de contexte et de marché qui influent pour la détermination des taux mais également </w:t>
            </w:r>
          </w:p>
          <w:p w:rsidR="00764506" w:rsidRPr="002151A5" w:rsidRDefault="00764506" w:rsidP="006F61B2">
            <w:pPr>
              <w:ind w:left="1167"/>
              <w:contextualSpacing/>
              <w:jc w:val="both"/>
              <w:rPr>
                <w:rFonts w:ascii="Times New Roman" w:hAnsi="Times New Roman" w:cs="Times New Roman"/>
                <w:sz w:val="20"/>
                <w:szCs w:val="20"/>
              </w:rPr>
            </w:pPr>
            <w:r w:rsidRPr="006F61B2">
              <w:rPr>
                <w:rFonts w:ascii="Times New Roman" w:hAnsi="Times New Roman" w:cs="Times New Roman"/>
                <w:sz w:val="20"/>
                <w:szCs w:val="20"/>
              </w:rPr>
              <w:t>un argumentaire client sur le niveau de taux des supports € et les possibilités pour dynamiser la performance des contrats.</w:t>
            </w:r>
          </w:p>
        </w:tc>
      </w:tr>
      <w:tr w:rsidR="00764506" w:rsidRPr="00E81F6E" w:rsidTr="00AF3BE3">
        <w:trPr>
          <w:trHeight w:val="248"/>
        </w:trPr>
        <w:tc>
          <w:tcPr>
            <w:tcW w:w="1560" w:type="dxa"/>
            <w:tcBorders>
              <w:bottom w:val="single" w:sz="4" w:space="0" w:color="auto"/>
            </w:tcBorders>
          </w:tcPr>
          <w:p w:rsidR="00764506" w:rsidRPr="00DF5B29" w:rsidRDefault="00764506" w:rsidP="00764506">
            <w:pPr>
              <w:rPr>
                <w:rFonts w:ascii="Times New Roman" w:hAnsi="Times New Roman" w:cs="Times New Roman"/>
                <w:b/>
                <w:bCs/>
                <w:sz w:val="20"/>
                <w:szCs w:val="20"/>
              </w:rPr>
            </w:pPr>
            <w:r>
              <w:rPr>
                <w:rFonts w:ascii="Times New Roman" w:hAnsi="Times New Roman" w:cs="Times New Roman"/>
                <w:b/>
                <w:bCs/>
                <w:sz w:val="20"/>
                <w:szCs w:val="20"/>
              </w:rPr>
              <w:lastRenderedPageBreak/>
              <w:t xml:space="preserve">Com. DMA </w:t>
            </w:r>
          </w:p>
        </w:tc>
        <w:tc>
          <w:tcPr>
            <w:tcW w:w="1843" w:type="dxa"/>
            <w:tcBorders>
              <w:bottom w:val="single" w:sz="4" w:space="0" w:color="auto"/>
            </w:tcBorders>
          </w:tcPr>
          <w:p w:rsidR="00764506" w:rsidRPr="00DF5B29" w:rsidRDefault="00764506" w:rsidP="00007762">
            <w:pPr>
              <w:pStyle w:val="wordsection1"/>
              <w:spacing w:before="0" w:beforeAutospacing="0" w:after="0" w:afterAutospacing="0"/>
              <w:rPr>
                <w:b/>
                <w:bCs/>
                <w:sz w:val="20"/>
                <w:szCs w:val="20"/>
                <w:highlight w:val="red"/>
              </w:rPr>
            </w:pPr>
            <w:r w:rsidRPr="00764506">
              <w:rPr>
                <w:b/>
                <w:bCs/>
                <w:sz w:val="20"/>
                <w:szCs w:val="20"/>
              </w:rPr>
              <w:t>Position de NATIXIS ASSET MANAGEMENT fasse à l’assignation de l’UFC Que Choisir</w:t>
            </w:r>
          </w:p>
        </w:tc>
        <w:tc>
          <w:tcPr>
            <w:tcW w:w="12332" w:type="dxa"/>
            <w:tcBorders>
              <w:bottom w:val="single" w:sz="4" w:space="0" w:color="auto"/>
            </w:tcBorders>
            <w:shd w:val="clear" w:color="auto" w:fill="auto"/>
          </w:tcPr>
          <w:p w:rsidR="00764506" w:rsidRDefault="00764506" w:rsidP="00764506">
            <w:pPr>
              <w:pStyle w:val="wordsection1"/>
              <w:numPr>
                <w:ilvl w:val="0"/>
                <w:numId w:val="38"/>
              </w:numPr>
              <w:spacing w:before="0" w:beforeAutospacing="0" w:after="0" w:afterAutospacing="0"/>
              <w:ind w:left="187" w:hanging="187"/>
              <w:jc w:val="both"/>
              <w:rPr>
                <w:sz w:val="20"/>
                <w:szCs w:val="20"/>
              </w:rPr>
            </w:pPr>
            <w:r w:rsidRPr="00764506">
              <w:rPr>
                <w:sz w:val="20"/>
                <w:szCs w:val="20"/>
              </w:rPr>
              <w:t xml:space="preserve">Le 5 mars 2018, l’UFC Que choisir a assigné </w:t>
            </w:r>
            <w:proofErr w:type="spellStart"/>
            <w:r w:rsidRPr="00764506">
              <w:rPr>
                <w:sz w:val="20"/>
                <w:szCs w:val="20"/>
              </w:rPr>
              <w:t>Natixis</w:t>
            </w:r>
            <w:proofErr w:type="spellEnd"/>
            <w:r w:rsidRPr="00764506">
              <w:rPr>
                <w:sz w:val="20"/>
                <w:szCs w:val="20"/>
              </w:rPr>
              <w:t xml:space="preserve"> </w:t>
            </w:r>
            <w:proofErr w:type="spellStart"/>
            <w:r w:rsidRPr="00764506">
              <w:rPr>
                <w:sz w:val="20"/>
                <w:szCs w:val="20"/>
              </w:rPr>
              <w:t>Asset</w:t>
            </w:r>
            <w:proofErr w:type="spellEnd"/>
            <w:r w:rsidRPr="00764506">
              <w:rPr>
                <w:sz w:val="20"/>
                <w:szCs w:val="20"/>
              </w:rPr>
              <w:t xml:space="preserve"> Management devant le Tribunal de grande instance de Paris en vue de « l’indemnisation des porteurs de parts au titre du préjudice issu de la sous-valorisation de la valeur liquidative des parts des fonds » à formule concernés par la décision de la Commission des sanctions du 27 juillet 2017.</w:t>
            </w:r>
          </w:p>
          <w:p w:rsidR="00764506" w:rsidRDefault="00764506" w:rsidP="00764506">
            <w:pPr>
              <w:pStyle w:val="wordsection1"/>
              <w:numPr>
                <w:ilvl w:val="0"/>
                <w:numId w:val="38"/>
              </w:numPr>
              <w:spacing w:before="0" w:beforeAutospacing="0" w:after="0" w:afterAutospacing="0"/>
              <w:ind w:left="187" w:hanging="187"/>
              <w:jc w:val="both"/>
              <w:rPr>
                <w:sz w:val="20"/>
                <w:szCs w:val="20"/>
              </w:rPr>
            </w:pPr>
            <w:proofErr w:type="spellStart"/>
            <w:r w:rsidRPr="00764506">
              <w:rPr>
                <w:sz w:val="20"/>
                <w:szCs w:val="20"/>
              </w:rPr>
              <w:t>Natixis</w:t>
            </w:r>
            <w:proofErr w:type="spellEnd"/>
            <w:r w:rsidRPr="00764506">
              <w:rPr>
                <w:sz w:val="20"/>
                <w:szCs w:val="20"/>
              </w:rPr>
              <w:t xml:space="preserve"> </w:t>
            </w:r>
            <w:proofErr w:type="spellStart"/>
            <w:r w:rsidRPr="00764506">
              <w:rPr>
                <w:sz w:val="20"/>
                <w:szCs w:val="20"/>
              </w:rPr>
              <w:t>Asset</w:t>
            </w:r>
            <w:proofErr w:type="spellEnd"/>
            <w:r w:rsidRPr="00764506">
              <w:rPr>
                <w:sz w:val="20"/>
                <w:szCs w:val="20"/>
              </w:rPr>
              <w:t xml:space="preserve"> Management conteste en tout point l’assignation de l’UFC Que Choisir qu’elle considère comme totalement infondée. </w:t>
            </w:r>
          </w:p>
          <w:p w:rsidR="00764506" w:rsidRDefault="00764506" w:rsidP="00764506">
            <w:pPr>
              <w:pStyle w:val="wordsection1"/>
              <w:numPr>
                <w:ilvl w:val="0"/>
                <w:numId w:val="38"/>
              </w:numPr>
              <w:spacing w:before="0" w:beforeAutospacing="0" w:after="0" w:afterAutospacing="0"/>
              <w:ind w:left="187" w:hanging="187"/>
              <w:jc w:val="both"/>
              <w:rPr>
                <w:sz w:val="20"/>
                <w:szCs w:val="20"/>
              </w:rPr>
            </w:pPr>
            <w:r w:rsidRPr="00764506">
              <w:rPr>
                <w:sz w:val="20"/>
                <w:szCs w:val="20"/>
              </w:rPr>
              <w:t xml:space="preserve">Elle rappelle qu’aucun client n’a été lésé. </w:t>
            </w:r>
          </w:p>
          <w:p w:rsidR="00764506" w:rsidRPr="00764506" w:rsidRDefault="00764506" w:rsidP="00764506">
            <w:pPr>
              <w:pStyle w:val="wordsection1"/>
              <w:numPr>
                <w:ilvl w:val="0"/>
                <w:numId w:val="38"/>
              </w:numPr>
              <w:spacing w:before="0" w:beforeAutospacing="0" w:after="0" w:afterAutospacing="0"/>
              <w:ind w:left="187" w:hanging="187"/>
              <w:jc w:val="both"/>
              <w:rPr>
                <w:sz w:val="20"/>
                <w:szCs w:val="20"/>
              </w:rPr>
            </w:pPr>
            <w:proofErr w:type="spellStart"/>
            <w:r w:rsidRPr="00764506">
              <w:rPr>
                <w:sz w:val="20"/>
                <w:szCs w:val="20"/>
              </w:rPr>
              <w:t>Natixis</w:t>
            </w:r>
            <w:proofErr w:type="spellEnd"/>
            <w:r w:rsidRPr="00764506">
              <w:rPr>
                <w:sz w:val="20"/>
                <w:szCs w:val="20"/>
              </w:rPr>
              <w:t xml:space="preserve"> </w:t>
            </w:r>
            <w:proofErr w:type="spellStart"/>
            <w:r w:rsidRPr="00764506">
              <w:rPr>
                <w:sz w:val="20"/>
                <w:szCs w:val="20"/>
              </w:rPr>
              <w:t>Asset</w:t>
            </w:r>
            <w:proofErr w:type="spellEnd"/>
            <w:r w:rsidRPr="00764506">
              <w:rPr>
                <w:sz w:val="20"/>
                <w:szCs w:val="20"/>
              </w:rPr>
              <w:t xml:space="preserve"> Management rappelle par ailleurs que les clients ayant investi dans les fonds à formule n’ont subi aucun préjudice et ont été informés dans le respect des règles en vigueur :</w:t>
            </w:r>
          </w:p>
          <w:p w:rsidR="00764506" w:rsidRPr="00764506" w:rsidRDefault="00764506" w:rsidP="00764506">
            <w:pPr>
              <w:pStyle w:val="wordsection1"/>
              <w:numPr>
                <w:ilvl w:val="0"/>
                <w:numId w:val="40"/>
              </w:numPr>
              <w:spacing w:before="0" w:beforeAutospacing="0" w:after="0" w:afterAutospacing="0"/>
              <w:jc w:val="both"/>
              <w:rPr>
                <w:sz w:val="20"/>
                <w:szCs w:val="20"/>
              </w:rPr>
            </w:pPr>
            <w:r w:rsidRPr="00764506">
              <w:rPr>
                <w:sz w:val="20"/>
                <w:szCs w:val="20"/>
              </w:rPr>
              <w:t xml:space="preserve">de la performance résultant de la formule affichée dans la documentation règlementaire et commerciale qui a toujours été délivrée ; </w:t>
            </w:r>
          </w:p>
          <w:p w:rsidR="00764506" w:rsidRPr="00764506" w:rsidRDefault="00764506" w:rsidP="00764506">
            <w:pPr>
              <w:pStyle w:val="wordsection1"/>
              <w:numPr>
                <w:ilvl w:val="0"/>
                <w:numId w:val="40"/>
              </w:numPr>
              <w:spacing w:before="0" w:beforeAutospacing="0" w:after="0" w:afterAutospacing="0"/>
              <w:jc w:val="both"/>
              <w:rPr>
                <w:sz w:val="20"/>
                <w:szCs w:val="20"/>
              </w:rPr>
            </w:pPr>
            <w:r w:rsidRPr="00764506">
              <w:rPr>
                <w:sz w:val="20"/>
                <w:szCs w:val="20"/>
              </w:rPr>
              <w:t>et des taux de frais de gestion maximum indiqués dans les prospectus, scrupuleusement respectés sur la durée des formules ;</w:t>
            </w:r>
          </w:p>
          <w:p w:rsidR="00764506" w:rsidRPr="00764506" w:rsidRDefault="00764506" w:rsidP="00764506">
            <w:pPr>
              <w:pStyle w:val="wordsection1"/>
              <w:numPr>
                <w:ilvl w:val="0"/>
                <w:numId w:val="38"/>
              </w:numPr>
              <w:spacing w:before="0" w:beforeAutospacing="0" w:after="0" w:afterAutospacing="0"/>
              <w:ind w:left="187" w:hanging="187"/>
              <w:jc w:val="both"/>
              <w:rPr>
                <w:sz w:val="20"/>
                <w:szCs w:val="20"/>
              </w:rPr>
            </w:pPr>
            <w:proofErr w:type="spellStart"/>
            <w:r w:rsidRPr="00764506">
              <w:rPr>
                <w:sz w:val="20"/>
                <w:szCs w:val="20"/>
              </w:rPr>
              <w:t>Natixis</w:t>
            </w:r>
            <w:proofErr w:type="spellEnd"/>
            <w:r w:rsidRPr="00764506">
              <w:rPr>
                <w:sz w:val="20"/>
                <w:szCs w:val="20"/>
              </w:rPr>
              <w:t xml:space="preserve"> </w:t>
            </w:r>
            <w:proofErr w:type="spellStart"/>
            <w:r w:rsidRPr="00764506">
              <w:rPr>
                <w:sz w:val="20"/>
                <w:szCs w:val="20"/>
              </w:rPr>
              <w:t>Asset</w:t>
            </w:r>
            <w:proofErr w:type="spellEnd"/>
            <w:r w:rsidRPr="00764506">
              <w:rPr>
                <w:sz w:val="20"/>
                <w:szCs w:val="20"/>
              </w:rPr>
              <w:t xml:space="preserve"> Management reste déterminée à prouver le bien-fondé de ses pratiques, sa bonne foi et la qualité de ses gestions et de ses équipes.</w:t>
            </w:r>
          </w:p>
          <w:p w:rsidR="00764506" w:rsidRPr="00764506" w:rsidRDefault="00764506" w:rsidP="00764506">
            <w:pPr>
              <w:pStyle w:val="wordsection1"/>
              <w:spacing w:before="0" w:beforeAutospacing="0" w:after="0" w:afterAutospacing="0"/>
              <w:ind w:left="187"/>
              <w:jc w:val="both"/>
              <w:rPr>
                <w:sz w:val="20"/>
                <w:szCs w:val="20"/>
              </w:rPr>
            </w:pPr>
            <w:r w:rsidRPr="00764506">
              <w:rPr>
                <w:sz w:val="20"/>
                <w:szCs w:val="20"/>
              </w:rPr>
              <w:t>Elle a en ce sens fait appel de la décision de la Commission des sanctions devant le Conseil d’État.</w:t>
            </w:r>
          </w:p>
          <w:p w:rsidR="000341C5" w:rsidRPr="000341C5" w:rsidRDefault="000341C5" w:rsidP="000341C5">
            <w:pPr>
              <w:pStyle w:val="wordsection1"/>
              <w:spacing w:before="0" w:beforeAutospacing="0" w:after="0" w:afterAutospacing="0"/>
              <w:ind w:left="187"/>
              <w:jc w:val="both"/>
              <w:rPr>
                <w:sz w:val="6"/>
                <w:szCs w:val="20"/>
              </w:rPr>
            </w:pPr>
          </w:p>
          <w:p w:rsidR="00764506" w:rsidRPr="00764506" w:rsidRDefault="00764506" w:rsidP="00764506">
            <w:pPr>
              <w:pStyle w:val="wordsection1"/>
              <w:numPr>
                <w:ilvl w:val="0"/>
                <w:numId w:val="38"/>
              </w:numPr>
              <w:spacing w:before="0" w:beforeAutospacing="0" w:after="0" w:afterAutospacing="0"/>
              <w:ind w:left="187" w:hanging="187"/>
              <w:jc w:val="both"/>
              <w:rPr>
                <w:sz w:val="20"/>
                <w:szCs w:val="20"/>
              </w:rPr>
            </w:pPr>
            <w:r w:rsidRPr="00764506">
              <w:rPr>
                <w:sz w:val="20"/>
                <w:szCs w:val="20"/>
              </w:rPr>
              <w:t>Les réclamations des clients pour lesquelles l’argumentation ci-dessus s’avérerait insuffisante sont à remonter au SRC</w:t>
            </w:r>
          </w:p>
          <w:p w:rsidR="00764506" w:rsidRPr="00DF5B29" w:rsidRDefault="00764506" w:rsidP="00764506">
            <w:pPr>
              <w:pStyle w:val="wordsection1"/>
              <w:spacing w:before="0" w:beforeAutospacing="0" w:after="0" w:afterAutospacing="0"/>
              <w:rPr>
                <w:sz w:val="20"/>
                <w:szCs w:val="20"/>
              </w:rPr>
            </w:pPr>
          </w:p>
        </w:tc>
      </w:tr>
      <w:tr w:rsidR="00764506" w:rsidRPr="00E81F6E" w:rsidTr="00AF3BE3">
        <w:trPr>
          <w:trHeight w:val="248"/>
        </w:trPr>
        <w:tc>
          <w:tcPr>
            <w:tcW w:w="1560" w:type="dxa"/>
            <w:tcBorders>
              <w:bottom w:val="single" w:sz="4" w:space="0" w:color="auto"/>
            </w:tcBorders>
          </w:tcPr>
          <w:p w:rsidR="00764506" w:rsidRDefault="00764506">
            <w:r w:rsidRPr="00D12B0E">
              <w:rPr>
                <w:rFonts w:ascii="Times New Roman" w:hAnsi="Times New Roman" w:cs="Times New Roman"/>
                <w:b/>
                <w:bCs/>
                <w:sz w:val="20"/>
                <w:szCs w:val="20"/>
              </w:rPr>
              <w:t>Com. DMA</w:t>
            </w:r>
          </w:p>
        </w:tc>
        <w:tc>
          <w:tcPr>
            <w:tcW w:w="1843" w:type="dxa"/>
            <w:tcBorders>
              <w:bottom w:val="single" w:sz="4" w:space="0" w:color="auto"/>
            </w:tcBorders>
          </w:tcPr>
          <w:p w:rsidR="00764506" w:rsidRPr="00DF5B29" w:rsidRDefault="00764506" w:rsidP="00007762">
            <w:pPr>
              <w:pStyle w:val="wordsection1"/>
              <w:spacing w:before="0" w:beforeAutospacing="0" w:after="0" w:afterAutospacing="0"/>
              <w:rPr>
                <w:b/>
                <w:bCs/>
                <w:sz w:val="20"/>
                <w:szCs w:val="20"/>
                <w:highlight w:val="red"/>
              </w:rPr>
            </w:pPr>
            <w:r>
              <w:rPr>
                <w:b/>
                <w:bCs/>
                <w:sz w:val="20"/>
                <w:szCs w:val="20"/>
              </w:rPr>
              <w:t>CNP : Dématérialisation des relations contractuelles à compter du 1</w:t>
            </w:r>
            <w:r>
              <w:rPr>
                <w:b/>
                <w:bCs/>
                <w:sz w:val="20"/>
                <w:szCs w:val="20"/>
                <w:vertAlign w:val="superscript"/>
              </w:rPr>
              <w:t>er</w:t>
            </w:r>
            <w:r>
              <w:rPr>
                <w:b/>
                <w:bCs/>
                <w:sz w:val="20"/>
                <w:szCs w:val="20"/>
              </w:rPr>
              <w:t xml:space="preserve"> avril 2018</w:t>
            </w:r>
          </w:p>
        </w:tc>
        <w:tc>
          <w:tcPr>
            <w:tcW w:w="12332" w:type="dxa"/>
            <w:tcBorders>
              <w:bottom w:val="single" w:sz="4" w:space="0" w:color="auto"/>
            </w:tcBorders>
            <w:shd w:val="clear" w:color="auto" w:fill="auto"/>
          </w:tcPr>
          <w:p w:rsidR="00764506" w:rsidRPr="00764506" w:rsidRDefault="00764506" w:rsidP="00600E07">
            <w:pPr>
              <w:pStyle w:val="wordsection1"/>
              <w:numPr>
                <w:ilvl w:val="0"/>
                <w:numId w:val="38"/>
              </w:numPr>
              <w:spacing w:before="0" w:beforeAutospacing="0" w:after="0" w:afterAutospacing="0"/>
              <w:ind w:left="187" w:hanging="187"/>
              <w:jc w:val="both"/>
              <w:rPr>
                <w:sz w:val="20"/>
                <w:szCs w:val="20"/>
              </w:rPr>
            </w:pPr>
            <w:r w:rsidRPr="00764506">
              <w:rPr>
                <w:sz w:val="20"/>
                <w:szCs w:val="20"/>
              </w:rPr>
              <w:t>Désormais et sous réserve que la situation est bien adaptée au client (adresse mail valide, une connexion au moins une fois dans l’année…), les documents relatifs aux contrats d’assurance CNP Assurances ne seront plus transmis par courrier postal mais seront mis à disposition sur « </w:t>
            </w:r>
            <w:r w:rsidRPr="00764506">
              <w:rPr>
                <w:b/>
                <w:bCs/>
                <w:sz w:val="20"/>
                <w:szCs w:val="20"/>
              </w:rPr>
              <w:t>l’espace personnel Assurance</w:t>
            </w:r>
            <w:r w:rsidRPr="00764506">
              <w:rPr>
                <w:sz w:val="20"/>
                <w:szCs w:val="20"/>
              </w:rPr>
              <w:t> » du site sécurisé Caisse d’</w:t>
            </w:r>
            <w:proofErr w:type="spellStart"/>
            <w:r w:rsidRPr="00764506">
              <w:rPr>
                <w:sz w:val="20"/>
                <w:szCs w:val="20"/>
              </w:rPr>
              <w:t>Epargne</w:t>
            </w:r>
            <w:proofErr w:type="spellEnd"/>
            <w:r w:rsidRPr="00764506">
              <w:rPr>
                <w:sz w:val="20"/>
                <w:szCs w:val="20"/>
              </w:rPr>
              <w:t xml:space="preserve">. </w:t>
            </w:r>
          </w:p>
          <w:p w:rsidR="00764506" w:rsidRDefault="00764506" w:rsidP="00600E07">
            <w:pPr>
              <w:pStyle w:val="wordsection1"/>
              <w:numPr>
                <w:ilvl w:val="0"/>
                <w:numId w:val="38"/>
              </w:numPr>
              <w:spacing w:before="0" w:beforeAutospacing="0" w:after="0" w:afterAutospacing="0"/>
              <w:ind w:left="187" w:hanging="187"/>
              <w:jc w:val="both"/>
              <w:rPr>
                <w:sz w:val="20"/>
                <w:szCs w:val="20"/>
              </w:rPr>
            </w:pPr>
            <w:r>
              <w:rPr>
                <w:sz w:val="20"/>
                <w:szCs w:val="20"/>
              </w:rPr>
              <w:t>Tous nos clients assurés CNP Assurances ont été informés du passage à la « dématérialisation » par le biais des Bulletins de Situation au 31 décembre 2017.</w:t>
            </w:r>
          </w:p>
          <w:p w:rsidR="00764506" w:rsidRDefault="00764506" w:rsidP="00600E07">
            <w:pPr>
              <w:pStyle w:val="wordsection1"/>
              <w:numPr>
                <w:ilvl w:val="0"/>
                <w:numId w:val="38"/>
              </w:numPr>
              <w:spacing w:before="0" w:beforeAutospacing="0" w:after="0" w:afterAutospacing="0"/>
              <w:ind w:left="187" w:hanging="187"/>
              <w:jc w:val="both"/>
              <w:rPr>
                <w:sz w:val="20"/>
                <w:szCs w:val="20"/>
              </w:rPr>
            </w:pPr>
            <w:r>
              <w:rPr>
                <w:sz w:val="20"/>
                <w:szCs w:val="20"/>
              </w:rPr>
              <w:t xml:space="preserve">Les clients peuvent néanmoins choisir de continuer à recevoir leurs documents sous format papier en se connectant sur le site </w:t>
            </w:r>
            <w:hyperlink r:id="rId18" w:tgtFrame="_blank" w:history="1">
              <w:r w:rsidRPr="007C6443">
                <w:rPr>
                  <w:rStyle w:val="Lienhypertexte"/>
                  <w:b/>
                  <w:bCs/>
                  <w:sz w:val="20"/>
                  <w:szCs w:val="20"/>
                  <w:bdr w:val="none" w:sz="0" w:space="0" w:color="auto" w:frame="1"/>
                </w:rPr>
                <w:t>marelationcnpassurances.cnp.fr</w:t>
              </w:r>
            </w:hyperlink>
            <w:r w:rsidRPr="007C6443">
              <w:rPr>
                <w:color w:val="393F49"/>
                <w:sz w:val="20"/>
                <w:szCs w:val="20"/>
              </w:rPr>
              <w:t xml:space="preserve">. </w:t>
            </w:r>
            <w:r w:rsidRPr="007C6443">
              <w:rPr>
                <w:sz w:val="20"/>
                <w:szCs w:val="20"/>
              </w:rPr>
              <w:t>À n’importe</w:t>
            </w:r>
            <w:r>
              <w:rPr>
                <w:sz w:val="20"/>
                <w:szCs w:val="20"/>
              </w:rPr>
              <w:t xml:space="preserve"> quel moment et sans coût supplémentaire, ils peuvent modifier le mode de réception de leurs documents, soit au format papier, soit au format numérique.</w:t>
            </w:r>
          </w:p>
          <w:p w:rsidR="00764506" w:rsidRPr="00DF5B29" w:rsidRDefault="00764506" w:rsidP="00622EC9">
            <w:pPr>
              <w:pStyle w:val="wordsection1"/>
              <w:numPr>
                <w:ilvl w:val="0"/>
                <w:numId w:val="38"/>
              </w:numPr>
              <w:spacing w:before="0" w:beforeAutospacing="0" w:after="0" w:afterAutospacing="0"/>
              <w:ind w:left="187" w:hanging="187"/>
              <w:rPr>
                <w:sz w:val="20"/>
                <w:szCs w:val="20"/>
              </w:rPr>
            </w:pPr>
            <w:r>
              <w:rPr>
                <w:sz w:val="20"/>
                <w:szCs w:val="20"/>
              </w:rPr>
              <w:t xml:space="preserve">Retrouvez tous les détails sur le Flash Info n°12 dans la Rubrique des Commerciaux &gt; Particuliers &gt; </w:t>
            </w:r>
            <w:proofErr w:type="spellStart"/>
            <w:r>
              <w:rPr>
                <w:sz w:val="20"/>
                <w:szCs w:val="20"/>
              </w:rPr>
              <w:t>Epargne</w:t>
            </w:r>
            <w:proofErr w:type="spellEnd"/>
            <w:r>
              <w:rPr>
                <w:sz w:val="20"/>
                <w:szCs w:val="20"/>
              </w:rPr>
              <w:t xml:space="preserve"> &gt; Assurance Vie ou en cliquant </w:t>
            </w:r>
            <w:hyperlink r:id="rId19" w:history="1">
              <w:r>
                <w:rPr>
                  <w:rStyle w:val="Lienhypertexte"/>
                  <w:sz w:val="20"/>
                  <w:szCs w:val="20"/>
                </w:rPr>
                <w:t>ICI</w:t>
              </w:r>
            </w:hyperlink>
          </w:p>
        </w:tc>
      </w:tr>
      <w:tr w:rsidR="00764506" w:rsidRPr="00E81F6E" w:rsidTr="00AF3BE3">
        <w:trPr>
          <w:trHeight w:val="248"/>
        </w:trPr>
        <w:tc>
          <w:tcPr>
            <w:tcW w:w="1560" w:type="dxa"/>
            <w:tcBorders>
              <w:bottom w:val="single" w:sz="4" w:space="0" w:color="auto"/>
            </w:tcBorders>
          </w:tcPr>
          <w:p w:rsidR="00764506" w:rsidRDefault="00764506">
            <w:r w:rsidRPr="00D12B0E">
              <w:rPr>
                <w:rFonts w:ascii="Times New Roman" w:hAnsi="Times New Roman" w:cs="Times New Roman"/>
                <w:b/>
                <w:bCs/>
                <w:sz w:val="20"/>
                <w:szCs w:val="20"/>
              </w:rPr>
              <w:t>Com. DMA</w:t>
            </w:r>
          </w:p>
        </w:tc>
        <w:tc>
          <w:tcPr>
            <w:tcW w:w="1843" w:type="dxa"/>
            <w:tcBorders>
              <w:bottom w:val="single" w:sz="4" w:space="0" w:color="auto"/>
            </w:tcBorders>
          </w:tcPr>
          <w:p w:rsidR="00764506" w:rsidRPr="00DF5B29" w:rsidRDefault="00764506" w:rsidP="00007762">
            <w:pPr>
              <w:pStyle w:val="wordsection1"/>
              <w:spacing w:before="0" w:beforeAutospacing="0" w:after="0" w:afterAutospacing="0"/>
              <w:rPr>
                <w:b/>
                <w:bCs/>
                <w:sz w:val="20"/>
                <w:szCs w:val="20"/>
                <w:highlight w:val="red"/>
              </w:rPr>
            </w:pPr>
            <w:r>
              <w:rPr>
                <w:b/>
                <w:bCs/>
                <w:sz w:val="20"/>
                <w:szCs w:val="20"/>
              </w:rPr>
              <w:t xml:space="preserve">PUMA : </w:t>
            </w:r>
            <w:proofErr w:type="spellStart"/>
            <w:r>
              <w:rPr>
                <w:b/>
                <w:bCs/>
                <w:sz w:val="20"/>
                <w:szCs w:val="20"/>
              </w:rPr>
              <w:t>Evolutions</w:t>
            </w:r>
            <w:proofErr w:type="spellEnd"/>
            <w:r>
              <w:rPr>
                <w:b/>
                <w:bCs/>
                <w:sz w:val="20"/>
                <w:szCs w:val="20"/>
              </w:rPr>
              <w:t xml:space="preserve"> et améliorations Interfaces métier</w:t>
            </w:r>
          </w:p>
        </w:tc>
        <w:tc>
          <w:tcPr>
            <w:tcW w:w="12332" w:type="dxa"/>
            <w:tcBorders>
              <w:bottom w:val="single" w:sz="4" w:space="0" w:color="auto"/>
            </w:tcBorders>
            <w:shd w:val="clear" w:color="auto" w:fill="auto"/>
          </w:tcPr>
          <w:p w:rsidR="00764506" w:rsidRDefault="00764506" w:rsidP="00622EC9">
            <w:pPr>
              <w:pStyle w:val="wordsection1"/>
              <w:numPr>
                <w:ilvl w:val="0"/>
                <w:numId w:val="38"/>
              </w:numPr>
              <w:spacing w:before="0" w:beforeAutospacing="0" w:after="0" w:afterAutospacing="0"/>
              <w:ind w:left="187" w:hanging="187"/>
              <w:rPr>
                <w:sz w:val="20"/>
                <w:szCs w:val="20"/>
              </w:rPr>
            </w:pPr>
            <w:r>
              <w:rPr>
                <w:sz w:val="20"/>
                <w:szCs w:val="20"/>
              </w:rPr>
              <w:t>La montée de version PUMA du 12 mars vient compléter les informations déjà présentes sur les contrats</w:t>
            </w:r>
            <w:r>
              <w:rPr>
                <w:color w:val="1F497D"/>
                <w:sz w:val="20"/>
                <w:szCs w:val="20"/>
              </w:rPr>
              <w:t xml:space="preserve"> CNP</w:t>
            </w:r>
            <w:r>
              <w:rPr>
                <w:sz w:val="20"/>
                <w:szCs w:val="20"/>
              </w:rPr>
              <w:t xml:space="preserve"> détenus par nos clients.</w:t>
            </w:r>
          </w:p>
          <w:p w:rsidR="00764506" w:rsidRDefault="00764506" w:rsidP="00622EC9">
            <w:pPr>
              <w:pStyle w:val="wordsection1"/>
              <w:numPr>
                <w:ilvl w:val="0"/>
                <w:numId w:val="38"/>
              </w:numPr>
              <w:spacing w:before="0" w:beforeAutospacing="0" w:after="0" w:afterAutospacing="0"/>
              <w:ind w:left="187" w:hanging="187"/>
              <w:rPr>
                <w:sz w:val="20"/>
                <w:szCs w:val="20"/>
              </w:rPr>
            </w:pPr>
            <w:r>
              <w:rPr>
                <w:sz w:val="20"/>
                <w:szCs w:val="20"/>
              </w:rPr>
              <w:t>Nous pouvons à présent :</w:t>
            </w:r>
          </w:p>
          <w:p w:rsidR="00764506" w:rsidRDefault="00764506" w:rsidP="00622EC9">
            <w:pPr>
              <w:pStyle w:val="wordsection1"/>
              <w:numPr>
                <w:ilvl w:val="0"/>
                <w:numId w:val="40"/>
              </w:numPr>
              <w:spacing w:before="0" w:beforeAutospacing="0" w:after="0" w:afterAutospacing="0"/>
              <w:rPr>
                <w:sz w:val="20"/>
                <w:szCs w:val="20"/>
              </w:rPr>
            </w:pPr>
            <w:r>
              <w:rPr>
                <w:sz w:val="20"/>
                <w:szCs w:val="20"/>
              </w:rPr>
              <w:t>Visualiser l'intégralité des opérations effectuées sur un contrat dans l'historique sans avoir à sélectionner année par année.</w:t>
            </w:r>
          </w:p>
          <w:p w:rsidR="00764506" w:rsidRDefault="00764506" w:rsidP="00622EC9">
            <w:pPr>
              <w:pStyle w:val="wordsection1"/>
              <w:numPr>
                <w:ilvl w:val="0"/>
                <w:numId w:val="40"/>
              </w:numPr>
              <w:spacing w:before="0" w:beforeAutospacing="0" w:after="0" w:afterAutospacing="0"/>
              <w:rPr>
                <w:color w:val="1F497D"/>
                <w:sz w:val="20"/>
                <w:szCs w:val="20"/>
              </w:rPr>
            </w:pPr>
            <w:r>
              <w:rPr>
                <w:sz w:val="20"/>
                <w:szCs w:val="20"/>
              </w:rPr>
              <w:t xml:space="preserve">Consulter un Transfert </w:t>
            </w:r>
            <w:proofErr w:type="spellStart"/>
            <w:r>
              <w:rPr>
                <w:sz w:val="20"/>
                <w:szCs w:val="20"/>
              </w:rPr>
              <w:t>Fourgous</w:t>
            </w:r>
            <w:proofErr w:type="spellEnd"/>
            <w:r>
              <w:rPr>
                <w:sz w:val="20"/>
                <w:szCs w:val="20"/>
              </w:rPr>
              <w:t xml:space="preserve"> : Afficher les informations sur l’origine du versement initial (Nuances Privilège et Aïkido).</w:t>
            </w:r>
          </w:p>
          <w:p w:rsidR="00764506" w:rsidRPr="00DF5B29" w:rsidRDefault="00764506" w:rsidP="00622EC9">
            <w:pPr>
              <w:pStyle w:val="wordsection1"/>
              <w:numPr>
                <w:ilvl w:val="0"/>
                <w:numId w:val="38"/>
              </w:numPr>
              <w:spacing w:before="0" w:beforeAutospacing="0" w:after="0" w:afterAutospacing="0"/>
              <w:ind w:left="187" w:hanging="187"/>
              <w:rPr>
                <w:sz w:val="20"/>
                <w:szCs w:val="20"/>
              </w:rPr>
            </w:pPr>
            <w:r>
              <w:rPr>
                <w:sz w:val="20"/>
                <w:szCs w:val="20"/>
              </w:rPr>
              <w:t>Visualiser le code ISIN des supports avec l’ajout d’une nouvelle colonne « Code ISIN ».</w:t>
            </w:r>
          </w:p>
        </w:tc>
      </w:tr>
      <w:tr w:rsidR="00764506" w:rsidRPr="00E81F6E" w:rsidTr="0098174C">
        <w:trPr>
          <w:trHeight w:val="248"/>
        </w:trPr>
        <w:tc>
          <w:tcPr>
            <w:tcW w:w="15735" w:type="dxa"/>
            <w:gridSpan w:val="3"/>
            <w:tcBorders>
              <w:bottom w:val="single" w:sz="4" w:space="0" w:color="auto"/>
            </w:tcBorders>
            <w:shd w:val="clear" w:color="auto" w:fill="BFBFBF" w:themeFill="background1" w:themeFillShade="BF"/>
          </w:tcPr>
          <w:p w:rsidR="00764506" w:rsidRPr="00317E86" w:rsidRDefault="00764506"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p>
        </w:tc>
      </w:tr>
      <w:tr w:rsidR="00764506" w:rsidRPr="00E81F6E" w:rsidTr="0030397F">
        <w:trPr>
          <w:trHeight w:val="248"/>
        </w:trPr>
        <w:tc>
          <w:tcPr>
            <w:tcW w:w="1560" w:type="dxa"/>
            <w:tcBorders>
              <w:bottom w:val="single" w:sz="4" w:space="0" w:color="auto"/>
            </w:tcBorders>
          </w:tcPr>
          <w:p w:rsidR="00764506" w:rsidRPr="004628C0" w:rsidRDefault="00764506" w:rsidP="006A77EF">
            <w:pPr>
              <w:rPr>
                <w:rFonts w:ascii="Times New Roman" w:hAnsi="Times New Roman" w:cs="Times New Roman"/>
                <w:b/>
                <w:bCs/>
                <w:sz w:val="20"/>
                <w:szCs w:val="20"/>
              </w:rPr>
            </w:pPr>
            <w:r w:rsidRPr="004628C0">
              <w:rPr>
                <w:rFonts w:ascii="Times New Roman" w:hAnsi="Times New Roman" w:cs="Times New Roman"/>
                <w:b/>
                <w:bCs/>
                <w:sz w:val="20"/>
                <w:szCs w:val="20"/>
              </w:rPr>
              <w:t>Com. DMA</w:t>
            </w:r>
          </w:p>
        </w:tc>
        <w:tc>
          <w:tcPr>
            <w:tcW w:w="1843" w:type="dxa"/>
            <w:tcBorders>
              <w:bottom w:val="single" w:sz="4" w:space="0" w:color="auto"/>
            </w:tcBorders>
          </w:tcPr>
          <w:p w:rsidR="00764506" w:rsidRPr="004628C0" w:rsidRDefault="00764506" w:rsidP="006A77EF">
            <w:pPr>
              <w:rPr>
                <w:rFonts w:ascii="Times New Roman" w:hAnsi="Times New Roman" w:cs="Times New Roman"/>
                <w:b/>
                <w:bCs/>
                <w:sz w:val="20"/>
                <w:szCs w:val="20"/>
              </w:rPr>
            </w:pPr>
            <w:r>
              <w:rPr>
                <w:rFonts w:ascii="Times New Roman" w:hAnsi="Times New Roman" w:cs="Times New Roman"/>
                <w:b/>
                <w:bCs/>
                <w:sz w:val="20"/>
                <w:szCs w:val="20"/>
              </w:rPr>
              <w:t>Étape « Coup de poing » N°2</w:t>
            </w:r>
          </w:p>
        </w:tc>
        <w:tc>
          <w:tcPr>
            <w:tcW w:w="12332" w:type="dxa"/>
            <w:tcBorders>
              <w:bottom w:val="single" w:sz="4" w:space="0" w:color="auto"/>
            </w:tcBorders>
            <w:shd w:val="clear" w:color="auto" w:fill="auto"/>
          </w:tcPr>
          <w:p w:rsidR="00764506" w:rsidRPr="00926ACD" w:rsidRDefault="00764506" w:rsidP="006F61B2">
            <w:pPr>
              <w:numPr>
                <w:ilvl w:val="0"/>
                <w:numId w:val="15"/>
              </w:numPr>
              <w:ind w:left="176" w:hanging="176"/>
              <w:contextualSpacing/>
              <w:jc w:val="both"/>
              <w:rPr>
                <w:rFonts w:ascii="Times New Roman" w:hAnsi="Times New Roman" w:cs="Times New Roman"/>
                <w:sz w:val="20"/>
                <w:szCs w:val="20"/>
              </w:rPr>
            </w:pPr>
            <w:r w:rsidRPr="00926ACD">
              <w:rPr>
                <w:rFonts w:ascii="Times New Roman" w:hAnsi="Times New Roman" w:cs="Times New Roman"/>
                <w:sz w:val="20"/>
                <w:szCs w:val="20"/>
              </w:rPr>
              <w:t>Après l’Assurance-Vie, cap sur la BANCARISATION (forfaits) et les assurances IARD/PREVOYANCE du 5 mars au 28 avril 2018 ! Découvrez toutes les opportunités à exploiter dans l’HDJ du 1</w:t>
            </w:r>
            <w:r w:rsidRPr="00926ACD">
              <w:rPr>
                <w:rFonts w:ascii="Times New Roman" w:hAnsi="Times New Roman" w:cs="Times New Roman"/>
                <w:sz w:val="20"/>
                <w:szCs w:val="20"/>
                <w:vertAlign w:val="superscript"/>
              </w:rPr>
              <w:t>er</w:t>
            </w:r>
            <w:r>
              <w:rPr>
                <w:rFonts w:ascii="Times New Roman" w:hAnsi="Times New Roman" w:cs="Times New Roman"/>
                <w:sz w:val="20"/>
                <w:szCs w:val="20"/>
              </w:rPr>
              <w:t xml:space="preserve"> </w:t>
            </w:r>
            <w:r w:rsidRPr="00926ACD">
              <w:rPr>
                <w:rFonts w:ascii="Times New Roman" w:hAnsi="Times New Roman" w:cs="Times New Roman"/>
                <w:sz w:val="20"/>
                <w:szCs w:val="20"/>
              </w:rPr>
              <w:t>mars disponible dans la Rubrique des Commerciaux (</w:t>
            </w:r>
            <w:r w:rsidRPr="00926ACD">
              <w:rPr>
                <w:rStyle w:val="Lienhypertexte"/>
                <w:rFonts w:ascii="Times New Roman" w:hAnsi="Times New Roman" w:cs="Times New Roman"/>
                <w:sz w:val="20"/>
                <w:szCs w:val="20"/>
              </w:rPr>
              <w:t>CLIQUEZ ICI</w:t>
            </w:r>
            <w:r w:rsidRPr="00926ACD">
              <w:rPr>
                <w:rFonts w:ascii="Times New Roman" w:hAnsi="Times New Roman" w:cs="Times New Roman"/>
                <w:sz w:val="20"/>
                <w:szCs w:val="20"/>
              </w:rPr>
              <w:t xml:space="preserve"> pour y accéder).</w:t>
            </w:r>
          </w:p>
        </w:tc>
      </w:tr>
      <w:tr w:rsidR="00764506" w:rsidRPr="00E81F6E" w:rsidTr="0030397F">
        <w:trPr>
          <w:trHeight w:val="248"/>
        </w:trPr>
        <w:tc>
          <w:tcPr>
            <w:tcW w:w="1560" w:type="dxa"/>
            <w:tcBorders>
              <w:bottom w:val="single" w:sz="4" w:space="0" w:color="auto"/>
            </w:tcBorders>
          </w:tcPr>
          <w:p w:rsidR="00764506" w:rsidRPr="004628C0" w:rsidRDefault="00764506" w:rsidP="006A77EF">
            <w:pPr>
              <w:rPr>
                <w:rFonts w:ascii="Times New Roman" w:hAnsi="Times New Roman" w:cs="Times New Roman"/>
                <w:b/>
                <w:bCs/>
                <w:sz w:val="20"/>
                <w:szCs w:val="20"/>
              </w:rPr>
            </w:pPr>
            <w:r w:rsidRPr="004628C0">
              <w:rPr>
                <w:rFonts w:ascii="Times New Roman" w:hAnsi="Times New Roman" w:cs="Times New Roman"/>
                <w:b/>
                <w:bCs/>
                <w:sz w:val="20"/>
                <w:szCs w:val="20"/>
              </w:rPr>
              <w:t>Com. DMA</w:t>
            </w:r>
          </w:p>
        </w:tc>
        <w:tc>
          <w:tcPr>
            <w:tcW w:w="1843" w:type="dxa"/>
            <w:tcBorders>
              <w:bottom w:val="single" w:sz="4" w:space="0" w:color="auto"/>
            </w:tcBorders>
          </w:tcPr>
          <w:p w:rsidR="00764506" w:rsidRDefault="00764506" w:rsidP="006A77EF">
            <w:pPr>
              <w:rPr>
                <w:rFonts w:ascii="Times New Roman" w:hAnsi="Times New Roman" w:cs="Times New Roman"/>
                <w:b/>
                <w:bCs/>
                <w:sz w:val="20"/>
                <w:szCs w:val="20"/>
              </w:rPr>
            </w:pPr>
            <w:r>
              <w:rPr>
                <w:rFonts w:ascii="Times New Roman" w:hAnsi="Times New Roman" w:cs="Times New Roman"/>
                <w:b/>
                <w:bCs/>
                <w:sz w:val="20"/>
                <w:szCs w:val="20"/>
              </w:rPr>
              <w:t>Mobilité Bancaire</w:t>
            </w:r>
          </w:p>
        </w:tc>
        <w:tc>
          <w:tcPr>
            <w:tcW w:w="12332" w:type="dxa"/>
            <w:tcBorders>
              <w:bottom w:val="single" w:sz="4" w:space="0" w:color="auto"/>
            </w:tcBorders>
            <w:shd w:val="clear" w:color="auto" w:fill="auto"/>
          </w:tcPr>
          <w:p w:rsidR="00764506" w:rsidRDefault="00764506" w:rsidP="009E543D">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Le déséquilibre entre les arrivées et les départs perdure depuis le mois de janvier avec en moyenne hebdomadaire 130 arrivées pour 200 départs</w:t>
            </w:r>
            <w:r w:rsidRPr="009E543D">
              <w:rPr>
                <w:rFonts w:ascii="Times New Roman" w:hAnsi="Times New Roman" w:cs="Times New Roman"/>
                <w:sz w:val="20"/>
                <w:szCs w:val="20"/>
              </w:rPr>
              <w:t xml:space="preserve">. </w:t>
            </w:r>
            <w:r w:rsidRPr="009E543D">
              <w:rPr>
                <w:rFonts w:ascii="Times New Roman" w:hAnsi="Times New Roman" w:cs="Times New Roman"/>
                <w:b/>
                <w:sz w:val="20"/>
                <w:szCs w:val="20"/>
              </w:rPr>
              <w:t>La</w:t>
            </w:r>
            <w:r w:rsidRPr="009E543D">
              <w:rPr>
                <w:rFonts w:ascii="Times New Roman" w:hAnsi="Times New Roman" w:cs="Times New Roman"/>
                <w:sz w:val="20"/>
                <w:szCs w:val="20"/>
              </w:rPr>
              <w:t xml:space="preserve"> </w:t>
            </w:r>
            <w:r w:rsidRPr="009E543D">
              <w:rPr>
                <w:rFonts w:ascii="Times New Roman" w:hAnsi="Times New Roman" w:cs="Times New Roman"/>
                <w:b/>
                <w:sz w:val="20"/>
                <w:szCs w:val="20"/>
              </w:rPr>
              <w:t>CELCA perd donc en moyenne 70 clients chaque semaine.</w:t>
            </w:r>
            <w:r w:rsidRPr="009E543D">
              <w:rPr>
                <w:rFonts w:ascii="Times New Roman" w:hAnsi="Times New Roman" w:cs="Times New Roman"/>
                <w:sz w:val="20"/>
                <w:szCs w:val="20"/>
              </w:rPr>
              <w:t xml:space="preserve"> </w:t>
            </w:r>
          </w:p>
          <w:p w:rsidR="00764506" w:rsidRDefault="00764506" w:rsidP="009E543D">
            <w:pPr>
              <w:numPr>
                <w:ilvl w:val="0"/>
                <w:numId w:val="15"/>
              </w:numPr>
              <w:ind w:left="176" w:hanging="176"/>
              <w:contextualSpacing/>
              <w:jc w:val="both"/>
              <w:rPr>
                <w:rFonts w:ascii="Times New Roman" w:hAnsi="Times New Roman" w:cs="Times New Roman"/>
                <w:sz w:val="20"/>
                <w:szCs w:val="20"/>
              </w:rPr>
            </w:pPr>
            <w:r w:rsidRPr="009E543D">
              <w:rPr>
                <w:rFonts w:ascii="Times New Roman" w:hAnsi="Times New Roman" w:cs="Times New Roman"/>
                <w:sz w:val="20"/>
                <w:szCs w:val="20"/>
              </w:rPr>
              <w:t xml:space="preserve">Pour rappel, dans l’intérêt du Client </w:t>
            </w:r>
            <w:r w:rsidRPr="009E543D">
              <w:rPr>
                <w:rFonts w:ascii="Times New Roman" w:hAnsi="Times New Roman" w:cs="Times New Roman"/>
                <w:b/>
                <w:bCs/>
                <w:sz w:val="20"/>
                <w:szCs w:val="20"/>
              </w:rPr>
              <w:t>et</w:t>
            </w:r>
            <w:r w:rsidRPr="009E543D">
              <w:rPr>
                <w:rFonts w:ascii="Times New Roman" w:hAnsi="Times New Roman" w:cs="Times New Roman"/>
                <w:sz w:val="20"/>
                <w:szCs w:val="20"/>
              </w:rPr>
              <w:t xml:space="preserve"> de la CELCA il convient de </w:t>
            </w:r>
            <w:r w:rsidRPr="009E543D">
              <w:rPr>
                <w:rFonts w:ascii="Times New Roman" w:hAnsi="Times New Roman" w:cs="Times New Roman"/>
                <w:b/>
                <w:bCs/>
                <w:sz w:val="20"/>
                <w:szCs w:val="20"/>
              </w:rPr>
              <w:t>saisir très scrupuleusement les informations inscrites sur le RIB de la banque de départ du client</w:t>
            </w:r>
            <w:r w:rsidRPr="009E543D">
              <w:rPr>
                <w:rFonts w:ascii="Times New Roman" w:hAnsi="Times New Roman" w:cs="Times New Roman"/>
                <w:sz w:val="20"/>
                <w:szCs w:val="20"/>
              </w:rPr>
              <w:t xml:space="preserve"> (orthographe, ponctuation, nombres). </w:t>
            </w:r>
            <w:r w:rsidRPr="009E543D">
              <w:rPr>
                <w:rFonts w:ascii="Times New Roman" w:hAnsi="Times New Roman" w:cs="Times New Roman"/>
                <w:b/>
                <w:bCs/>
                <w:sz w:val="20"/>
                <w:szCs w:val="20"/>
              </w:rPr>
              <w:t>Si le RIB du Client ne présente que 8 caractères, alors il convient de compléter avec XXX (et rien d’autre).</w:t>
            </w:r>
          </w:p>
          <w:p w:rsidR="00764506" w:rsidRPr="009E543D" w:rsidRDefault="00764506" w:rsidP="00263271">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Par ailleurs, dans le cadre de l’étape « Coup de Poing » n°2 l’offre de conquête suivante a été mise en place : Bouquet Liberté avec carte IZICARTE Premier à Débit Différé à 1€ par mois pendant un an. L’offre est réservée aux entrées en relation bancarisation (cela concerne les clients non détenteurs de carte bancaire) qui </w:t>
            </w:r>
            <w:r>
              <w:rPr>
                <w:rFonts w:ascii="Times New Roman" w:hAnsi="Times New Roman" w:cs="Times New Roman"/>
                <w:b/>
                <w:bCs/>
                <w:sz w:val="20"/>
                <w:szCs w:val="20"/>
              </w:rPr>
              <w:t xml:space="preserve">souscrivent pour la 1ère fois à un BL avec une </w:t>
            </w:r>
            <w:proofErr w:type="spellStart"/>
            <w:r>
              <w:rPr>
                <w:rFonts w:ascii="Times New Roman" w:hAnsi="Times New Roman" w:cs="Times New Roman"/>
                <w:b/>
                <w:bCs/>
                <w:sz w:val="20"/>
                <w:szCs w:val="20"/>
                <w:u w:val="single"/>
              </w:rPr>
              <w:t>Izicarte</w:t>
            </w:r>
            <w:proofErr w:type="spellEnd"/>
            <w:r>
              <w:rPr>
                <w:rFonts w:ascii="Times New Roman" w:hAnsi="Times New Roman" w:cs="Times New Roman"/>
                <w:b/>
                <w:bCs/>
                <w:sz w:val="20"/>
                <w:szCs w:val="20"/>
                <w:u w:val="single"/>
              </w:rPr>
              <w:t xml:space="preserve"> 1er DD</w:t>
            </w:r>
            <w:r>
              <w:rPr>
                <w:rFonts w:ascii="Times New Roman" w:hAnsi="Times New Roman" w:cs="Times New Roman"/>
                <w:sz w:val="20"/>
                <w:szCs w:val="20"/>
                <w:u w:val="single"/>
              </w:rPr>
              <w:t xml:space="preserve"> </w:t>
            </w:r>
            <w:r>
              <w:rPr>
                <w:rFonts w:ascii="Times New Roman" w:hAnsi="Times New Roman" w:cs="Times New Roman"/>
                <w:b/>
                <w:bCs/>
                <w:sz w:val="20"/>
                <w:szCs w:val="20"/>
                <w:u w:val="single"/>
              </w:rPr>
              <w:t>exclusivement</w:t>
            </w:r>
            <w:r>
              <w:rPr>
                <w:rFonts w:ascii="Times New Roman" w:hAnsi="Times New Roman" w:cs="Times New Roman"/>
                <w:sz w:val="20"/>
                <w:szCs w:val="20"/>
              </w:rPr>
              <w:t xml:space="preserve"> et qui </w:t>
            </w:r>
            <w:r>
              <w:rPr>
                <w:rFonts w:ascii="Times New Roman" w:hAnsi="Times New Roman" w:cs="Times New Roman"/>
                <w:b/>
                <w:bCs/>
                <w:sz w:val="20"/>
                <w:szCs w:val="20"/>
              </w:rPr>
              <w:t>signent</w:t>
            </w:r>
            <w:r>
              <w:rPr>
                <w:rFonts w:ascii="Times New Roman" w:hAnsi="Times New Roman" w:cs="Times New Roman"/>
                <w:sz w:val="20"/>
                <w:szCs w:val="20"/>
              </w:rPr>
              <w:t xml:space="preserve"> </w:t>
            </w:r>
            <w:r>
              <w:rPr>
                <w:rFonts w:ascii="Times New Roman" w:hAnsi="Times New Roman" w:cs="Times New Roman"/>
                <w:b/>
                <w:bCs/>
                <w:sz w:val="20"/>
                <w:szCs w:val="20"/>
              </w:rPr>
              <w:t xml:space="preserve">un mandat </w:t>
            </w:r>
            <w:proofErr w:type="spellStart"/>
            <w:r>
              <w:rPr>
                <w:rFonts w:ascii="Times New Roman" w:hAnsi="Times New Roman" w:cs="Times New Roman"/>
                <w:b/>
                <w:bCs/>
                <w:sz w:val="20"/>
                <w:szCs w:val="20"/>
              </w:rPr>
              <w:t>Domilis</w:t>
            </w:r>
            <w:proofErr w:type="spellEnd"/>
            <w:r>
              <w:rPr>
                <w:rFonts w:ascii="Times New Roman" w:hAnsi="Times New Roman" w:cs="Times New Roman"/>
                <w:b/>
                <w:bCs/>
                <w:sz w:val="20"/>
                <w:szCs w:val="20"/>
              </w:rPr>
              <w:t>.</w:t>
            </w:r>
            <w:r w:rsidRPr="009E543D">
              <w:rPr>
                <w:rFonts w:ascii="Times New Roman" w:hAnsi="Times New Roman" w:cs="Times New Roman"/>
                <w:b/>
                <w:bCs/>
                <w:color w:val="1F497D"/>
                <w:sz w:val="20"/>
                <w:szCs w:val="20"/>
              </w:rPr>
              <w:br/>
            </w:r>
            <w:r w:rsidRPr="009E543D">
              <w:rPr>
                <w:rFonts w:ascii="Times New Roman" w:hAnsi="Times New Roman" w:cs="Times New Roman"/>
                <w:sz w:val="20"/>
                <w:szCs w:val="20"/>
              </w:rPr>
              <w:t>Contrairement à l’offre EER précédente, la promotion « PRM18804 – EER IZI PREMIER DD » est à positionner manuellement, elle n’est pas automatique. Des contrôles pourront être réalisés à postériori pouvant entrainer l’arrêt de la promotion en cas de non-respect des conditions.</w:t>
            </w:r>
            <w:r w:rsidRPr="009E543D">
              <w:rPr>
                <w:rFonts w:ascii="Times New Roman" w:hAnsi="Times New Roman" w:cs="Times New Roman"/>
                <w:sz w:val="20"/>
                <w:szCs w:val="20"/>
              </w:rPr>
              <w:br/>
              <w:t>L’offre est valable jusqu’au 30 juin 2018.</w:t>
            </w:r>
            <w:r>
              <w:t xml:space="preserve"> </w:t>
            </w:r>
            <w:hyperlink r:id="rId20" w:history="1">
              <w:r w:rsidRPr="009E543D">
                <w:rPr>
                  <w:rStyle w:val="Lienhypertexte"/>
                  <w:rFonts w:ascii="Times New Roman" w:hAnsi="Times New Roman" w:cs="Times New Roman"/>
                  <w:sz w:val="20"/>
                  <w:szCs w:val="20"/>
                </w:rPr>
                <w:t>CLIQUEZ ICI</w:t>
              </w:r>
            </w:hyperlink>
            <w:r w:rsidRPr="009E543D">
              <w:rPr>
                <w:rFonts w:ascii="Times New Roman" w:hAnsi="Times New Roman" w:cs="Times New Roman"/>
                <w:sz w:val="20"/>
                <w:szCs w:val="20"/>
              </w:rPr>
              <w:t xml:space="preserve"> pour accéder au tableau des offres promo en cours.</w:t>
            </w:r>
          </w:p>
        </w:tc>
      </w:tr>
      <w:tr w:rsidR="00764506" w:rsidRPr="00E81F6E" w:rsidTr="0030397F">
        <w:trPr>
          <w:trHeight w:val="248"/>
        </w:trPr>
        <w:tc>
          <w:tcPr>
            <w:tcW w:w="1560" w:type="dxa"/>
            <w:tcBorders>
              <w:bottom w:val="single" w:sz="4" w:space="0" w:color="auto"/>
            </w:tcBorders>
          </w:tcPr>
          <w:p w:rsidR="00764506" w:rsidRPr="004628C0" w:rsidRDefault="00764506" w:rsidP="006A77EF">
            <w:pPr>
              <w:rPr>
                <w:rFonts w:ascii="Times New Roman" w:hAnsi="Times New Roman" w:cs="Times New Roman"/>
                <w:b/>
                <w:bCs/>
                <w:sz w:val="20"/>
                <w:szCs w:val="20"/>
              </w:rPr>
            </w:pPr>
            <w:r w:rsidRPr="004628C0">
              <w:rPr>
                <w:rFonts w:ascii="Times New Roman" w:hAnsi="Times New Roman" w:cs="Times New Roman"/>
                <w:b/>
                <w:bCs/>
                <w:sz w:val="20"/>
                <w:szCs w:val="20"/>
              </w:rPr>
              <w:lastRenderedPageBreak/>
              <w:t>Com. DMA</w:t>
            </w:r>
          </w:p>
        </w:tc>
        <w:tc>
          <w:tcPr>
            <w:tcW w:w="1843" w:type="dxa"/>
            <w:tcBorders>
              <w:bottom w:val="single" w:sz="4" w:space="0" w:color="auto"/>
            </w:tcBorders>
          </w:tcPr>
          <w:p w:rsidR="00764506" w:rsidRDefault="00764506" w:rsidP="009E543D">
            <w:pPr>
              <w:rPr>
                <w:rFonts w:ascii="Times New Roman" w:hAnsi="Times New Roman" w:cs="Times New Roman"/>
                <w:b/>
                <w:bCs/>
                <w:sz w:val="20"/>
                <w:szCs w:val="20"/>
              </w:rPr>
            </w:pPr>
            <w:r>
              <w:rPr>
                <w:rFonts w:ascii="Times New Roman" w:hAnsi="Times New Roman" w:cs="Times New Roman"/>
                <w:b/>
                <w:bCs/>
                <w:sz w:val="20"/>
                <w:szCs w:val="20"/>
              </w:rPr>
              <w:t xml:space="preserve">Abonnement Presse - </w:t>
            </w:r>
            <w:proofErr w:type="spellStart"/>
            <w:r>
              <w:rPr>
                <w:rFonts w:ascii="Times New Roman" w:hAnsi="Times New Roman" w:cs="Times New Roman"/>
                <w:b/>
                <w:bCs/>
                <w:sz w:val="20"/>
                <w:szCs w:val="20"/>
              </w:rPr>
              <w:t>ADLPartner</w:t>
            </w:r>
            <w:proofErr w:type="spellEnd"/>
            <w:r>
              <w:rPr>
                <w:rFonts w:ascii="Times New Roman" w:hAnsi="Times New Roman" w:cs="Times New Roman"/>
                <w:b/>
                <w:bCs/>
                <w:sz w:val="20"/>
                <w:szCs w:val="20"/>
              </w:rPr>
              <w:t xml:space="preserve"> </w:t>
            </w:r>
          </w:p>
        </w:tc>
        <w:tc>
          <w:tcPr>
            <w:tcW w:w="12332" w:type="dxa"/>
            <w:tcBorders>
              <w:bottom w:val="single" w:sz="4" w:space="0" w:color="auto"/>
            </w:tcBorders>
            <w:shd w:val="clear" w:color="auto" w:fill="auto"/>
          </w:tcPr>
          <w:p w:rsidR="00764506" w:rsidRDefault="00764506" w:rsidP="009E543D">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Un courrier a été envoyé le 5 mars à certains clients leur permettant de bénéficier de tarifs réduits sur des abonnements Presse : </w:t>
            </w:r>
          </w:p>
          <w:p w:rsidR="00764506" w:rsidRPr="009E543D" w:rsidRDefault="00764506" w:rsidP="009E543D">
            <w:pPr>
              <w:pStyle w:val="wordsection1"/>
              <w:numPr>
                <w:ilvl w:val="0"/>
                <w:numId w:val="8"/>
              </w:numPr>
              <w:spacing w:before="0" w:beforeAutospacing="0" w:after="0" w:afterAutospacing="0"/>
              <w:jc w:val="both"/>
              <w:rPr>
                <w:bCs/>
                <w:sz w:val="20"/>
                <w:szCs w:val="20"/>
              </w:rPr>
            </w:pPr>
            <w:r w:rsidRPr="009E543D">
              <w:rPr>
                <w:bCs/>
                <w:sz w:val="20"/>
                <w:szCs w:val="20"/>
              </w:rPr>
              <w:t xml:space="preserve">94 088 clients détenteurs de Visa </w:t>
            </w:r>
            <w:proofErr w:type="spellStart"/>
            <w:r w:rsidRPr="009E543D">
              <w:rPr>
                <w:bCs/>
                <w:sz w:val="20"/>
                <w:szCs w:val="20"/>
              </w:rPr>
              <w:t>Classic</w:t>
            </w:r>
            <w:proofErr w:type="spellEnd"/>
          </w:p>
          <w:p w:rsidR="00764506" w:rsidRPr="009E543D" w:rsidRDefault="00764506" w:rsidP="009E543D">
            <w:pPr>
              <w:pStyle w:val="wordsection1"/>
              <w:numPr>
                <w:ilvl w:val="0"/>
                <w:numId w:val="8"/>
              </w:numPr>
              <w:spacing w:before="0" w:beforeAutospacing="0" w:after="0" w:afterAutospacing="0"/>
              <w:jc w:val="both"/>
              <w:rPr>
                <w:bCs/>
                <w:sz w:val="20"/>
                <w:szCs w:val="20"/>
              </w:rPr>
            </w:pPr>
            <w:r w:rsidRPr="009E543D">
              <w:rPr>
                <w:bCs/>
                <w:sz w:val="20"/>
                <w:szCs w:val="20"/>
              </w:rPr>
              <w:t>62 623 clients détenteurs de Visa Premier</w:t>
            </w:r>
          </w:p>
          <w:p w:rsidR="00764506" w:rsidRDefault="00764506" w:rsidP="009E543D">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Cette opération est réalisée deux fois par an (en mars et en septembre) en partenariat avec la société </w:t>
            </w:r>
            <w:proofErr w:type="spellStart"/>
            <w:r>
              <w:rPr>
                <w:rFonts w:ascii="Times New Roman" w:hAnsi="Times New Roman" w:cs="Times New Roman"/>
                <w:sz w:val="20"/>
                <w:szCs w:val="20"/>
              </w:rPr>
              <w:t>ADLPartner</w:t>
            </w:r>
            <w:proofErr w:type="spellEnd"/>
            <w:r>
              <w:rPr>
                <w:rFonts w:ascii="Times New Roman" w:hAnsi="Times New Roman" w:cs="Times New Roman"/>
                <w:sz w:val="20"/>
                <w:szCs w:val="20"/>
              </w:rPr>
              <w:t xml:space="preserve"> qui gère l’offre d’abonnement. </w:t>
            </w:r>
          </w:p>
          <w:p w:rsidR="00764506" w:rsidRDefault="00764506" w:rsidP="009E543D">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Le client a la possibilité de résilier son abonnement auprès d’</w:t>
            </w:r>
            <w:proofErr w:type="spellStart"/>
            <w:r>
              <w:rPr>
                <w:rFonts w:ascii="Times New Roman" w:hAnsi="Times New Roman" w:cs="Times New Roman"/>
                <w:sz w:val="20"/>
                <w:szCs w:val="20"/>
              </w:rPr>
              <w:t>ADLPartner</w:t>
            </w:r>
            <w:proofErr w:type="spellEnd"/>
            <w:r>
              <w:rPr>
                <w:rFonts w:ascii="Times New Roman" w:hAnsi="Times New Roman" w:cs="Times New Roman"/>
                <w:sz w:val="20"/>
                <w:szCs w:val="20"/>
              </w:rPr>
              <w:t xml:space="preserve"> :</w:t>
            </w:r>
          </w:p>
          <w:p w:rsidR="00764506" w:rsidRPr="009E543D" w:rsidRDefault="00764506" w:rsidP="009E543D">
            <w:pPr>
              <w:pStyle w:val="wordsection1"/>
              <w:numPr>
                <w:ilvl w:val="0"/>
                <w:numId w:val="8"/>
              </w:numPr>
              <w:spacing w:before="0" w:beforeAutospacing="0" w:after="0" w:afterAutospacing="0"/>
              <w:jc w:val="both"/>
              <w:rPr>
                <w:bCs/>
                <w:sz w:val="20"/>
                <w:szCs w:val="20"/>
              </w:rPr>
            </w:pPr>
            <w:r w:rsidRPr="009E543D">
              <w:rPr>
                <w:bCs/>
                <w:sz w:val="20"/>
                <w:szCs w:val="20"/>
              </w:rPr>
              <w:t xml:space="preserve">E-mail </w:t>
            </w:r>
            <w:r w:rsidRPr="009E543D">
              <w:rPr>
                <w:sz w:val="20"/>
                <w:szCs w:val="20"/>
              </w:rPr>
              <w:t xml:space="preserve">: </w:t>
            </w:r>
            <w:hyperlink r:id="rId21" w:history="1">
              <w:r w:rsidRPr="009E543D">
                <w:rPr>
                  <w:rStyle w:val="Lienhypertexte"/>
                  <w:sz w:val="20"/>
                  <w:szCs w:val="20"/>
                </w:rPr>
                <w:t>servicemagazinesplus@adlpartner.fr</w:t>
              </w:r>
            </w:hyperlink>
            <w:r w:rsidRPr="009E543D">
              <w:rPr>
                <w:sz w:val="20"/>
                <w:szCs w:val="20"/>
              </w:rPr>
              <w:t xml:space="preserve"> </w:t>
            </w:r>
          </w:p>
          <w:p w:rsidR="00764506" w:rsidRPr="009E543D" w:rsidRDefault="00764506" w:rsidP="009E543D">
            <w:pPr>
              <w:pStyle w:val="wordsection1"/>
              <w:numPr>
                <w:ilvl w:val="0"/>
                <w:numId w:val="8"/>
              </w:numPr>
              <w:spacing w:before="0" w:beforeAutospacing="0" w:after="0" w:afterAutospacing="0"/>
              <w:jc w:val="both"/>
              <w:rPr>
                <w:bCs/>
                <w:sz w:val="20"/>
                <w:szCs w:val="20"/>
              </w:rPr>
            </w:pPr>
            <w:r w:rsidRPr="009E543D">
              <w:rPr>
                <w:sz w:val="20"/>
                <w:szCs w:val="20"/>
              </w:rPr>
              <w:t xml:space="preserve">Courrier : Service Magazines Plus </w:t>
            </w:r>
            <w:proofErr w:type="spellStart"/>
            <w:r w:rsidRPr="009E543D">
              <w:rPr>
                <w:sz w:val="20"/>
                <w:szCs w:val="20"/>
              </w:rPr>
              <w:t>ADLPartner</w:t>
            </w:r>
            <w:proofErr w:type="spellEnd"/>
            <w:r w:rsidRPr="009E543D">
              <w:rPr>
                <w:sz w:val="20"/>
                <w:szCs w:val="20"/>
              </w:rPr>
              <w:t xml:space="preserve">, 3 rue Henri </w:t>
            </w:r>
            <w:proofErr w:type="spellStart"/>
            <w:r w:rsidRPr="009E543D">
              <w:rPr>
                <w:sz w:val="20"/>
                <w:szCs w:val="20"/>
              </w:rPr>
              <w:t>Rol</w:t>
            </w:r>
            <w:proofErr w:type="spellEnd"/>
            <w:r w:rsidRPr="009E543D">
              <w:rPr>
                <w:sz w:val="20"/>
                <w:szCs w:val="20"/>
              </w:rPr>
              <w:t>-Tanguy, 93100 MONTREUIL</w:t>
            </w:r>
          </w:p>
          <w:p w:rsidR="00764506" w:rsidRPr="009E543D" w:rsidRDefault="00B16CC5" w:rsidP="009E543D">
            <w:pPr>
              <w:numPr>
                <w:ilvl w:val="0"/>
                <w:numId w:val="15"/>
              </w:numPr>
              <w:ind w:left="176" w:hanging="176"/>
              <w:contextualSpacing/>
              <w:jc w:val="both"/>
              <w:rPr>
                <w:rFonts w:ascii="Times New Roman" w:hAnsi="Times New Roman" w:cs="Times New Roman"/>
                <w:sz w:val="20"/>
                <w:szCs w:val="20"/>
              </w:rPr>
            </w:pPr>
            <w:hyperlink r:id="rId22" w:history="1">
              <w:r w:rsidR="00764506" w:rsidRPr="009E543D">
                <w:rPr>
                  <w:rStyle w:val="Lienhypertexte"/>
                  <w:rFonts w:ascii="Times New Roman" w:hAnsi="Times New Roman" w:cs="Times New Roman"/>
                  <w:sz w:val="20"/>
                  <w:szCs w:val="20"/>
                  <w:lang w:eastAsia="fr-FR"/>
                </w:rPr>
                <w:t>CLIQUEZ ICI</w:t>
              </w:r>
            </w:hyperlink>
            <w:r w:rsidR="00764506" w:rsidRPr="009E543D">
              <w:rPr>
                <w:rFonts w:ascii="Times New Roman" w:hAnsi="Times New Roman" w:cs="Times New Roman"/>
                <w:sz w:val="20"/>
                <w:szCs w:val="20"/>
                <w:lang w:eastAsia="fr-FR"/>
              </w:rPr>
              <w:t xml:space="preserve"> pour consulter les courriers.</w:t>
            </w:r>
          </w:p>
        </w:tc>
      </w:tr>
      <w:tr w:rsidR="00764506" w:rsidRPr="00E81F6E" w:rsidTr="0030397F">
        <w:trPr>
          <w:trHeight w:val="248"/>
        </w:trPr>
        <w:tc>
          <w:tcPr>
            <w:tcW w:w="1560" w:type="dxa"/>
            <w:tcBorders>
              <w:bottom w:val="single" w:sz="4" w:space="0" w:color="auto"/>
            </w:tcBorders>
          </w:tcPr>
          <w:p w:rsidR="00764506" w:rsidRPr="004628C0" w:rsidRDefault="00764506" w:rsidP="006A77EF">
            <w:pPr>
              <w:rPr>
                <w:rFonts w:ascii="Times New Roman" w:hAnsi="Times New Roman" w:cs="Times New Roman"/>
                <w:b/>
                <w:bCs/>
                <w:sz w:val="20"/>
                <w:szCs w:val="20"/>
              </w:rPr>
            </w:pPr>
            <w:r w:rsidRPr="004628C0">
              <w:rPr>
                <w:rFonts w:ascii="Times New Roman" w:hAnsi="Times New Roman" w:cs="Times New Roman"/>
                <w:b/>
                <w:bCs/>
                <w:sz w:val="20"/>
                <w:szCs w:val="20"/>
              </w:rPr>
              <w:t>Com. DMA</w:t>
            </w:r>
          </w:p>
        </w:tc>
        <w:tc>
          <w:tcPr>
            <w:tcW w:w="1843" w:type="dxa"/>
            <w:tcBorders>
              <w:bottom w:val="single" w:sz="4" w:space="0" w:color="auto"/>
            </w:tcBorders>
          </w:tcPr>
          <w:p w:rsidR="00764506" w:rsidRDefault="00764506" w:rsidP="006A77EF">
            <w:pPr>
              <w:rPr>
                <w:rFonts w:ascii="Times New Roman" w:hAnsi="Times New Roman" w:cs="Times New Roman"/>
                <w:b/>
                <w:bCs/>
                <w:sz w:val="20"/>
                <w:szCs w:val="20"/>
              </w:rPr>
            </w:pPr>
            <w:r w:rsidRPr="009E543D">
              <w:rPr>
                <w:rFonts w:ascii="Times New Roman" w:hAnsi="Times New Roman" w:cs="Times New Roman"/>
                <w:b/>
                <w:bCs/>
                <w:sz w:val="20"/>
                <w:szCs w:val="20"/>
              </w:rPr>
              <w:t xml:space="preserve">Samsung </w:t>
            </w:r>
            <w:proofErr w:type="spellStart"/>
            <w:r w:rsidRPr="009E543D">
              <w:rPr>
                <w:rFonts w:ascii="Times New Roman" w:hAnsi="Times New Roman" w:cs="Times New Roman"/>
                <w:b/>
                <w:bCs/>
                <w:sz w:val="20"/>
                <w:szCs w:val="20"/>
              </w:rPr>
              <w:t>Pay</w:t>
            </w:r>
            <w:proofErr w:type="spellEnd"/>
          </w:p>
        </w:tc>
        <w:tc>
          <w:tcPr>
            <w:tcW w:w="12332" w:type="dxa"/>
            <w:tcBorders>
              <w:bottom w:val="single" w:sz="4" w:space="0" w:color="auto"/>
            </w:tcBorders>
            <w:shd w:val="clear" w:color="auto" w:fill="auto"/>
          </w:tcPr>
          <w:p w:rsidR="00764506" w:rsidRPr="00926ACD" w:rsidRDefault="00764506" w:rsidP="00926ACD">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lang w:eastAsia="fr-FR"/>
              </w:rPr>
              <w:t xml:space="preserve">Le Groupe BPCE a annoncé le lancement en France de la solution de paiement mobile Samsung </w:t>
            </w:r>
            <w:proofErr w:type="spellStart"/>
            <w:r>
              <w:rPr>
                <w:rFonts w:ascii="Times New Roman" w:hAnsi="Times New Roman" w:cs="Times New Roman"/>
                <w:sz w:val="20"/>
                <w:szCs w:val="20"/>
                <w:lang w:eastAsia="fr-FR"/>
              </w:rPr>
              <w:t>Pay</w:t>
            </w:r>
            <w:proofErr w:type="spellEnd"/>
            <w:r>
              <w:rPr>
                <w:rFonts w:ascii="Times New Roman" w:hAnsi="Times New Roman" w:cs="Times New Roman"/>
                <w:sz w:val="20"/>
                <w:szCs w:val="20"/>
                <w:lang w:eastAsia="fr-FR"/>
              </w:rPr>
              <w:t xml:space="preserve"> avant l’été et en exclusivité pour les clients Banque Populaire et Caisse d’</w:t>
            </w:r>
            <w:proofErr w:type="spellStart"/>
            <w:r>
              <w:rPr>
                <w:rFonts w:ascii="Times New Roman" w:hAnsi="Times New Roman" w:cs="Times New Roman"/>
                <w:sz w:val="20"/>
                <w:szCs w:val="20"/>
                <w:lang w:eastAsia="fr-FR"/>
              </w:rPr>
              <w:t>Epargne</w:t>
            </w:r>
            <w:proofErr w:type="spellEnd"/>
            <w:r>
              <w:rPr>
                <w:rFonts w:ascii="Times New Roman" w:hAnsi="Times New Roman" w:cs="Times New Roman"/>
                <w:sz w:val="20"/>
                <w:szCs w:val="20"/>
                <w:lang w:eastAsia="fr-FR"/>
              </w:rPr>
              <w:t xml:space="preserve"> équipés des </w:t>
            </w:r>
            <w:proofErr w:type="spellStart"/>
            <w:r>
              <w:rPr>
                <w:rFonts w:ascii="Times New Roman" w:hAnsi="Times New Roman" w:cs="Times New Roman"/>
                <w:sz w:val="20"/>
                <w:szCs w:val="20"/>
                <w:lang w:eastAsia="fr-FR"/>
              </w:rPr>
              <w:t>smartphones</w:t>
            </w:r>
            <w:proofErr w:type="spellEnd"/>
            <w:r>
              <w:rPr>
                <w:rFonts w:ascii="Times New Roman" w:hAnsi="Times New Roman" w:cs="Times New Roman"/>
                <w:sz w:val="20"/>
                <w:szCs w:val="20"/>
                <w:lang w:eastAsia="fr-FR"/>
              </w:rPr>
              <w:t xml:space="preserve"> Samsung compatibles. La date de lancement de la solution reste encore à confirmer. Plus d’informations prochainement.</w:t>
            </w:r>
          </w:p>
        </w:tc>
      </w:tr>
      <w:tr w:rsidR="00764506" w:rsidRPr="00E81F6E" w:rsidTr="0030397F">
        <w:trPr>
          <w:trHeight w:val="248"/>
        </w:trPr>
        <w:tc>
          <w:tcPr>
            <w:tcW w:w="1560" w:type="dxa"/>
            <w:tcBorders>
              <w:bottom w:val="single" w:sz="4" w:space="0" w:color="auto"/>
            </w:tcBorders>
          </w:tcPr>
          <w:p w:rsidR="00764506" w:rsidRDefault="00764506" w:rsidP="006A77EF">
            <w:pPr>
              <w:rPr>
                <w:rFonts w:ascii="Calibri" w:hAnsi="Calibri" w:cs="Calibri"/>
              </w:rPr>
            </w:pPr>
            <w:r w:rsidRPr="004628C0">
              <w:rPr>
                <w:rFonts w:ascii="Times New Roman" w:hAnsi="Times New Roman" w:cs="Times New Roman"/>
                <w:b/>
                <w:bCs/>
                <w:sz w:val="20"/>
                <w:szCs w:val="20"/>
              </w:rPr>
              <w:t>Com. DMA</w:t>
            </w:r>
          </w:p>
        </w:tc>
        <w:tc>
          <w:tcPr>
            <w:tcW w:w="1843" w:type="dxa"/>
            <w:tcBorders>
              <w:bottom w:val="single" w:sz="4" w:space="0" w:color="auto"/>
            </w:tcBorders>
          </w:tcPr>
          <w:p w:rsidR="00764506" w:rsidRDefault="00764506" w:rsidP="006A77EF">
            <w:pPr>
              <w:rPr>
                <w:rFonts w:ascii="Times New Roman" w:hAnsi="Times New Roman" w:cs="Times New Roman"/>
                <w:b/>
                <w:bCs/>
                <w:sz w:val="20"/>
                <w:szCs w:val="20"/>
              </w:rPr>
            </w:pPr>
            <w:r w:rsidRPr="004628C0">
              <w:rPr>
                <w:rFonts w:ascii="Times New Roman" w:hAnsi="Times New Roman" w:cs="Times New Roman"/>
                <w:b/>
                <w:bCs/>
                <w:sz w:val="20"/>
                <w:szCs w:val="20"/>
              </w:rPr>
              <w:t>Brochures tarifaires Particuliers</w:t>
            </w:r>
          </w:p>
        </w:tc>
        <w:tc>
          <w:tcPr>
            <w:tcW w:w="12332" w:type="dxa"/>
            <w:tcBorders>
              <w:bottom w:val="single" w:sz="4" w:space="0" w:color="auto"/>
            </w:tcBorders>
            <w:shd w:val="clear" w:color="auto" w:fill="auto"/>
          </w:tcPr>
          <w:p w:rsidR="00764506" w:rsidRPr="004628C0" w:rsidRDefault="00764506" w:rsidP="004628C0">
            <w:pPr>
              <w:numPr>
                <w:ilvl w:val="0"/>
                <w:numId w:val="15"/>
              </w:numPr>
              <w:ind w:left="176" w:hanging="176"/>
              <w:contextualSpacing/>
              <w:jc w:val="both"/>
              <w:rPr>
                <w:sz w:val="20"/>
                <w:szCs w:val="20"/>
              </w:rPr>
            </w:pPr>
            <w:r w:rsidRPr="004628C0">
              <w:rPr>
                <w:rFonts w:ascii="Times New Roman" w:hAnsi="Times New Roman" w:cs="Times New Roman"/>
                <w:b/>
                <w:sz w:val="20"/>
                <w:szCs w:val="20"/>
              </w:rPr>
              <w:t>La diffusion des nouvelles « Brochures de tarification aux Particuliers au 1</w:t>
            </w:r>
            <w:r w:rsidRPr="004628C0">
              <w:rPr>
                <w:rFonts w:ascii="Times New Roman" w:hAnsi="Times New Roman" w:cs="Times New Roman"/>
                <w:b/>
                <w:sz w:val="20"/>
                <w:szCs w:val="20"/>
                <w:vertAlign w:val="superscript"/>
              </w:rPr>
              <w:t>er</w:t>
            </w:r>
            <w:r>
              <w:rPr>
                <w:rFonts w:ascii="Times New Roman" w:hAnsi="Times New Roman" w:cs="Times New Roman"/>
                <w:b/>
                <w:sz w:val="20"/>
                <w:szCs w:val="20"/>
              </w:rPr>
              <w:t xml:space="preserve"> </w:t>
            </w:r>
            <w:r w:rsidRPr="004628C0">
              <w:rPr>
                <w:rFonts w:ascii="Times New Roman" w:hAnsi="Times New Roman" w:cs="Times New Roman"/>
                <w:b/>
                <w:sz w:val="20"/>
                <w:szCs w:val="20"/>
              </w:rPr>
              <w:t xml:space="preserve">avril 2018 » est en cours. Ces brochures doivent remplacer les existantes dans le mur de Com. </w:t>
            </w:r>
          </w:p>
          <w:p w:rsidR="00764506" w:rsidRDefault="00764506" w:rsidP="004628C0">
            <w:pPr>
              <w:numPr>
                <w:ilvl w:val="0"/>
                <w:numId w:val="15"/>
              </w:numPr>
              <w:ind w:left="176" w:hanging="176"/>
              <w:contextualSpacing/>
              <w:jc w:val="both"/>
              <w:rPr>
                <w:sz w:val="20"/>
                <w:szCs w:val="20"/>
              </w:rPr>
            </w:pPr>
            <w:r w:rsidRPr="004628C0">
              <w:rPr>
                <w:rFonts w:ascii="Times New Roman" w:hAnsi="Times New Roman" w:cs="Times New Roman"/>
                <w:b/>
                <w:sz w:val="20"/>
                <w:szCs w:val="20"/>
              </w:rPr>
              <w:t>Merci de détruire votre stock restant à partir du 1</w:t>
            </w:r>
            <w:r w:rsidRPr="004628C0">
              <w:rPr>
                <w:rFonts w:ascii="Times New Roman" w:hAnsi="Times New Roman" w:cs="Times New Roman"/>
                <w:b/>
                <w:sz w:val="20"/>
                <w:szCs w:val="20"/>
                <w:vertAlign w:val="superscript"/>
              </w:rPr>
              <w:t>er</w:t>
            </w:r>
            <w:r>
              <w:rPr>
                <w:rFonts w:ascii="Times New Roman" w:hAnsi="Times New Roman" w:cs="Times New Roman"/>
                <w:b/>
                <w:sz w:val="20"/>
                <w:szCs w:val="20"/>
              </w:rPr>
              <w:t xml:space="preserve"> </w:t>
            </w:r>
            <w:r w:rsidRPr="004628C0">
              <w:rPr>
                <w:rFonts w:ascii="Times New Roman" w:hAnsi="Times New Roman" w:cs="Times New Roman"/>
                <w:b/>
                <w:sz w:val="20"/>
                <w:szCs w:val="20"/>
              </w:rPr>
              <w:t>avril uniquement.</w:t>
            </w:r>
          </w:p>
        </w:tc>
      </w:tr>
      <w:tr w:rsidR="00764506" w:rsidRPr="00E81F6E" w:rsidTr="00832B1B">
        <w:trPr>
          <w:trHeight w:val="248"/>
        </w:trPr>
        <w:tc>
          <w:tcPr>
            <w:tcW w:w="15735" w:type="dxa"/>
            <w:gridSpan w:val="3"/>
            <w:tcBorders>
              <w:bottom w:val="single" w:sz="4" w:space="0" w:color="auto"/>
            </w:tcBorders>
            <w:shd w:val="clear" w:color="auto" w:fill="BFBFBF" w:themeFill="background1" w:themeFillShade="BF"/>
          </w:tcPr>
          <w:p w:rsidR="00764506" w:rsidRPr="00832B1B" w:rsidRDefault="00764506"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764506" w:rsidRPr="00E81F6E" w:rsidTr="00AF3BE3">
        <w:trPr>
          <w:trHeight w:val="248"/>
        </w:trPr>
        <w:tc>
          <w:tcPr>
            <w:tcW w:w="1560" w:type="dxa"/>
            <w:tcBorders>
              <w:bottom w:val="single" w:sz="4" w:space="0" w:color="auto"/>
            </w:tcBorders>
          </w:tcPr>
          <w:p w:rsidR="00764506" w:rsidRDefault="00764506">
            <w:pPr>
              <w:rPr>
                <w:rFonts w:ascii="Calibri" w:hAnsi="Calibri" w:cs="Calibri"/>
              </w:rPr>
            </w:pPr>
            <w:r>
              <w:rPr>
                <w:rFonts w:ascii="Times New Roman" w:hAnsi="Times New Roman" w:cs="Times New Roman"/>
                <w:b/>
                <w:bCs/>
                <w:sz w:val="20"/>
                <w:szCs w:val="20"/>
              </w:rPr>
              <w:t>Com. DMP</w:t>
            </w:r>
          </w:p>
        </w:tc>
        <w:tc>
          <w:tcPr>
            <w:tcW w:w="1843" w:type="dxa"/>
            <w:tcBorders>
              <w:bottom w:val="single" w:sz="4" w:space="0" w:color="auto"/>
            </w:tcBorders>
          </w:tcPr>
          <w:p w:rsidR="00764506" w:rsidRPr="00D32C31" w:rsidRDefault="00764506">
            <w:pPr>
              <w:rPr>
                <w:rFonts w:ascii="Times New Roman" w:hAnsi="Times New Roman" w:cs="Times New Roman"/>
                <w:b/>
                <w:bCs/>
                <w:sz w:val="20"/>
                <w:szCs w:val="20"/>
              </w:rPr>
            </w:pPr>
            <w:r w:rsidRPr="001C49D8">
              <w:rPr>
                <w:rFonts w:ascii="Times New Roman" w:hAnsi="Times New Roman" w:cs="Times New Roman"/>
                <w:b/>
                <w:bCs/>
                <w:sz w:val="20"/>
                <w:szCs w:val="20"/>
              </w:rPr>
              <w:t>Compte excédent pro</w:t>
            </w:r>
          </w:p>
        </w:tc>
        <w:tc>
          <w:tcPr>
            <w:tcW w:w="12332" w:type="dxa"/>
            <w:tcBorders>
              <w:bottom w:val="single" w:sz="4" w:space="0" w:color="auto"/>
            </w:tcBorders>
            <w:shd w:val="clear" w:color="auto" w:fill="auto"/>
          </w:tcPr>
          <w:p w:rsidR="00764506" w:rsidRPr="001C49D8" w:rsidRDefault="00764506" w:rsidP="001C49D8">
            <w:pPr>
              <w:numPr>
                <w:ilvl w:val="0"/>
                <w:numId w:val="15"/>
              </w:numPr>
              <w:ind w:left="176" w:hanging="176"/>
              <w:contextualSpacing/>
              <w:jc w:val="both"/>
              <w:rPr>
                <w:rFonts w:ascii="Times New Roman" w:hAnsi="Times New Roman" w:cs="Times New Roman"/>
                <w:sz w:val="20"/>
                <w:szCs w:val="20"/>
              </w:rPr>
            </w:pPr>
            <w:r w:rsidRPr="001C49D8">
              <w:rPr>
                <w:rFonts w:ascii="Times New Roman" w:hAnsi="Times New Roman" w:cs="Times New Roman"/>
                <w:sz w:val="20"/>
                <w:szCs w:val="20"/>
              </w:rPr>
              <w:t>Lors de l’ouverture d’un compte excédent pro, il est impératif de renseigner le taux de rémunération par un avenant sur le contrat.</w:t>
            </w:r>
          </w:p>
          <w:p w:rsidR="00764506" w:rsidRPr="00D32C31" w:rsidRDefault="00764506" w:rsidP="001C49D8">
            <w:pPr>
              <w:numPr>
                <w:ilvl w:val="0"/>
                <w:numId w:val="15"/>
              </w:numPr>
              <w:ind w:left="176" w:hanging="176"/>
              <w:contextualSpacing/>
              <w:jc w:val="both"/>
              <w:rPr>
                <w:rFonts w:ascii="Times New Roman" w:hAnsi="Times New Roman" w:cs="Times New Roman"/>
                <w:color w:val="000000"/>
                <w:sz w:val="20"/>
                <w:szCs w:val="20"/>
                <w:lang w:eastAsia="fr-FR"/>
              </w:rPr>
            </w:pPr>
            <w:r w:rsidRPr="001C49D8">
              <w:rPr>
                <w:rFonts w:ascii="Times New Roman" w:hAnsi="Times New Roman" w:cs="Times New Roman"/>
                <w:sz w:val="20"/>
                <w:szCs w:val="20"/>
              </w:rPr>
              <w:t>Rappel : le compte excédent pro est réservé aux clients Pros sous toute forme de société dont les SCI Pros. Sur une SCI Part, l’outil n’est pas bloquant pour l’ouverture, par contre, aucune rémunération possible. Il convient donc d’ouvrir un Livret B.</w:t>
            </w:r>
          </w:p>
        </w:tc>
      </w:tr>
      <w:tr w:rsidR="00764506" w:rsidRPr="00E81F6E" w:rsidTr="003D5BAA">
        <w:trPr>
          <w:trHeight w:val="248"/>
        </w:trPr>
        <w:tc>
          <w:tcPr>
            <w:tcW w:w="1560" w:type="dxa"/>
            <w:tcBorders>
              <w:bottom w:val="single" w:sz="4" w:space="0" w:color="auto"/>
            </w:tcBorders>
          </w:tcPr>
          <w:p w:rsidR="00764506" w:rsidRDefault="00764506">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764506" w:rsidRPr="00D32C31" w:rsidRDefault="00764506">
            <w:pPr>
              <w:rPr>
                <w:rFonts w:ascii="Times New Roman" w:hAnsi="Times New Roman" w:cs="Times New Roman"/>
                <w:b/>
                <w:bCs/>
                <w:sz w:val="20"/>
                <w:szCs w:val="20"/>
              </w:rPr>
            </w:pPr>
            <w:r w:rsidRPr="001C49D8">
              <w:rPr>
                <w:rFonts w:ascii="Times New Roman" w:hAnsi="Times New Roman" w:cs="Times New Roman"/>
                <w:b/>
                <w:bCs/>
                <w:sz w:val="20"/>
                <w:szCs w:val="20"/>
              </w:rPr>
              <w:t>CE NET</w:t>
            </w:r>
          </w:p>
        </w:tc>
        <w:tc>
          <w:tcPr>
            <w:tcW w:w="12332" w:type="dxa"/>
            <w:tcBorders>
              <w:bottom w:val="single" w:sz="4" w:space="0" w:color="auto"/>
            </w:tcBorders>
            <w:shd w:val="clear" w:color="auto" w:fill="auto"/>
          </w:tcPr>
          <w:p w:rsidR="00764506" w:rsidRDefault="00764506" w:rsidP="001C49D8">
            <w:pPr>
              <w:numPr>
                <w:ilvl w:val="0"/>
                <w:numId w:val="15"/>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La migration des clients équipés EDI vers CENET n’aura pas lieu le 11 mars 2018 comme annoncé dans le </w:t>
            </w:r>
            <w:proofErr w:type="spellStart"/>
            <w:r>
              <w:rPr>
                <w:rFonts w:ascii="Times New Roman" w:hAnsi="Times New Roman" w:cs="Times New Roman"/>
                <w:sz w:val="20"/>
                <w:szCs w:val="20"/>
              </w:rPr>
              <w:t>brief</w:t>
            </w:r>
            <w:proofErr w:type="spellEnd"/>
            <w:r>
              <w:rPr>
                <w:rFonts w:ascii="Times New Roman" w:hAnsi="Times New Roman" w:cs="Times New Roman"/>
                <w:sz w:val="20"/>
                <w:szCs w:val="20"/>
              </w:rPr>
              <w:t xml:space="preserve"> de semaine 08, mais le 8 avril 2018.</w:t>
            </w:r>
          </w:p>
          <w:p w:rsidR="00764506" w:rsidRPr="00D32C31" w:rsidRDefault="00764506" w:rsidP="001C49D8">
            <w:pPr>
              <w:numPr>
                <w:ilvl w:val="0"/>
                <w:numId w:val="15"/>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sz w:val="20"/>
                <w:szCs w:val="20"/>
              </w:rPr>
              <w:t>Les clients concernés ont été avertis par courrier.</w:t>
            </w:r>
          </w:p>
        </w:tc>
      </w:tr>
      <w:tr w:rsidR="00764506" w:rsidRPr="00E81F6E" w:rsidTr="003D5BAA">
        <w:trPr>
          <w:trHeight w:val="248"/>
        </w:trPr>
        <w:tc>
          <w:tcPr>
            <w:tcW w:w="1560" w:type="dxa"/>
            <w:tcBorders>
              <w:bottom w:val="single" w:sz="4" w:space="0" w:color="auto"/>
            </w:tcBorders>
          </w:tcPr>
          <w:p w:rsidR="00764506" w:rsidRDefault="00764506">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764506" w:rsidRPr="00D32C31" w:rsidRDefault="00764506">
            <w:pPr>
              <w:rPr>
                <w:rFonts w:ascii="Times New Roman" w:hAnsi="Times New Roman" w:cs="Times New Roman"/>
                <w:b/>
                <w:bCs/>
                <w:sz w:val="20"/>
                <w:szCs w:val="20"/>
              </w:rPr>
            </w:pPr>
            <w:r w:rsidRPr="001C49D8">
              <w:rPr>
                <w:rFonts w:ascii="Times New Roman" w:hAnsi="Times New Roman" w:cs="Times New Roman"/>
                <w:b/>
                <w:bCs/>
                <w:sz w:val="20"/>
                <w:szCs w:val="20"/>
              </w:rPr>
              <w:t>Suivi du Fonds de Commerce</w:t>
            </w:r>
          </w:p>
        </w:tc>
        <w:tc>
          <w:tcPr>
            <w:tcW w:w="12332" w:type="dxa"/>
            <w:tcBorders>
              <w:bottom w:val="single" w:sz="4" w:space="0" w:color="auto"/>
            </w:tcBorders>
            <w:shd w:val="clear" w:color="auto" w:fill="auto"/>
          </w:tcPr>
          <w:p w:rsidR="00764506" w:rsidRPr="00D32C31" w:rsidRDefault="00764506" w:rsidP="00D32C31">
            <w:pPr>
              <w:numPr>
                <w:ilvl w:val="0"/>
                <w:numId w:val="15"/>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Le suivi du Fonds de Commerce Pro à fin janvier est disponible dans </w:t>
            </w:r>
            <w:hyperlink r:id="rId23" w:history="1">
              <w:r>
                <w:rPr>
                  <w:rStyle w:val="Lienhypertexte"/>
                  <w:rFonts w:ascii="Times New Roman" w:hAnsi="Times New Roman" w:cs="Times New Roman"/>
                  <w:sz w:val="20"/>
                  <w:szCs w:val="20"/>
                  <w:lang w:eastAsia="fr-FR"/>
                </w:rPr>
                <w:t>l’Espace Pros de la Rubrique des Commerciaux / Fonds de Commerce / Résultats Fonds de Commerce Pros / 20180131 Résultats Fonds de Commerce Pro.</w:t>
              </w:r>
            </w:hyperlink>
          </w:p>
        </w:tc>
      </w:tr>
      <w:tr w:rsidR="00764506" w:rsidRPr="00E81F6E" w:rsidTr="003D5BAA">
        <w:trPr>
          <w:trHeight w:val="248"/>
        </w:trPr>
        <w:tc>
          <w:tcPr>
            <w:tcW w:w="1560" w:type="dxa"/>
            <w:tcBorders>
              <w:bottom w:val="single" w:sz="4" w:space="0" w:color="auto"/>
            </w:tcBorders>
          </w:tcPr>
          <w:p w:rsidR="00764506" w:rsidRDefault="00764506">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764506" w:rsidRPr="00D32C31" w:rsidRDefault="00764506">
            <w:pPr>
              <w:rPr>
                <w:rFonts w:ascii="Times New Roman" w:hAnsi="Times New Roman" w:cs="Times New Roman"/>
                <w:b/>
                <w:bCs/>
                <w:sz w:val="20"/>
                <w:szCs w:val="20"/>
              </w:rPr>
            </w:pPr>
            <w:r w:rsidRPr="001C49D8">
              <w:rPr>
                <w:rFonts w:ascii="Times New Roman" w:hAnsi="Times New Roman" w:cs="Times New Roman"/>
                <w:b/>
                <w:bCs/>
                <w:sz w:val="20"/>
                <w:szCs w:val="20"/>
              </w:rPr>
              <w:t>Action compte CDD 04 PROS</w:t>
            </w:r>
          </w:p>
        </w:tc>
        <w:tc>
          <w:tcPr>
            <w:tcW w:w="12332" w:type="dxa"/>
            <w:tcBorders>
              <w:bottom w:val="single" w:sz="4" w:space="0" w:color="auto"/>
            </w:tcBorders>
            <w:shd w:val="clear" w:color="auto" w:fill="auto"/>
          </w:tcPr>
          <w:p w:rsidR="00764506" w:rsidRPr="001C49D8" w:rsidRDefault="00764506" w:rsidP="001C49D8">
            <w:pPr>
              <w:numPr>
                <w:ilvl w:val="0"/>
                <w:numId w:val="15"/>
              </w:numPr>
              <w:ind w:left="176" w:hanging="176"/>
              <w:contextualSpacing/>
              <w:jc w:val="both"/>
              <w:rPr>
                <w:rFonts w:ascii="Times New Roman" w:hAnsi="Times New Roman" w:cs="Times New Roman"/>
                <w:sz w:val="20"/>
                <w:szCs w:val="20"/>
              </w:rPr>
            </w:pPr>
            <w:r w:rsidRPr="001C49D8">
              <w:rPr>
                <w:rFonts w:ascii="Times New Roman" w:hAnsi="Times New Roman" w:cs="Times New Roman"/>
                <w:sz w:val="20"/>
                <w:szCs w:val="20"/>
              </w:rPr>
              <w:t xml:space="preserve">Suite au </w:t>
            </w:r>
            <w:proofErr w:type="spellStart"/>
            <w:r w:rsidRPr="001C49D8">
              <w:rPr>
                <w:rFonts w:ascii="Times New Roman" w:hAnsi="Times New Roman" w:cs="Times New Roman"/>
                <w:sz w:val="20"/>
                <w:szCs w:val="20"/>
              </w:rPr>
              <w:t>brief</w:t>
            </w:r>
            <w:proofErr w:type="spellEnd"/>
            <w:r w:rsidRPr="001C49D8">
              <w:rPr>
                <w:rFonts w:ascii="Times New Roman" w:hAnsi="Times New Roman" w:cs="Times New Roman"/>
                <w:sz w:val="20"/>
                <w:szCs w:val="20"/>
              </w:rPr>
              <w:t xml:space="preserve"> DG de la semaine 09, retrouvez en</w:t>
            </w:r>
            <w:r>
              <w:rPr>
                <w:rFonts w:ascii="Times New Roman" w:hAnsi="Times New Roman" w:cs="Times New Roman"/>
                <w:sz w:val="20"/>
                <w:szCs w:val="20"/>
              </w:rPr>
              <w:t xml:space="preserve"> </w:t>
            </w:r>
            <w:r w:rsidRPr="001C49D8">
              <w:rPr>
                <w:rFonts w:ascii="Times New Roman" w:hAnsi="Times New Roman" w:cs="Times New Roman"/>
                <w:color w:val="000000"/>
                <w:sz w:val="20"/>
                <w:szCs w:val="20"/>
                <w:lang w:eastAsia="fr-FR"/>
              </w:rPr>
              <w:t xml:space="preserve">cliquant </w:t>
            </w:r>
            <w:hyperlink r:id="rId24" w:history="1">
              <w:r w:rsidRPr="001C49D8">
                <w:rPr>
                  <w:rStyle w:val="Lienhypertexte"/>
                  <w:rFonts w:ascii="Times New Roman" w:hAnsi="Times New Roman" w:cs="Times New Roman"/>
                  <w:sz w:val="20"/>
                  <w:szCs w:val="20"/>
                  <w:lang w:eastAsia="fr-FR"/>
                </w:rPr>
                <w:t>ICI</w:t>
              </w:r>
            </w:hyperlink>
            <w:r w:rsidRPr="001C49D8">
              <w:rPr>
                <w:rFonts w:ascii="Times New Roman" w:hAnsi="Times New Roman" w:cs="Times New Roman"/>
                <w:color w:val="000000"/>
                <w:sz w:val="20"/>
                <w:szCs w:val="20"/>
                <w:lang w:eastAsia="fr-FR"/>
              </w:rPr>
              <w:t xml:space="preserve"> un mode opératoire pour transférer les flux d’un compte 04 vers un 08.</w:t>
            </w:r>
          </w:p>
          <w:p w:rsidR="00764506" w:rsidRDefault="00764506" w:rsidP="001C49D8">
            <w:pPr>
              <w:numPr>
                <w:ilvl w:val="0"/>
                <w:numId w:val="15"/>
              </w:numPr>
              <w:ind w:left="176" w:hanging="176"/>
              <w:contextualSpacing/>
              <w:jc w:val="both"/>
              <w:rPr>
                <w:rFonts w:ascii="Times New Roman" w:hAnsi="Times New Roman" w:cs="Times New Roman"/>
                <w:sz w:val="20"/>
                <w:szCs w:val="20"/>
              </w:rPr>
            </w:pPr>
            <w:r w:rsidRPr="001C49D8">
              <w:rPr>
                <w:rFonts w:ascii="Times New Roman" w:hAnsi="Times New Roman" w:cs="Times New Roman"/>
                <w:sz w:val="20"/>
                <w:szCs w:val="20"/>
              </w:rPr>
              <w:t>Une fois la transaction effectuée, il convient de mettre en place DOMILIS.</w:t>
            </w:r>
          </w:p>
          <w:p w:rsidR="00764506" w:rsidRPr="001C49D8" w:rsidRDefault="00764506" w:rsidP="001C49D8">
            <w:pPr>
              <w:numPr>
                <w:ilvl w:val="0"/>
                <w:numId w:val="15"/>
              </w:numPr>
              <w:ind w:left="176" w:hanging="176"/>
              <w:contextualSpacing/>
              <w:jc w:val="both"/>
              <w:rPr>
                <w:rFonts w:ascii="Times New Roman" w:hAnsi="Times New Roman" w:cs="Times New Roman"/>
                <w:sz w:val="20"/>
                <w:szCs w:val="20"/>
              </w:rPr>
            </w:pPr>
            <w:r w:rsidRPr="001C49D8">
              <w:rPr>
                <w:rFonts w:ascii="Times New Roman" w:hAnsi="Times New Roman" w:cs="Times New Roman"/>
                <w:color w:val="000000"/>
                <w:sz w:val="20"/>
                <w:szCs w:val="20"/>
                <w:lang w:eastAsia="fr-FR"/>
              </w:rPr>
              <w:t xml:space="preserve">A titre exceptionnel, le compte CDD 04 PRO peut être maintenu. Dans ce cas, merci de transmettre le n° de personne ainsi que la raison sociale à : </w:t>
            </w:r>
            <w:hyperlink r:id="rId25" w:history="1">
              <w:r w:rsidRPr="001C49D8">
                <w:rPr>
                  <w:rStyle w:val="Lienhypertexte"/>
                  <w:rFonts w:ascii="Times New Roman" w:hAnsi="Times New Roman" w:cs="Times New Roman"/>
                  <w:sz w:val="20"/>
                  <w:szCs w:val="20"/>
                  <w:lang w:eastAsia="fr-FR"/>
                </w:rPr>
                <w:t>marielle.halter-sztogryn@celca.caisse-epargne.fr</w:t>
              </w:r>
            </w:hyperlink>
            <w:r w:rsidRPr="001C49D8">
              <w:rPr>
                <w:rFonts w:ascii="Times New Roman" w:hAnsi="Times New Roman" w:cs="Times New Roman"/>
                <w:color w:val="000000"/>
                <w:sz w:val="20"/>
                <w:szCs w:val="20"/>
                <w:lang w:eastAsia="fr-FR"/>
              </w:rPr>
              <w:t xml:space="preserve"> . Au préalable, le client doit été informé des contraintes techniques liées à son choix de maintien de l’offre.</w:t>
            </w:r>
          </w:p>
        </w:tc>
      </w:tr>
      <w:tr w:rsidR="00764506" w:rsidRPr="00E81F6E" w:rsidTr="003D5BAA">
        <w:trPr>
          <w:trHeight w:val="248"/>
        </w:trPr>
        <w:tc>
          <w:tcPr>
            <w:tcW w:w="1560" w:type="dxa"/>
            <w:tcBorders>
              <w:bottom w:val="single" w:sz="4" w:space="0" w:color="auto"/>
            </w:tcBorders>
          </w:tcPr>
          <w:p w:rsidR="00764506" w:rsidRDefault="00764506">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764506" w:rsidRPr="00D32C31" w:rsidRDefault="00764506">
            <w:pPr>
              <w:rPr>
                <w:rFonts w:ascii="Times New Roman" w:hAnsi="Times New Roman" w:cs="Times New Roman"/>
                <w:b/>
                <w:bCs/>
                <w:sz w:val="20"/>
                <w:szCs w:val="20"/>
              </w:rPr>
            </w:pPr>
            <w:r w:rsidRPr="001C49D8">
              <w:rPr>
                <w:rFonts w:ascii="Times New Roman" w:hAnsi="Times New Roman" w:cs="Times New Roman"/>
                <w:b/>
                <w:bCs/>
                <w:sz w:val="20"/>
                <w:szCs w:val="20"/>
              </w:rPr>
              <w:t>DDA – Assurance Auto Pro</w:t>
            </w:r>
          </w:p>
        </w:tc>
        <w:tc>
          <w:tcPr>
            <w:tcW w:w="12332" w:type="dxa"/>
            <w:tcBorders>
              <w:bottom w:val="single" w:sz="4" w:space="0" w:color="auto"/>
            </w:tcBorders>
            <w:shd w:val="clear" w:color="auto" w:fill="auto"/>
          </w:tcPr>
          <w:p w:rsidR="00B2193D" w:rsidRDefault="00B2193D" w:rsidP="00B2193D">
            <w:pPr>
              <w:numPr>
                <w:ilvl w:val="0"/>
                <w:numId w:val="9"/>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La mise en application de la Directive sur la Distribution d’Assurance (DDA) </w:t>
            </w:r>
            <w:r w:rsidRPr="003C0058">
              <w:rPr>
                <w:rFonts w:ascii="Times New Roman" w:hAnsi="Times New Roman" w:cs="Times New Roman"/>
                <w:sz w:val="20"/>
                <w:szCs w:val="20"/>
              </w:rPr>
              <w:t>sera effective au 1er octobre 2018. Dans ce cadre, un IPID (</w:t>
            </w:r>
            <w:proofErr w:type="spellStart"/>
            <w:r w:rsidRPr="003C0058">
              <w:rPr>
                <w:rFonts w:ascii="Times New Roman" w:hAnsi="Times New Roman" w:cs="Times New Roman"/>
                <w:sz w:val="20"/>
                <w:szCs w:val="20"/>
              </w:rPr>
              <w:t>Insurance</w:t>
            </w:r>
            <w:proofErr w:type="spellEnd"/>
            <w:r w:rsidRPr="003C0058">
              <w:rPr>
                <w:rFonts w:ascii="Times New Roman" w:hAnsi="Times New Roman" w:cs="Times New Roman"/>
                <w:sz w:val="20"/>
                <w:szCs w:val="20"/>
              </w:rPr>
              <w:t xml:space="preserve"> Product Information Document ou document d’information sur les produits d’assurance en français) doit désormais être remis aux clients avant tous les autres documents (contractuels ou non contractuels) d’un contrat Auto Pro (il est accessible via la page produit du site </w:t>
            </w:r>
            <w:hyperlink r:id="rId26" w:history="1">
              <w:r w:rsidRPr="003C0058">
                <w:rPr>
                  <w:rStyle w:val="Lienhypertexte"/>
                  <w:rFonts w:ascii="Times New Roman" w:hAnsi="Times New Roman" w:cs="Times New Roman"/>
                  <w:sz w:val="20"/>
                  <w:szCs w:val="20"/>
                </w:rPr>
                <w:t>www.caisse-epargne.fr</w:t>
              </w:r>
            </w:hyperlink>
            <w:r w:rsidRPr="003C0058">
              <w:rPr>
                <w:rFonts w:ascii="Times New Roman" w:hAnsi="Times New Roman" w:cs="Times New Roman"/>
                <w:color w:val="1F497D"/>
                <w:sz w:val="20"/>
                <w:szCs w:val="20"/>
              </w:rPr>
              <w:t xml:space="preserve"> </w:t>
            </w:r>
            <w:r w:rsidRPr="003C0058">
              <w:rPr>
                <w:rFonts w:ascii="Times New Roman" w:hAnsi="Times New Roman" w:cs="Times New Roman"/>
                <w:sz w:val="20"/>
                <w:szCs w:val="20"/>
              </w:rPr>
              <w:t>et dans l’onglet « produits CE » de l’intranet BPCEA. Lors de la signature d’un contrat, l’IPID est intégré et imprimé dans la liasse contractuelle.</w:t>
            </w:r>
          </w:p>
          <w:p w:rsidR="00B2193D" w:rsidRPr="003C0058" w:rsidRDefault="00B2193D" w:rsidP="00B2193D">
            <w:pPr>
              <w:numPr>
                <w:ilvl w:val="0"/>
                <w:numId w:val="9"/>
              </w:numPr>
              <w:ind w:left="176" w:hanging="176"/>
              <w:contextualSpacing/>
              <w:jc w:val="both"/>
              <w:rPr>
                <w:rFonts w:ascii="Times New Roman" w:hAnsi="Times New Roman" w:cs="Times New Roman"/>
                <w:sz w:val="20"/>
                <w:szCs w:val="20"/>
              </w:rPr>
            </w:pPr>
            <w:r w:rsidRPr="003C0058">
              <w:rPr>
                <w:rFonts w:ascii="Times New Roman" w:hAnsi="Times New Roman" w:cs="Times New Roman"/>
                <w:color w:val="000000"/>
                <w:sz w:val="20"/>
                <w:szCs w:val="20"/>
                <w:lang w:eastAsia="fr-FR"/>
              </w:rPr>
              <w:t xml:space="preserve">Afin de répondre aux contraintes de la DDA mais aussi pour vous aider au maximum dans votre démarche de conseil, une </w:t>
            </w:r>
            <w:r w:rsidRPr="003C0058">
              <w:rPr>
                <w:rFonts w:ascii="Times New Roman" w:hAnsi="Times New Roman" w:cs="Times New Roman"/>
                <w:b/>
                <w:bCs/>
                <w:color w:val="000000"/>
                <w:sz w:val="20"/>
                <w:szCs w:val="20"/>
                <w:lang w:eastAsia="fr-FR"/>
              </w:rPr>
              <w:t xml:space="preserve">nouvelle approche </w:t>
            </w:r>
            <w:r w:rsidRPr="003C0058">
              <w:rPr>
                <w:rFonts w:ascii="Times New Roman" w:hAnsi="Times New Roman" w:cs="Times New Roman"/>
                <w:color w:val="000000"/>
                <w:sz w:val="20"/>
                <w:szCs w:val="20"/>
                <w:lang w:eastAsia="fr-FR"/>
              </w:rPr>
              <w:t xml:space="preserve">a été mise en place. </w:t>
            </w:r>
            <w:r w:rsidRPr="003C0058">
              <w:rPr>
                <w:rFonts w:ascii="Times New Roman" w:hAnsi="Times New Roman" w:cs="Times New Roman"/>
                <w:b/>
                <w:bCs/>
                <w:color w:val="000000"/>
                <w:sz w:val="20"/>
                <w:szCs w:val="20"/>
                <w:lang w:eastAsia="fr-FR"/>
              </w:rPr>
              <w:t>2 propositions sont faites systématiquement au client :</w:t>
            </w:r>
          </w:p>
          <w:p w:rsidR="00B2193D" w:rsidRDefault="00B2193D" w:rsidP="00B2193D">
            <w:pPr>
              <w:ind w:left="176"/>
              <w:contextualSpacing/>
              <w:rPr>
                <w:rFonts w:ascii="Times New Roman" w:hAnsi="Times New Roman" w:cs="Times New Roman"/>
                <w:color w:val="000000"/>
                <w:sz w:val="20"/>
                <w:szCs w:val="20"/>
                <w:lang w:eastAsia="fr-FR"/>
              </w:rPr>
            </w:pPr>
            <w:bookmarkStart w:id="0" w:name="_GoBack"/>
            <w:r>
              <w:rPr>
                <w:noProof/>
                <w:lang w:eastAsia="fr-FR"/>
              </w:rPr>
              <w:drawing>
                <wp:inline distT="0" distB="0" distL="0" distR="0" wp14:anchorId="1A479C74" wp14:editId="4849D480">
                  <wp:extent cx="3740383" cy="871268"/>
                  <wp:effectExtent l="0" t="0" r="0" b="5080"/>
                  <wp:docPr id="1" name="Image 1" descr="cid:image003.jpg@01D3B9F8.A3DD65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id:image003.jpg@01D3B9F8.A3DD65A0"/>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3758330" cy="875448"/>
                          </a:xfrm>
                          <a:prstGeom prst="rect">
                            <a:avLst/>
                          </a:prstGeom>
                          <a:noFill/>
                          <a:ln>
                            <a:noFill/>
                          </a:ln>
                        </pic:spPr>
                      </pic:pic>
                    </a:graphicData>
                  </a:graphic>
                </wp:inline>
              </w:drawing>
            </w:r>
            <w:bookmarkEnd w:id="0"/>
          </w:p>
          <w:p w:rsidR="00B2193D" w:rsidRPr="003C0058" w:rsidRDefault="00B2193D" w:rsidP="00B2193D">
            <w:pPr>
              <w:numPr>
                <w:ilvl w:val="0"/>
                <w:numId w:val="9"/>
              </w:numPr>
              <w:ind w:left="176" w:hanging="176"/>
              <w:contextualSpacing/>
              <w:jc w:val="both"/>
              <w:rPr>
                <w:rFonts w:ascii="Times New Roman" w:hAnsi="Times New Roman" w:cs="Times New Roman"/>
                <w:color w:val="000000"/>
                <w:sz w:val="20"/>
                <w:szCs w:val="20"/>
                <w:lang w:eastAsia="fr-FR"/>
              </w:rPr>
            </w:pPr>
            <w:r w:rsidRPr="003C0058">
              <w:rPr>
                <w:rFonts w:ascii="Times New Roman" w:hAnsi="Times New Roman" w:cs="Times New Roman"/>
                <w:color w:val="000000"/>
                <w:sz w:val="20"/>
                <w:szCs w:val="20"/>
                <w:lang w:eastAsia="fr-FR"/>
              </w:rPr>
              <w:t xml:space="preserve">Cette approche </w:t>
            </w:r>
            <w:r w:rsidRPr="003C0058">
              <w:rPr>
                <w:rFonts w:ascii="Times New Roman" w:hAnsi="Times New Roman" w:cs="Times New Roman"/>
                <w:b/>
                <w:bCs/>
                <w:color w:val="000000"/>
                <w:sz w:val="20"/>
                <w:szCs w:val="20"/>
                <w:lang w:eastAsia="fr-FR"/>
              </w:rPr>
              <w:t xml:space="preserve">sera dupliquée de façon uniforme sur l’ensemble des contrats IARD PRO </w:t>
            </w:r>
            <w:r w:rsidRPr="003C0058">
              <w:rPr>
                <w:rFonts w:ascii="Times New Roman" w:hAnsi="Times New Roman" w:cs="Times New Roman"/>
                <w:color w:val="000000"/>
                <w:sz w:val="20"/>
                <w:szCs w:val="20"/>
                <w:lang w:eastAsia="fr-FR"/>
              </w:rPr>
              <w:t>éligibles à la DDA courant 2018.</w:t>
            </w:r>
          </w:p>
          <w:p w:rsidR="00B2193D" w:rsidRPr="003C0058" w:rsidRDefault="00B2193D" w:rsidP="00B2193D">
            <w:pPr>
              <w:numPr>
                <w:ilvl w:val="0"/>
                <w:numId w:val="9"/>
              </w:numPr>
              <w:ind w:left="176" w:hanging="176"/>
              <w:contextualSpacing/>
              <w:jc w:val="both"/>
              <w:rPr>
                <w:rFonts w:ascii="Times New Roman" w:hAnsi="Times New Roman" w:cs="Times New Roman"/>
                <w:color w:val="000000"/>
                <w:sz w:val="20"/>
                <w:szCs w:val="20"/>
                <w:lang w:eastAsia="fr-FR"/>
              </w:rPr>
            </w:pPr>
            <w:r w:rsidRPr="003C0058">
              <w:rPr>
                <w:rFonts w:ascii="Times New Roman" w:hAnsi="Times New Roman" w:cs="Times New Roman"/>
                <w:b/>
                <w:bCs/>
                <w:color w:val="000000"/>
                <w:sz w:val="20"/>
                <w:szCs w:val="20"/>
                <w:lang w:eastAsia="fr-FR"/>
              </w:rPr>
              <w:t>Bon à savoir :</w:t>
            </w:r>
            <w:r w:rsidRPr="003C0058">
              <w:rPr>
                <w:rFonts w:ascii="Times New Roman" w:hAnsi="Times New Roman" w:cs="Times New Roman"/>
                <w:color w:val="000000"/>
                <w:sz w:val="20"/>
                <w:szCs w:val="20"/>
                <w:lang w:eastAsia="fr-FR"/>
              </w:rPr>
              <w:t xml:space="preserve"> pour </w:t>
            </w:r>
            <w:proofErr w:type="gramStart"/>
            <w:r w:rsidRPr="003C0058">
              <w:rPr>
                <w:rFonts w:ascii="Times New Roman" w:hAnsi="Times New Roman" w:cs="Times New Roman"/>
                <w:color w:val="000000"/>
                <w:sz w:val="20"/>
                <w:szCs w:val="20"/>
                <w:lang w:eastAsia="fr-FR"/>
              </w:rPr>
              <w:t>l’ Assurance</w:t>
            </w:r>
            <w:proofErr w:type="gramEnd"/>
            <w:r w:rsidRPr="003C0058">
              <w:rPr>
                <w:rFonts w:ascii="Times New Roman" w:hAnsi="Times New Roman" w:cs="Times New Roman"/>
                <w:color w:val="000000"/>
                <w:sz w:val="20"/>
                <w:szCs w:val="20"/>
                <w:lang w:eastAsia="fr-FR"/>
              </w:rPr>
              <w:t xml:space="preserve"> Auto des professionnels, la règle principale déterminant le </w:t>
            </w:r>
            <w:r w:rsidRPr="003C0058">
              <w:rPr>
                <w:rFonts w:ascii="Times New Roman" w:hAnsi="Times New Roman" w:cs="Times New Roman"/>
                <w:b/>
                <w:bCs/>
                <w:color w:val="000000"/>
                <w:sz w:val="20"/>
                <w:szCs w:val="20"/>
                <w:lang w:eastAsia="fr-FR"/>
              </w:rPr>
              <w:t xml:space="preserve">cœur de conseil poussé par l’outil de souscription </w:t>
            </w:r>
            <w:r w:rsidRPr="003C0058">
              <w:rPr>
                <w:rFonts w:ascii="Times New Roman" w:hAnsi="Times New Roman" w:cs="Times New Roman"/>
                <w:color w:val="000000"/>
                <w:sz w:val="20"/>
                <w:szCs w:val="20"/>
                <w:lang w:eastAsia="fr-FR"/>
              </w:rPr>
              <w:t xml:space="preserve">est </w:t>
            </w:r>
            <w:r w:rsidRPr="003C0058">
              <w:rPr>
                <w:rFonts w:ascii="Times New Roman" w:hAnsi="Times New Roman" w:cs="Times New Roman"/>
                <w:b/>
                <w:bCs/>
                <w:color w:val="000000"/>
                <w:sz w:val="20"/>
                <w:szCs w:val="20"/>
                <w:lang w:eastAsia="fr-FR"/>
              </w:rPr>
              <w:t>fonction de l’âge du véhicule :</w:t>
            </w:r>
          </w:p>
          <w:p w:rsidR="00B2193D" w:rsidRDefault="00B2193D" w:rsidP="00B2193D">
            <w:pPr>
              <w:numPr>
                <w:ilvl w:val="1"/>
                <w:numId w:val="9"/>
              </w:numPr>
              <w:ind w:left="742"/>
              <w:contextualSpacing/>
              <w:rPr>
                <w:rFonts w:ascii="Times New Roman" w:hAnsi="Times New Roman" w:cs="Times New Roman"/>
                <w:color w:val="000000"/>
                <w:sz w:val="20"/>
                <w:szCs w:val="20"/>
                <w:lang w:eastAsia="fr-FR"/>
              </w:rPr>
            </w:pPr>
            <w:r>
              <w:rPr>
                <w:rFonts w:ascii="Times New Roman" w:hAnsi="Times New Roman" w:cs="Times New Roman"/>
                <w:b/>
                <w:bCs/>
                <w:color w:val="000000"/>
                <w:sz w:val="20"/>
                <w:szCs w:val="20"/>
                <w:lang w:eastAsia="fr-FR"/>
              </w:rPr>
              <w:t xml:space="preserve">si le véhicule a moins de 10 ans </w:t>
            </w:r>
            <w:r>
              <w:rPr>
                <w:rFonts w:ascii="Wingdings" w:hAnsi="Wingdings"/>
                <w:color w:val="000000"/>
                <w:sz w:val="20"/>
                <w:szCs w:val="20"/>
                <w:lang w:eastAsia="fr-FR"/>
              </w:rPr>
              <w:t></w:t>
            </w:r>
            <w:r>
              <w:rPr>
                <w:rFonts w:ascii="Times New Roman" w:hAnsi="Times New Roman" w:cs="Times New Roman"/>
                <w:color w:val="000000"/>
                <w:sz w:val="20"/>
                <w:szCs w:val="20"/>
                <w:lang w:eastAsia="fr-FR"/>
              </w:rPr>
              <w:t xml:space="preserve"> la formule </w:t>
            </w:r>
            <w:r>
              <w:rPr>
                <w:rFonts w:ascii="Times New Roman" w:hAnsi="Times New Roman" w:cs="Times New Roman"/>
                <w:b/>
                <w:bCs/>
                <w:color w:val="000000"/>
                <w:sz w:val="20"/>
                <w:szCs w:val="20"/>
                <w:lang w:eastAsia="fr-FR"/>
              </w:rPr>
              <w:t xml:space="preserve">« Tous risques » </w:t>
            </w:r>
            <w:r>
              <w:rPr>
                <w:rFonts w:ascii="Times New Roman" w:hAnsi="Times New Roman" w:cs="Times New Roman"/>
                <w:color w:val="000000"/>
                <w:sz w:val="20"/>
                <w:szCs w:val="20"/>
                <w:lang w:eastAsia="fr-FR"/>
              </w:rPr>
              <w:t xml:space="preserve">est poussée automatiquement dans la partie « proposition conseillée ». Si le client souhaite souscrire une formule « Tiers », il faudra passer par la proposition alternative «  l’autre proposition ». </w:t>
            </w:r>
          </w:p>
          <w:p w:rsidR="00B2193D" w:rsidRDefault="00B2193D" w:rsidP="00B2193D">
            <w:pPr>
              <w:numPr>
                <w:ilvl w:val="1"/>
                <w:numId w:val="9"/>
              </w:numPr>
              <w:ind w:left="742"/>
              <w:contextualSpacing/>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w:t>
            </w:r>
            <w:r>
              <w:rPr>
                <w:rFonts w:ascii="Times New Roman" w:hAnsi="Times New Roman" w:cs="Times New Roman"/>
                <w:b/>
                <w:bCs/>
                <w:color w:val="000000"/>
                <w:sz w:val="20"/>
                <w:szCs w:val="20"/>
                <w:lang w:eastAsia="fr-FR"/>
              </w:rPr>
              <w:t xml:space="preserve">si le véhicule a plus de 10 ans et que </w:t>
            </w:r>
            <w:r>
              <w:rPr>
                <w:rFonts w:ascii="Times New Roman" w:hAnsi="Times New Roman" w:cs="Times New Roman"/>
                <w:color w:val="000000"/>
                <w:sz w:val="20"/>
                <w:szCs w:val="20"/>
                <w:lang w:eastAsia="fr-FR"/>
              </w:rPr>
              <w:t xml:space="preserve">l’assuré ne souhaite pas être couvert en « dommages tous accidents » </w:t>
            </w:r>
            <w:r>
              <w:rPr>
                <w:rFonts w:ascii="Wingdings" w:hAnsi="Wingdings"/>
                <w:color w:val="000000"/>
                <w:sz w:val="20"/>
                <w:szCs w:val="20"/>
                <w:lang w:eastAsia="fr-FR"/>
              </w:rPr>
              <w:t></w:t>
            </w:r>
            <w:r>
              <w:rPr>
                <w:rFonts w:ascii="Times New Roman" w:hAnsi="Times New Roman" w:cs="Times New Roman"/>
                <w:color w:val="000000"/>
                <w:sz w:val="20"/>
                <w:szCs w:val="20"/>
                <w:lang w:eastAsia="fr-FR"/>
              </w:rPr>
              <w:t xml:space="preserve"> la formule </w:t>
            </w:r>
            <w:r>
              <w:rPr>
                <w:rFonts w:ascii="Times New Roman" w:hAnsi="Times New Roman" w:cs="Times New Roman"/>
                <w:b/>
                <w:bCs/>
                <w:color w:val="000000"/>
                <w:sz w:val="20"/>
                <w:szCs w:val="20"/>
                <w:lang w:eastAsia="fr-FR"/>
              </w:rPr>
              <w:t xml:space="preserve">« Tiers » </w:t>
            </w:r>
            <w:r>
              <w:rPr>
                <w:rFonts w:ascii="Times New Roman" w:hAnsi="Times New Roman" w:cs="Times New Roman"/>
                <w:color w:val="000000"/>
                <w:sz w:val="20"/>
                <w:szCs w:val="20"/>
                <w:lang w:eastAsia="fr-FR"/>
              </w:rPr>
              <w:t xml:space="preserve">est </w:t>
            </w:r>
            <w:r>
              <w:rPr>
                <w:rFonts w:ascii="Times New Roman" w:hAnsi="Times New Roman" w:cs="Times New Roman"/>
                <w:color w:val="000000"/>
                <w:sz w:val="20"/>
                <w:szCs w:val="20"/>
                <w:lang w:eastAsia="fr-FR"/>
              </w:rPr>
              <w:lastRenderedPageBreak/>
              <w:t>proposée.</w:t>
            </w:r>
          </w:p>
          <w:p w:rsidR="00764506" w:rsidRPr="00B2193D" w:rsidRDefault="00B2193D" w:rsidP="00B2193D">
            <w:pPr>
              <w:numPr>
                <w:ilvl w:val="0"/>
                <w:numId w:val="9"/>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Retrouvez </w:t>
            </w:r>
            <w:r w:rsidRPr="00B2193D">
              <w:rPr>
                <w:rFonts w:ascii="Times New Roman" w:hAnsi="Times New Roman" w:cs="Times New Roman"/>
                <w:color w:val="000000"/>
                <w:sz w:val="20"/>
                <w:szCs w:val="20"/>
                <w:lang w:eastAsia="fr-FR"/>
              </w:rPr>
              <w:t xml:space="preserve">plus d’infos </w:t>
            </w:r>
            <w:hyperlink r:id="rId29" w:history="1">
              <w:r w:rsidRPr="00B2193D">
                <w:rPr>
                  <w:rStyle w:val="Lienhypertexte"/>
                  <w:rFonts w:ascii="Times New Roman" w:hAnsi="Times New Roman" w:cs="Times New Roman"/>
                  <w:sz w:val="20"/>
                  <w:szCs w:val="20"/>
                  <w:lang w:eastAsia="fr-FR"/>
                </w:rPr>
                <w:t>dans l’Espace Pros de la Rubrique des Commerciaux / Assurances IARD et Prévoyance / IARD PRO / Auto PRO.</w:t>
              </w:r>
            </w:hyperlink>
          </w:p>
        </w:tc>
      </w:tr>
      <w:tr w:rsidR="00232105" w:rsidRPr="00E81F6E" w:rsidTr="003D5BAA">
        <w:trPr>
          <w:trHeight w:val="248"/>
        </w:trPr>
        <w:tc>
          <w:tcPr>
            <w:tcW w:w="1560" w:type="dxa"/>
            <w:tcBorders>
              <w:bottom w:val="single" w:sz="4" w:space="0" w:color="auto"/>
            </w:tcBorders>
          </w:tcPr>
          <w:p w:rsidR="00232105" w:rsidRDefault="00232105" w:rsidP="00007762">
            <w:pPr>
              <w:rPr>
                <w:rFonts w:ascii="Times New Roman" w:hAnsi="Times New Roman" w:cs="Times New Roman"/>
                <w:b/>
                <w:bCs/>
                <w:sz w:val="20"/>
                <w:szCs w:val="20"/>
              </w:rPr>
            </w:pPr>
            <w:r>
              <w:rPr>
                <w:rFonts w:ascii="Times New Roman" w:hAnsi="Times New Roman" w:cs="Times New Roman"/>
                <w:b/>
                <w:bCs/>
                <w:sz w:val="20"/>
                <w:szCs w:val="20"/>
              </w:rPr>
              <w:lastRenderedPageBreak/>
              <w:t>Com. DMP</w:t>
            </w:r>
          </w:p>
        </w:tc>
        <w:tc>
          <w:tcPr>
            <w:tcW w:w="1843" w:type="dxa"/>
            <w:tcBorders>
              <w:bottom w:val="single" w:sz="4" w:space="0" w:color="auto"/>
            </w:tcBorders>
          </w:tcPr>
          <w:p w:rsidR="00232105" w:rsidRPr="001C49D8" w:rsidRDefault="00232105" w:rsidP="00007762">
            <w:pPr>
              <w:rPr>
                <w:rFonts w:ascii="Times New Roman" w:hAnsi="Times New Roman" w:cs="Times New Roman"/>
                <w:b/>
                <w:bCs/>
                <w:sz w:val="20"/>
                <w:szCs w:val="20"/>
              </w:rPr>
            </w:pPr>
            <w:r>
              <w:rPr>
                <w:rFonts w:ascii="Times New Roman" w:hAnsi="Times New Roman" w:cs="Times New Roman"/>
                <w:b/>
                <w:bCs/>
                <w:sz w:val="20"/>
                <w:szCs w:val="20"/>
              </w:rPr>
              <w:t>Actualités IARD PRO</w:t>
            </w:r>
          </w:p>
        </w:tc>
        <w:tc>
          <w:tcPr>
            <w:tcW w:w="12332" w:type="dxa"/>
            <w:tcBorders>
              <w:bottom w:val="single" w:sz="4" w:space="0" w:color="auto"/>
            </w:tcBorders>
            <w:shd w:val="clear" w:color="auto" w:fill="auto"/>
          </w:tcPr>
          <w:p w:rsidR="00232105" w:rsidRDefault="00232105" w:rsidP="00232105">
            <w:pPr>
              <w:numPr>
                <w:ilvl w:val="0"/>
                <w:numId w:val="9"/>
              </w:numPr>
              <w:ind w:left="176" w:hanging="176"/>
              <w:contextualSpacing/>
              <w:jc w:val="both"/>
              <w:rPr>
                <w:rFonts w:ascii="Times New Roman" w:hAnsi="Times New Roman" w:cs="Times New Roman"/>
                <w:sz w:val="20"/>
                <w:szCs w:val="20"/>
              </w:rPr>
            </w:pPr>
            <w:r w:rsidRPr="007F391F">
              <w:rPr>
                <w:rFonts w:ascii="Times New Roman" w:hAnsi="Times New Roman" w:cs="Times New Roman"/>
                <w:sz w:val="20"/>
                <w:szCs w:val="20"/>
              </w:rPr>
              <w:t>AUTO PRO</w:t>
            </w:r>
            <w:r>
              <w:rPr>
                <w:rFonts w:ascii="Times New Roman" w:hAnsi="Times New Roman" w:cs="Times New Roman"/>
                <w:sz w:val="20"/>
                <w:szCs w:val="20"/>
              </w:rPr>
              <w:t xml:space="preserve"> </w:t>
            </w:r>
            <w:r w:rsidRPr="007F391F">
              <w:rPr>
                <w:rFonts w:ascii="Times New Roman" w:hAnsi="Times New Roman" w:cs="Times New Roman"/>
                <w:sz w:val="20"/>
                <w:szCs w:val="20"/>
              </w:rPr>
              <w:t>: baisse tarifaire de 2% en moyenne sur environ 400 véhicules SUV et 4X4 en formule tous risques.</w:t>
            </w:r>
          </w:p>
          <w:p w:rsidR="00232105" w:rsidRDefault="00232105" w:rsidP="00232105">
            <w:pPr>
              <w:numPr>
                <w:ilvl w:val="0"/>
                <w:numId w:val="9"/>
              </w:numPr>
              <w:ind w:left="176" w:hanging="176"/>
              <w:contextualSpacing/>
              <w:jc w:val="both"/>
              <w:rPr>
                <w:rFonts w:ascii="Times New Roman" w:hAnsi="Times New Roman" w:cs="Times New Roman"/>
                <w:sz w:val="20"/>
                <w:szCs w:val="20"/>
              </w:rPr>
            </w:pPr>
            <w:r w:rsidRPr="007F391F">
              <w:rPr>
                <w:rFonts w:ascii="Times New Roman" w:hAnsi="Times New Roman" w:cs="Times New Roman"/>
                <w:sz w:val="20"/>
                <w:szCs w:val="20"/>
              </w:rPr>
              <w:t>MULTIRISQUE PRO : une nouvelle note concernant la souscription en cas de « pluralité d’occupants » est à votre disposition dans l’aide générale de l’outil de souscription IARD PRO (outil de souscription pro / aide générale / E-doc 45341). Elle comprend les consignes et les schémas indiquant comment assurer dans ce type de cas tant les propriétaires d’un bien que ses occupants, locataires ou sous-locataires (</w:t>
            </w:r>
            <w:proofErr w:type="spellStart"/>
            <w:r w:rsidRPr="007F391F">
              <w:rPr>
                <w:rFonts w:ascii="Times New Roman" w:hAnsi="Times New Roman" w:cs="Times New Roman"/>
                <w:sz w:val="20"/>
                <w:szCs w:val="20"/>
              </w:rPr>
              <w:t>co-working</w:t>
            </w:r>
            <w:proofErr w:type="spellEnd"/>
            <w:r w:rsidRPr="007F391F">
              <w:rPr>
                <w:rFonts w:ascii="Times New Roman" w:hAnsi="Times New Roman" w:cs="Times New Roman"/>
                <w:sz w:val="20"/>
                <w:szCs w:val="20"/>
              </w:rPr>
              <w:t>, open-</w:t>
            </w:r>
            <w:proofErr w:type="spellStart"/>
            <w:r w:rsidRPr="007F391F">
              <w:rPr>
                <w:rFonts w:ascii="Times New Roman" w:hAnsi="Times New Roman" w:cs="Times New Roman"/>
                <w:sz w:val="20"/>
                <w:szCs w:val="20"/>
              </w:rPr>
              <w:t>space</w:t>
            </w:r>
            <w:proofErr w:type="spellEnd"/>
            <w:r w:rsidRPr="007F391F">
              <w:rPr>
                <w:rFonts w:ascii="Times New Roman" w:hAnsi="Times New Roman" w:cs="Times New Roman"/>
                <w:sz w:val="20"/>
                <w:szCs w:val="20"/>
              </w:rPr>
              <w:t>, SCM et SCP, location gérance, sous-location, exploitation d’une activité dans un centre commercial, …). Son objectif est de vous permettre de souscrire dans de nombreux cas directement sans besoin d’accord ni d’adaptation tarifaire.</w:t>
            </w:r>
          </w:p>
          <w:p w:rsidR="00232105" w:rsidRDefault="00232105" w:rsidP="00232105">
            <w:pPr>
              <w:numPr>
                <w:ilvl w:val="0"/>
                <w:numId w:val="9"/>
              </w:numPr>
              <w:ind w:left="176" w:hanging="176"/>
              <w:contextualSpacing/>
              <w:jc w:val="both"/>
              <w:rPr>
                <w:rFonts w:ascii="Times New Roman" w:hAnsi="Times New Roman" w:cs="Times New Roman"/>
                <w:sz w:val="20"/>
                <w:szCs w:val="20"/>
              </w:rPr>
            </w:pPr>
            <w:r w:rsidRPr="007F391F">
              <w:rPr>
                <w:rFonts w:ascii="Times New Roman" w:hAnsi="Times New Roman" w:cs="Times New Roman"/>
                <w:sz w:val="20"/>
                <w:szCs w:val="20"/>
              </w:rPr>
              <w:t>GARANTIE PERTES D’EXPLOITATION : désormais l’outil de souscription permet de choisir entre une période de 12, 18  ou 24 mois la durée d’indemnisation PEX versée au client.</w:t>
            </w:r>
          </w:p>
          <w:p w:rsidR="00232105" w:rsidRPr="007F391F" w:rsidRDefault="00232105" w:rsidP="00232105">
            <w:pPr>
              <w:numPr>
                <w:ilvl w:val="0"/>
                <w:numId w:val="9"/>
              </w:numPr>
              <w:ind w:left="176" w:hanging="176"/>
              <w:contextualSpacing/>
              <w:jc w:val="both"/>
              <w:rPr>
                <w:rFonts w:ascii="Times New Roman" w:hAnsi="Times New Roman" w:cs="Times New Roman"/>
                <w:sz w:val="20"/>
                <w:szCs w:val="20"/>
              </w:rPr>
            </w:pPr>
            <w:r w:rsidRPr="007F391F">
              <w:rPr>
                <w:rFonts w:ascii="Times New Roman" w:hAnsi="Times New Roman" w:cs="Times New Roman"/>
                <w:sz w:val="20"/>
                <w:szCs w:val="20"/>
              </w:rPr>
              <w:t xml:space="preserve">CONTRAT MULTIRISQUE NON EXPLOITANT (garage) ET MULTIRISQUE PRO (activité gardiennage de véhicules) : </w:t>
            </w:r>
            <w:r>
              <w:rPr>
                <w:rFonts w:ascii="Times New Roman" w:hAnsi="Times New Roman" w:cs="Times New Roman"/>
                <w:color w:val="000000"/>
                <w:sz w:val="20"/>
                <w:szCs w:val="20"/>
                <w:lang w:eastAsia="fr-FR"/>
              </w:rPr>
              <w:t xml:space="preserve">retrouvez dans </w:t>
            </w:r>
            <w:hyperlink r:id="rId30" w:history="1">
              <w:r>
                <w:rPr>
                  <w:rStyle w:val="Lienhypertexte"/>
                  <w:rFonts w:ascii="Times New Roman" w:hAnsi="Times New Roman" w:cs="Times New Roman"/>
                  <w:sz w:val="20"/>
                  <w:szCs w:val="20"/>
                  <w:lang w:eastAsia="fr-FR"/>
                </w:rPr>
                <w:t>l’espace pros de la Rubrique des Commerciaux / Assurances IARD et Prévoyance / Multirisques Pros</w:t>
              </w:r>
            </w:hyperlink>
            <w:r>
              <w:rPr>
                <w:rFonts w:ascii="Times New Roman" w:hAnsi="Times New Roman" w:cs="Times New Roman"/>
                <w:color w:val="000000"/>
                <w:sz w:val="20"/>
                <w:szCs w:val="20"/>
                <w:lang w:eastAsia="fr-FR"/>
              </w:rPr>
              <w:t>,</w:t>
            </w:r>
            <w:r w:rsidRPr="007F391F">
              <w:rPr>
                <w:rFonts w:ascii="Times New Roman" w:hAnsi="Times New Roman" w:cs="Times New Roman"/>
                <w:sz w:val="20"/>
                <w:szCs w:val="20"/>
              </w:rPr>
              <w:t xml:space="preserve"> les bonnes pratiques à connaitre pour éviter les erreurs de souscription.</w:t>
            </w:r>
          </w:p>
        </w:tc>
      </w:tr>
      <w:tr w:rsidR="00232105" w:rsidRPr="00E81F6E" w:rsidTr="003D5BAA">
        <w:trPr>
          <w:trHeight w:val="248"/>
        </w:trPr>
        <w:tc>
          <w:tcPr>
            <w:tcW w:w="15735" w:type="dxa"/>
            <w:gridSpan w:val="3"/>
            <w:tcBorders>
              <w:bottom w:val="single" w:sz="4" w:space="0" w:color="auto"/>
            </w:tcBorders>
            <w:shd w:val="clear" w:color="auto" w:fill="BFBFBF" w:themeFill="background1" w:themeFillShade="BF"/>
          </w:tcPr>
          <w:p w:rsidR="00232105" w:rsidRPr="003D5BAA" w:rsidRDefault="00232105" w:rsidP="003D5BAA">
            <w:pPr>
              <w:contextualSpacing/>
              <w:jc w:val="center"/>
              <w:rPr>
                <w:rFonts w:ascii="Times New Roman" w:hAnsi="Times New Roman" w:cs="Times New Roman"/>
                <w:b/>
                <w:color w:val="000000"/>
                <w:sz w:val="20"/>
                <w:szCs w:val="20"/>
                <w:lang w:eastAsia="fr-FR"/>
              </w:rPr>
            </w:pPr>
            <w:r w:rsidRPr="003D5BAA">
              <w:rPr>
                <w:rFonts w:ascii="Times New Roman" w:hAnsi="Times New Roman" w:cs="Times New Roman"/>
                <w:b/>
                <w:color w:val="000000"/>
                <w:sz w:val="20"/>
                <w:szCs w:val="20"/>
                <w:lang w:eastAsia="fr-FR"/>
              </w:rPr>
              <w:t>Multicanal</w:t>
            </w:r>
          </w:p>
        </w:tc>
      </w:tr>
      <w:tr w:rsidR="00232105" w:rsidRPr="00E81F6E" w:rsidTr="00AF3BE3">
        <w:trPr>
          <w:trHeight w:val="248"/>
        </w:trPr>
        <w:tc>
          <w:tcPr>
            <w:tcW w:w="1560" w:type="dxa"/>
            <w:tcBorders>
              <w:bottom w:val="single" w:sz="4" w:space="0" w:color="auto"/>
            </w:tcBorders>
          </w:tcPr>
          <w:p w:rsidR="00232105" w:rsidRPr="00A36C8B" w:rsidRDefault="00232105">
            <w:r w:rsidRPr="00A36C8B">
              <w:rPr>
                <w:rFonts w:ascii="Times New Roman" w:hAnsi="Times New Roman" w:cs="Times New Roman"/>
                <w:b/>
                <w:bCs/>
                <w:sz w:val="20"/>
                <w:szCs w:val="20"/>
              </w:rPr>
              <w:t>Com. DMA</w:t>
            </w:r>
          </w:p>
        </w:tc>
        <w:tc>
          <w:tcPr>
            <w:tcW w:w="1843" w:type="dxa"/>
            <w:tcBorders>
              <w:bottom w:val="single" w:sz="4" w:space="0" w:color="auto"/>
            </w:tcBorders>
          </w:tcPr>
          <w:p w:rsidR="00232105" w:rsidRPr="003D5BAA" w:rsidRDefault="00232105" w:rsidP="005E3668">
            <w:pPr>
              <w:rPr>
                <w:rFonts w:ascii="Times New Roman" w:hAnsi="Times New Roman" w:cs="Times New Roman"/>
                <w:sz w:val="20"/>
                <w:szCs w:val="20"/>
              </w:rPr>
            </w:pPr>
            <w:proofErr w:type="spellStart"/>
            <w:r w:rsidRPr="00D36CA7">
              <w:rPr>
                <w:rFonts w:ascii="Times New Roman" w:hAnsi="Times New Roman" w:cs="Times New Roman"/>
                <w:b/>
                <w:sz w:val="20"/>
                <w:szCs w:val="20"/>
              </w:rPr>
              <w:t>eDocuments</w:t>
            </w:r>
            <w:proofErr w:type="spellEnd"/>
          </w:p>
        </w:tc>
        <w:tc>
          <w:tcPr>
            <w:tcW w:w="12332" w:type="dxa"/>
            <w:tcBorders>
              <w:bottom w:val="single" w:sz="4" w:space="0" w:color="auto"/>
            </w:tcBorders>
            <w:shd w:val="clear" w:color="auto" w:fill="auto"/>
          </w:tcPr>
          <w:p w:rsidR="00232105" w:rsidRPr="00D36CA7" w:rsidRDefault="00232105" w:rsidP="00D36CA7">
            <w:pPr>
              <w:numPr>
                <w:ilvl w:val="0"/>
                <w:numId w:val="15"/>
              </w:numPr>
              <w:ind w:left="176" w:hanging="176"/>
              <w:contextualSpacing/>
              <w:jc w:val="both"/>
              <w:rPr>
                <w:rFonts w:ascii="Times New Roman" w:hAnsi="Times New Roman" w:cs="Times New Roman"/>
                <w:b/>
                <w:sz w:val="20"/>
                <w:szCs w:val="20"/>
              </w:rPr>
            </w:pPr>
            <w:r w:rsidRPr="00D36CA7">
              <w:rPr>
                <w:rFonts w:ascii="Times New Roman" w:hAnsi="Times New Roman" w:cs="Times New Roman"/>
                <w:b/>
                <w:sz w:val="20"/>
                <w:szCs w:val="20"/>
              </w:rPr>
              <w:t>A compter du 18 mars, ITCE apporte des nouveautés au service e-Document :</w:t>
            </w:r>
          </w:p>
          <w:p w:rsidR="00232105" w:rsidRPr="00D36CA7" w:rsidRDefault="00232105" w:rsidP="00D36CA7">
            <w:pPr>
              <w:pStyle w:val="wordsection1"/>
              <w:numPr>
                <w:ilvl w:val="0"/>
                <w:numId w:val="8"/>
              </w:numPr>
              <w:spacing w:before="0" w:beforeAutospacing="0" w:after="0" w:afterAutospacing="0"/>
              <w:jc w:val="both"/>
              <w:rPr>
                <w:sz w:val="20"/>
                <w:szCs w:val="20"/>
              </w:rPr>
            </w:pPr>
            <w:r w:rsidRPr="00D36CA7">
              <w:rPr>
                <w:sz w:val="20"/>
                <w:szCs w:val="20"/>
              </w:rPr>
              <w:t>L’affichage de 2 nouveaux courriers (GEPT08 Ouverture Livret Jeune, FS0092G Info Annuelle Crédits Conso)</w:t>
            </w:r>
          </w:p>
          <w:p w:rsidR="00232105" w:rsidRDefault="00232105" w:rsidP="00D36CA7">
            <w:pPr>
              <w:pStyle w:val="wordsection1"/>
              <w:numPr>
                <w:ilvl w:val="0"/>
                <w:numId w:val="8"/>
              </w:numPr>
              <w:spacing w:before="0" w:beforeAutospacing="0" w:after="0" w:afterAutospacing="0"/>
              <w:jc w:val="both"/>
              <w:rPr>
                <w:sz w:val="20"/>
                <w:szCs w:val="20"/>
              </w:rPr>
            </w:pPr>
            <w:r w:rsidRPr="00D36CA7">
              <w:rPr>
                <w:sz w:val="20"/>
                <w:szCs w:val="20"/>
              </w:rPr>
              <w:t>La visualisation de l’historique des e-Documents liés à des con</w:t>
            </w:r>
            <w:r>
              <w:rPr>
                <w:sz w:val="20"/>
                <w:szCs w:val="20"/>
              </w:rPr>
              <w:t>trats ou clients bancaires clos</w:t>
            </w:r>
          </w:p>
          <w:p w:rsidR="00232105" w:rsidRPr="00D36CA7" w:rsidRDefault="00232105" w:rsidP="00D36CA7">
            <w:pPr>
              <w:pStyle w:val="wordsection1"/>
              <w:numPr>
                <w:ilvl w:val="0"/>
                <w:numId w:val="8"/>
              </w:numPr>
              <w:spacing w:before="0" w:beforeAutospacing="0" w:after="0" w:afterAutospacing="0"/>
              <w:jc w:val="both"/>
              <w:rPr>
                <w:sz w:val="20"/>
                <w:szCs w:val="20"/>
              </w:rPr>
            </w:pPr>
            <w:r w:rsidRPr="00D36CA7">
              <w:rPr>
                <w:sz w:val="20"/>
                <w:szCs w:val="20"/>
              </w:rPr>
              <w:t>La consultation possible des e-Documents résiliés</w:t>
            </w:r>
          </w:p>
          <w:p w:rsidR="00232105" w:rsidRPr="00D36CA7" w:rsidRDefault="00232105" w:rsidP="00D36CA7">
            <w:pPr>
              <w:pStyle w:val="wordsection1"/>
              <w:numPr>
                <w:ilvl w:val="0"/>
                <w:numId w:val="8"/>
              </w:numPr>
              <w:spacing w:before="0" w:beforeAutospacing="0" w:after="0" w:afterAutospacing="0"/>
              <w:jc w:val="both"/>
              <w:rPr>
                <w:sz w:val="20"/>
                <w:szCs w:val="20"/>
              </w:rPr>
            </w:pPr>
            <w:r w:rsidRPr="00D36CA7">
              <w:rPr>
                <w:sz w:val="20"/>
                <w:szCs w:val="20"/>
              </w:rPr>
              <w:t>La notification via MSI (et e-mail le cas échéant) au représentant légal du courrier d’ouverture de Livret Jeune (GEPT08)</w:t>
            </w:r>
          </w:p>
          <w:p w:rsidR="00232105" w:rsidRPr="002825C7" w:rsidRDefault="00232105" w:rsidP="003116EA">
            <w:pPr>
              <w:jc w:val="both"/>
              <w:rPr>
                <w:rFonts w:ascii="Arial" w:hAnsi="Arial" w:cs="Arial"/>
                <w:b/>
                <w:sz w:val="4"/>
                <w:szCs w:val="21"/>
              </w:rPr>
            </w:pPr>
          </w:p>
          <w:p w:rsidR="00232105" w:rsidRDefault="00232105" w:rsidP="003116EA">
            <w:pPr>
              <w:jc w:val="both"/>
              <w:rPr>
                <w:rFonts w:ascii="Arial" w:hAnsi="Arial" w:cs="Arial"/>
                <w:b/>
                <w:sz w:val="21"/>
                <w:szCs w:val="21"/>
              </w:rPr>
            </w:pPr>
          </w:p>
          <w:p w:rsidR="00232105" w:rsidRDefault="00232105" w:rsidP="003116EA">
            <w:pPr>
              <w:jc w:val="both"/>
              <w:rPr>
                <w:rFonts w:ascii="Arial" w:hAnsi="Arial" w:cs="Arial"/>
                <w:sz w:val="21"/>
                <w:szCs w:val="21"/>
              </w:rPr>
            </w:pPr>
            <w:r w:rsidRPr="00D36CA7">
              <w:rPr>
                <w:rFonts w:ascii="Times New Roman" w:hAnsi="Times New Roman" w:cs="Times New Roman"/>
                <w:b/>
                <w:sz w:val="20"/>
                <w:szCs w:val="20"/>
              </w:rPr>
              <w:t>AVANT PREMIERE</w:t>
            </w:r>
            <w:r w:rsidRPr="00D36CA7">
              <w:rPr>
                <w:rFonts w:ascii="Times New Roman" w:hAnsi="Times New Roman" w:cs="Times New Roman"/>
                <w:sz w:val="20"/>
                <w:szCs w:val="20"/>
                <w:lang w:eastAsia="fr-FR"/>
              </w:rPr>
              <w:t> :</w:t>
            </w:r>
            <w:r>
              <w:rPr>
                <w:rFonts w:ascii="Arial" w:hAnsi="Arial" w:cs="Arial"/>
                <w:sz w:val="21"/>
                <w:szCs w:val="21"/>
              </w:rPr>
              <w:t xml:space="preserve"> </w:t>
            </w:r>
            <w:r w:rsidRPr="00D36CA7">
              <w:rPr>
                <w:rFonts w:ascii="Times New Roman" w:hAnsi="Times New Roman" w:cs="Times New Roman"/>
                <w:sz w:val="20"/>
                <w:szCs w:val="20"/>
                <w:lang w:eastAsia="fr-FR"/>
              </w:rPr>
              <w:t xml:space="preserve">à compter du 08 avril un nouveau </w:t>
            </w:r>
            <w:proofErr w:type="spellStart"/>
            <w:r w:rsidRPr="00D36CA7">
              <w:rPr>
                <w:rFonts w:ascii="Times New Roman" w:hAnsi="Times New Roman" w:cs="Times New Roman"/>
                <w:sz w:val="20"/>
                <w:szCs w:val="20"/>
                <w:lang w:eastAsia="fr-FR"/>
              </w:rPr>
              <w:t>picto</w:t>
            </w:r>
            <w:proofErr w:type="spellEnd"/>
            <w:r w:rsidRPr="00D36CA7">
              <w:rPr>
                <w:rFonts w:ascii="Times New Roman" w:hAnsi="Times New Roman" w:cs="Times New Roman"/>
                <w:sz w:val="20"/>
                <w:szCs w:val="20"/>
                <w:lang w:eastAsia="fr-FR"/>
              </w:rPr>
              <w:t xml:space="preserve"> disponible sur la synthèse du client permettra de voir instantanément si le client est détenteur du service ou pas.</w:t>
            </w:r>
          </w:p>
          <w:p w:rsidR="00232105" w:rsidRDefault="00232105" w:rsidP="003116EA">
            <w:pPr>
              <w:jc w:val="both"/>
              <w:rPr>
                <w:rFonts w:ascii="Arial" w:hAnsi="Arial" w:cs="Arial"/>
                <w:sz w:val="21"/>
                <w:szCs w:val="21"/>
              </w:rPr>
            </w:pPr>
            <w:r>
              <w:rPr>
                <w:rFonts w:ascii="Arial" w:hAnsi="Arial" w:cs="Arial"/>
                <w:sz w:val="21"/>
                <w:szCs w:val="21"/>
              </w:rPr>
              <w:t xml:space="preserve">  </w:t>
            </w:r>
          </w:p>
          <w:p w:rsidR="00232105" w:rsidRPr="002B1F79" w:rsidRDefault="00232105" w:rsidP="003116EA">
            <w:pPr>
              <w:jc w:val="both"/>
            </w:pPr>
            <w:r>
              <w:rPr>
                <w:noProof/>
                <w:lang w:eastAsia="fr-FR"/>
              </w:rPr>
              <w:drawing>
                <wp:anchor distT="0" distB="0" distL="114300" distR="114300" simplePos="0" relativeHeight="251669504" behindDoc="0" locked="0" layoutInCell="1" allowOverlap="1" wp14:anchorId="3ADAAA53" wp14:editId="71C4F9A2">
                  <wp:simplePos x="0" y="0"/>
                  <wp:positionH relativeFrom="column">
                    <wp:posOffset>40640</wp:posOffset>
                  </wp:positionH>
                  <wp:positionV relativeFrom="paragraph">
                    <wp:posOffset>-540385</wp:posOffset>
                  </wp:positionV>
                  <wp:extent cx="847725" cy="523875"/>
                  <wp:effectExtent l="0" t="0" r="9525" b="9525"/>
                  <wp:wrapSquare wrapText="bothSides"/>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847725" cy="523875"/>
                          </a:xfrm>
                          <a:prstGeom prst="rect">
                            <a:avLst/>
                          </a:prstGeom>
                        </pic:spPr>
                      </pic:pic>
                    </a:graphicData>
                  </a:graphic>
                  <wp14:sizeRelH relativeFrom="page">
                    <wp14:pctWidth>0</wp14:pctWidth>
                  </wp14:sizeRelH>
                  <wp14:sizeRelV relativeFrom="page">
                    <wp14:pctHeight>0</wp14:pctHeight>
                  </wp14:sizeRelV>
                </wp:anchor>
              </w:drawing>
            </w:r>
            <w:r w:rsidRPr="001870E9">
              <w:rPr>
                <w:rFonts w:ascii="Arial" w:hAnsi="Arial" w:cs="Arial"/>
                <w:sz w:val="21"/>
                <w:szCs w:val="21"/>
              </w:rPr>
              <w:t xml:space="preserve"> </w:t>
            </w:r>
            <w:r>
              <w:rPr>
                <w:rFonts w:ascii="Arial" w:hAnsi="Arial" w:cs="Arial"/>
                <w:sz w:val="21"/>
                <w:szCs w:val="21"/>
              </w:rPr>
              <w:t xml:space="preserve"> </w:t>
            </w:r>
          </w:p>
        </w:tc>
      </w:tr>
      <w:tr w:rsidR="00232105" w:rsidRPr="00E81F6E" w:rsidTr="003179D1">
        <w:trPr>
          <w:trHeight w:val="248"/>
        </w:trPr>
        <w:tc>
          <w:tcPr>
            <w:tcW w:w="1560" w:type="dxa"/>
            <w:tcBorders>
              <w:bottom w:val="single" w:sz="4" w:space="0" w:color="auto"/>
            </w:tcBorders>
          </w:tcPr>
          <w:p w:rsidR="00232105" w:rsidRPr="00A36C8B" w:rsidRDefault="00232105">
            <w:r w:rsidRPr="00A36C8B">
              <w:rPr>
                <w:rFonts w:ascii="Times New Roman" w:hAnsi="Times New Roman" w:cs="Times New Roman"/>
                <w:b/>
                <w:bCs/>
                <w:sz w:val="20"/>
                <w:szCs w:val="20"/>
              </w:rPr>
              <w:t>Com. DMA</w:t>
            </w:r>
          </w:p>
        </w:tc>
        <w:tc>
          <w:tcPr>
            <w:tcW w:w="1843" w:type="dxa"/>
            <w:tcBorders>
              <w:bottom w:val="single" w:sz="4" w:space="0" w:color="auto"/>
            </w:tcBorders>
          </w:tcPr>
          <w:p w:rsidR="00232105" w:rsidRPr="003D5BAA" w:rsidRDefault="00232105" w:rsidP="005E3668">
            <w:pPr>
              <w:rPr>
                <w:rFonts w:ascii="Times New Roman" w:hAnsi="Times New Roman" w:cs="Times New Roman"/>
                <w:sz w:val="20"/>
                <w:szCs w:val="20"/>
              </w:rPr>
            </w:pPr>
            <w:r>
              <w:rPr>
                <w:rFonts w:ascii="Times New Roman" w:hAnsi="Times New Roman" w:cs="Times New Roman"/>
                <w:b/>
                <w:sz w:val="20"/>
                <w:szCs w:val="20"/>
              </w:rPr>
              <w:t>S</w:t>
            </w:r>
            <w:r w:rsidRPr="00D2360B">
              <w:rPr>
                <w:rFonts w:ascii="Times New Roman" w:hAnsi="Times New Roman" w:cs="Times New Roman"/>
                <w:b/>
                <w:sz w:val="20"/>
                <w:szCs w:val="20"/>
              </w:rPr>
              <w:t xml:space="preserve">ouscriptions à </w:t>
            </w:r>
            <w:proofErr w:type="spellStart"/>
            <w:r w:rsidRPr="00D2360B">
              <w:rPr>
                <w:rFonts w:ascii="Times New Roman" w:hAnsi="Times New Roman" w:cs="Times New Roman"/>
                <w:b/>
                <w:sz w:val="20"/>
                <w:szCs w:val="20"/>
              </w:rPr>
              <w:t>eDocuments</w:t>
            </w:r>
            <w:proofErr w:type="spellEnd"/>
            <w:r w:rsidRPr="00D2360B">
              <w:rPr>
                <w:rFonts w:ascii="Times New Roman" w:hAnsi="Times New Roman" w:cs="Times New Roman"/>
                <w:b/>
                <w:sz w:val="20"/>
                <w:szCs w:val="20"/>
              </w:rPr>
              <w:t xml:space="preserve"> </w:t>
            </w:r>
          </w:p>
        </w:tc>
        <w:tc>
          <w:tcPr>
            <w:tcW w:w="12332" w:type="dxa"/>
            <w:tcBorders>
              <w:bottom w:val="single" w:sz="4" w:space="0" w:color="auto"/>
            </w:tcBorders>
            <w:shd w:val="clear" w:color="auto" w:fill="auto"/>
          </w:tcPr>
          <w:p w:rsidR="00232105" w:rsidRPr="00D2360B" w:rsidRDefault="00232105" w:rsidP="00D2360B">
            <w:pPr>
              <w:numPr>
                <w:ilvl w:val="0"/>
                <w:numId w:val="15"/>
              </w:numPr>
              <w:ind w:left="176" w:hanging="176"/>
              <w:contextualSpacing/>
              <w:jc w:val="both"/>
              <w:rPr>
                <w:rFonts w:ascii="Times New Roman" w:hAnsi="Times New Roman" w:cs="Times New Roman"/>
                <w:b/>
                <w:sz w:val="20"/>
                <w:szCs w:val="20"/>
              </w:rPr>
            </w:pPr>
            <w:r w:rsidRPr="00D2360B">
              <w:rPr>
                <w:rFonts w:ascii="Times New Roman" w:hAnsi="Times New Roman" w:cs="Times New Roman"/>
                <w:b/>
                <w:sz w:val="20"/>
                <w:szCs w:val="20"/>
              </w:rPr>
              <w:t xml:space="preserve">Seules 20.8%  des nouvelles entrées en relation font l’objet d’une souscription conjointe au service e-Document. </w:t>
            </w:r>
          </w:p>
          <w:p w:rsidR="00232105" w:rsidRDefault="00232105" w:rsidP="00D2360B">
            <w:pPr>
              <w:numPr>
                <w:ilvl w:val="0"/>
                <w:numId w:val="15"/>
              </w:numPr>
              <w:ind w:left="176" w:hanging="176"/>
              <w:contextualSpacing/>
              <w:jc w:val="both"/>
              <w:rPr>
                <w:rFonts w:ascii="Times New Roman" w:hAnsi="Times New Roman" w:cs="Times New Roman"/>
                <w:b/>
                <w:sz w:val="20"/>
                <w:szCs w:val="20"/>
              </w:rPr>
            </w:pPr>
            <w:r w:rsidRPr="00D2360B">
              <w:rPr>
                <w:rFonts w:ascii="Times New Roman" w:hAnsi="Times New Roman" w:cs="Times New Roman"/>
                <w:b/>
                <w:sz w:val="20"/>
                <w:szCs w:val="20"/>
              </w:rPr>
              <w:t>La CELCA se classe à la 15</w:t>
            </w:r>
            <w:r w:rsidRPr="002825C7">
              <w:rPr>
                <w:rFonts w:ascii="Times New Roman" w:hAnsi="Times New Roman" w:cs="Times New Roman"/>
                <w:b/>
                <w:sz w:val="20"/>
                <w:szCs w:val="20"/>
                <w:vertAlign w:val="superscript"/>
              </w:rPr>
              <w:t>ème</w:t>
            </w:r>
            <w:r>
              <w:rPr>
                <w:rFonts w:ascii="Times New Roman" w:hAnsi="Times New Roman" w:cs="Times New Roman"/>
                <w:b/>
                <w:sz w:val="20"/>
                <w:szCs w:val="20"/>
              </w:rPr>
              <w:t xml:space="preserve"> </w:t>
            </w:r>
            <w:r w:rsidRPr="00D2360B">
              <w:rPr>
                <w:rFonts w:ascii="Times New Roman" w:hAnsi="Times New Roman" w:cs="Times New Roman"/>
                <w:b/>
                <w:sz w:val="20"/>
                <w:szCs w:val="20"/>
              </w:rPr>
              <w:t>position des CE.</w:t>
            </w:r>
          </w:p>
          <w:p w:rsidR="00232105" w:rsidRPr="00D2360B" w:rsidRDefault="00232105" w:rsidP="00D2360B">
            <w:pPr>
              <w:numPr>
                <w:ilvl w:val="0"/>
                <w:numId w:val="15"/>
              </w:numPr>
              <w:ind w:left="176" w:hanging="176"/>
              <w:contextualSpacing/>
              <w:jc w:val="both"/>
              <w:rPr>
                <w:rFonts w:ascii="Times New Roman" w:hAnsi="Times New Roman" w:cs="Times New Roman"/>
                <w:b/>
                <w:sz w:val="20"/>
                <w:szCs w:val="20"/>
              </w:rPr>
            </w:pPr>
            <w:r w:rsidRPr="00D2360B">
              <w:rPr>
                <w:rFonts w:ascii="Times New Roman" w:hAnsi="Times New Roman" w:cs="Times New Roman"/>
                <w:sz w:val="20"/>
                <w:szCs w:val="20"/>
              </w:rPr>
              <w:t>Nous vous sollicitons afin de (</w:t>
            </w:r>
            <w:proofErr w:type="spellStart"/>
            <w:r w:rsidRPr="00D2360B">
              <w:rPr>
                <w:rFonts w:ascii="Times New Roman" w:hAnsi="Times New Roman" w:cs="Times New Roman"/>
                <w:sz w:val="20"/>
                <w:szCs w:val="20"/>
              </w:rPr>
              <w:t>re</w:t>
            </w:r>
            <w:proofErr w:type="spellEnd"/>
            <w:r w:rsidRPr="00D2360B">
              <w:rPr>
                <w:rFonts w:ascii="Times New Roman" w:hAnsi="Times New Roman" w:cs="Times New Roman"/>
                <w:sz w:val="20"/>
                <w:szCs w:val="20"/>
              </w:rPr>
              <w:t xml:space="preserve">) </w:t>
            </w:r>
            <w:proofErr w:type="gramStart"/>
            <w:r w:rsidRPr="00D2360B">
              <w:rPr>
                <w:rFonts w:ascii="Times New Roman" w:hAnsi="Times New Roman" w:cs="Times New Roman"/>
                <w:sz w:val="20"/>
                <w:szCs w:val="20"/>
              </w:rPr>
              <w:t>sensibiliser</w:t>
            </w:r>
            <w:proofErr w:type="gramEnd"/>
            <w:r w:rsidRPr="00D2360B">
              <w:rPr>
                <w:rFonts w:ascii="Times New Roman" w:hAnsi="Times New Roman" w:cs="Times New Roman"/>
                <w:sz w:val="20"/>
                <w:szCs w:val="20"/>
              </w:rPr>
              <w:t xml:space="preserve"> les équipes commerciales sur l’importance de </w:t>
            </w:r>
            <w:r w:rsidRPr="00D2360B">
              <w:rPr>
                <w:rFonts w:ascii="Times New Roman" w:hAnsi="Times New Roman" w:cs="Times New Roman"/>
                <w:sz w:val="20"/>
                <w:szCs w:val="20"/>
                <w:u w:val="single"/>
              </w:rPr>
              <w:t>ne pas décocher systématiquement</w:t>
            </w:r>
            <w:r w:rsidRPr="00D2360B">
              <w:rPr>
                <w:rFonts w:ascii="Times New Roman" w:hAnsi="Times New Roman" w:cs="Times New Roman"/>
                <w:sz w:val="20"/>
                <w:szCs w:val="20"/>
              </w:rPr>
              <w:t xml:space="preserve"> la souscription du service e-Document lors des ouvertures de produits.</w:t>
            </w:r>
          </w:p>
          <w:p w:rsidR="00232105" w:rsidRPr="00D2360B" w:rsidRDefault="00232105" w:rsidP="00D2360B">
            <w:pPr>
              <w:pStyle w:val="wordsection1"/>
              <w:numPr>
                <w:ilvl w:val="0"/>
                <w:numId w:val="8"/>
              </w:numPr>
              <w:spacing w:before="0" w:beforeAutospacing="0" w:after="0" w:afterAutospacing="0"/>
              <w:jc w:val="both"/>
              <w:rPr>
                <w:sz w:val="20"/>
                <w:szCs w:val="20"/>
              </w:rPr>
            </w:pPr>
            <w:r w:rsidRPr="00D2360B">
              <w:rPr>
                <w:sz w:val="20"/>
                <w:szCs w:val="20"/>
              </w:rPr>
              <w:t xml:space="preserve">Générateur d’économies, ce service est doublement important tant sur le point écologique, que sur l’accompagnant de nos clients sur la digitalisation des échanges. </w:t>
            </w:r>
          </w:p>
          <w:p w:rsidR="00232105" w:rsidRPr="00D2360B" w:rsidRDefault="00232105" w:rsidP="00D2360B">
            <w:pPr>
              <w:pStyle w:val="wordsection1"/>
              <w:numPr>
                <w:ilvl w:val="0"/>
                <w:numId w:val="8"/>
              </w:numPr>
              <w:spacing w:before="0" w:beforeAutospacing="0" w:after="0" w:afterAutospacing="0"/>
              <w:jc w:val="both"/>
              <w:rPr>
                <w:sz w:val="20"/>
                <w:szCs w:val="20"/>
              </w:rPr>
            </w:pPr>
            <w:r w:rsidRPr="00D2360B">
              <w:rPr>
                <w:sz w:val="20"/>
                <w:szCs w:val="20"/>
              </w:rPr>
              <w:t>Il est par ailleurs un des moyens essentiels pour rendre nos clients « BAD Actifs » tant sur DEI que sur le MOBILE.</w:t>
            </w:r>
          </w:p>
          <w:p w:rsidR="00232105" w:rsidRPr="003D5BAA" w:rsidRDefault="00232105" w:rsidP="00D2360B">
            <w:pPr>
              <w:contextualSpacing/>
              <w:jc w:val="both"/>
              <w:rPr>
                <w:rFonts w:ascii="Times New Roman" w:hAnsi="Times New Roman" w:cs="Times New Roman"/>
                <w:sz w:val="20"/>
                <w:szCs w:val="20"/>
              </w:rPr>
            </w:pPr>
          </w:p>
        </w:tc>
      </w:tr>
      <w:tr w:rsidR="00232105" w:rsidRPr="00E81F6E" w:rsidTr="003179D1">
        <w:trPr>
          <w:trHeight w:val="248"/>
        </w:trPr>
        <w:tc>
          <w:tcPr>
            <w:tcW w:w="15735" w:type="dxa"/>
            <w:gridSpan w:val="3"/>
            <w:tcBorders>
              <w:bottom w:val="single" w:sz="4" w:space="0" w:color="auto"/>
            </w:tcBorders>
            <w:shd w:val="pct35" w:color="auto" w:fill="auto"/>
          </w:tcPr>
          <w:p w:rsidR="00232105" w:rsidRPr="00D2360B" w:rsidRDefault="00232105" w:rsidP="003179D1">
            <w:pPr>
              <w:contextualSpacing/>
              <w:jc w:val="center"/>
              <w:rPr>
                <w:rFonts w:ascii="Times New Roman" w:hAnsi="Times New Roman" w:cs="Times New Roman"/>
                <w:b/>
                <w:sz w:val="20"/>
                <w:szCs w:val="20"/>
              </w:rPr>
            </w:pPr>
            <w:r w:rsidRPr="003179D1">
              <w:rPr>
                <w:rFonts w:ascii="Times New Roman" w:hAnsi="Times New Roman" w:cs="Times New Roman"/>
                <w:b/>
                <w:color w:val="000000"/>
                <w:sz w:val="20"/>
                <w:szCs w:val="20"/>
                <w:lang w:eastAsia="fr-FR"/>
              </w:rPr>
              <w:t>Divers</w:t>
            </w:r>
          </w:p>
        </w:tc>
      </w:tr>
      <w:tr w:rsidR="00232105" w:rsidRPr="00E81F6E" w:rsidTr="00AF3BE3">
        <w:trPr>
          <w:trHeight w:val="248"/>
        </w:trPr>
        <w:tc>
          <w:tcPr>
            <w:tcW w:w="1560" w:type="dxa"/>
            <w:tcBorders>
              <w:bottom w:val="single" w:sz="4" w:space="0" w:color="auto"/>
            </w:tcBorders>
          </w:tcPr>
          <w:p w:rsidR="00232105" w:rsidRPr="00A36C8B" w:rsidRDefault="00232105">
            <w:pPr>
              <w:rPr>
                <w:rFonts w:ascii="Times New Roman" w:hAnsi="Times New Roman" w:cs="Times New Roman"/>
                <w:b/>
                <w:bCs/>
                <w:sz w:val="20"/>
                <w:szCs w:val="20"/>
              </w:rPr>
            </w:pPr>
            <w:r w:rsidRPr="00A36C8B">
              <w:rPr>
                <w:rFonts w:ascii="Times New Roman" w:hAnsi="Times New Roman" w:cs="Times New Roman"/>
                <w:b/>
                <w:bCs/>
                <w:sz w:val="20"/>
                <w:szCs w:val="20"/>
              </w:rPr>
              <w:t>Com. DMA</w:t>
            </w:r>
          </w:p>
        </w:tc>
        <w:tc>
          <w:tcPr>
            <w:tcW w:w="1843" w:type="dxa"/>
            <w:tcBorders>
              <w:bottom w:val="single" w:sz="4" w:space="0" w:color="auto"/>
            </w:tcBorders>
          </w:tcPr>
          <w:p w:rsidR="00232105" w:rsidRDefault="00232105" w:rsidP="005E3668">
            <w:pPr>
              <w:rPr>
                <w:rFonts w:ascii="Times New Roman" w:hAnsi="Times New Roman" w:cs="Times New Roman"/>
                <w:b/>
                <w:sz w:val="20"/>
                <w:szCs w:val="20"/>
              </w:rPr>
            </w:pPr>
            <w:r w:rsidRPr="003179D1">
              <w:rPr>
                <w:rFonts w:ascii="Times New Roman" w:hAnsi="Times New Roman" w:cs="Times New Roman"/>
                <w:b/>
                <w:sz w:val="20"/>
                <w:szCs w:val="20"/>
              </w:rPr>
              <w:t>Retraitement des objectifs de la PV GPS 2017</w:t>
            </w:r>
          </w:p>
        </w:tc>
        <w:tc>
          <w:tcPr>
            <w:tcW w:w="12332" w:type="dxa"/>
            <w:tcBorders>
              <w:bottom w:val="single" w:sz="4" w:space="0" w:color="auto"/>
            </w:tcBorders>
            <w:shd w:val="clear" w:color="auto" w:fill="auto"/>
          </w:tcPr>
          <w:p w:rsidR="00232105" w:rsidRPr="003179D1" w:rsidRDefault="00232105" w:rsidP="003179D1">
            <w:pPr>
              <w:numPr>
                <w:ilvl w:val="0"/>
                <w:numId w:val="15"/>
              </w:numPr>
              <w:ind w:left="176" w:hanging="176"/>
              <w:contextualSpacing/>
              <w:jc w:val="both"/>
              <w:rPr>
                <w:rFonts w:ascii="Times New Roman" w:hAnsi="Times New Roman" w:cs="Times New Roman"/>
                <w:b/>
                <w:sz w:val="20"/>
                <w:szCs w:val="20"/>
              </w:rPr>
            </w:pPr>
            <w:r w:rsidRPr="003179D1">
              <w:rPr>
                <w:rFonts w:ascii="Times New Roman" w:hAnsi="Times New Roman" w:cs="Times New Roman"/>
                <w:b/>
                <w:sz w:val="20"/>
                <w:szCs w:val="20"/>
              </w:rPr>
              <w:t>Vous pouvez consulter votre PV individuelle 2017 retraitée de vos éventuelles absences</w:t>
            </w:r>
            <w:r>
              <w:rPr>
                <w:rFonts w:ascii="Times New Roman" w:hAnsi="Times New Roman" w:cs="Times New Roman"/>
                <w:b/>
                <w:sz w:val="20"/>
                <w:szCs w:val="20"/>
              </w:rPr>
              <w:t>.</w:t>
            </w:r>
          </w:p>
          <w:p w:rsidR="00232105" w:rsidRPr="003179D1" w:rsidRDefault="00232105" w:rsidP="003179D1">
            <w:pPr>
              <w:numPr>
                <w:ilvl w:val="0"/>
                <w:numId w:val="15"/>
              </w:numPr>
              <w:ind w:left="176" w:hanging="176"/>
              <w:contextualSpacing/>
              <w:jc w:val="both"/>
            </w:pPr>
            <w:r w:rsidRPr="003179D1">
              <w:rPr>
                <w:rFonts w:ascii="Times New Roman" w:hAnsi="Times New Roman" w:cs="Times New Roman"/>
                <w:b/>
                <w:sz w:val="20"/>
                <w:szCs w:val="20"/>
              </w:rPr>
              <w:t>Nous vous informerons prochainement du retraitement des absences de la Part Variable Collective 2017.</w:t>
            </w:r>
          </w:p>
        </w:tc>
      </w:tr>
      <w:tr w:rsidR="00232105" w:rsidRPr="00E81F6E" w:rsidTr="00C86171">
        <w:trPr>
          <w:trHeight w:val="261"/>
        </w:trPr>
        <w:tc>
          <w:tcPr>
            <w:tcW w:w="15735" w:type="dxa"/>
            <w:gridSpan w:val="3"/>
            <w:shd w:val="clear" w:color="auto" w:fill="D99594" w:themeFill="accent2" w:themeFillTint="99"/>
          </w:tcPr>
          <w:p w:rsidR="00232105" w:rsidRPr="00E81F6E" w:rsidRDefault="00232105"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232105"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32105" w:rsidRDefault="00232105" w:rsidP="00007762">
            <w:r w:rsidRPr="00D12B0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232105" w:rsidRPr="00DF5B29" w:rsidRDefault="00232105" w:rsidP="00007762">
            <w:pPr>
              <w:pStyle w:val="wordsection1"/>
              <w:spacing w:before="0" w:beforeAutospacing="0" w:after="0" w:afterAutospacing="0"/>
              <w:rPr>
                <w:b/>
                <w:bCs/>
                <w:sz w:val="20"/>
                <w:szCs w:val="20"/>
                <w:highlight w:val="red"/>
              </w:rPr>
            </w:pPr>
            <w:r w:rsidRPr="00622EC9">
              <w:rPr>
                <w:b/>
                <w:bCs/>
                <w:sz w:val="20"/>
                <w:szCs w:val="20"/>
              </w:rPr>
              <w:t>Suivi de la commercialisation HELIOS</w:t>
            </w:r>
          </w:p>
        </w:tc>
        <w:tc>
          <w:tcPr>
            <w:tcW w:w="12332" w:type="dxa"/>
            <w:tcBorders>
              <w:top w:val="single" w:sz="4" w:space="0" w:color="auto"/>
              <w:left w:val="single" w:sz="4" w:space="0" w:color="auto"/>
              <w:bottom w:val="single" w:sz="4" w:space="0" w:color="auto"/>
              <w:right w:val="single" w:sz="4" w:space="0" w:color="auto"/>
            </w:tcBorders>
          </w:tcPr>
          <w:p w:rsidR="00232105" w:rsidRDefault="00232105" w:rsidP="00007762">
            <w:pPr>
              <w:pStyle w:val="wordsection1"/>
              <w:numPr>
                <w:ilvl w:val="0"/>
                <w:numId w:val="38"/>
              </w:numPr>
              <w:spacing w:before="0" w:beforeAutospacing="0" w:after="0" w:afterAutospacing="0"/>
              <w:ind w:left="187" w:hanging="187"/>
              <w:rPr>
                <w:b/>
                <w:bCs/>
                <w:color w:val="C00000"/>
                <w:sz w:val="20"/>
                <w:szCs w:val="20"/>
              </w:rPr>
            </w:pPr>
            <w:r>
              <w:rPr>
                <w:sz w:val="20"/>
                <w:szCs w:val="20"/>
              </w:rPr>
              <w:t xml:space="preserve">Vous trouverez en cliquant </w:t>
            </w:r>
            <w:hyperlink r:id="rId32" w:history="1">
              <w:r>
                <w:rPr>
                  <w:rStyle w:val="Lienhypertexte"/>
                  <w:sz w:val="20"/>
                  <w:szCs w:val="20"/>
                </w:rPr>
                <w:t>ici</w:t>
              </w:r>
            </w:hyperlink>
            <w:r>
              <w:rPr>
                <w:sz w:val="20"/>
                <w:szCs w:val="20"/>
              </w:rPr>
              <w:t xml:space="preserve">, le suivi de commercialisation d’Hélios (commercialisation du 09/01 au 29/03/2018). </w:t>
            </w:r>
          </w:p>
          <w:p w:rsidR="00232105" w:rsidRPr="00622EC9" w:rsidRDefault="00232105" w:rsidP="00007762">
            <w:pPr>
              <w:pStyle w:val="wordsection1"/>
              <w:numPr>
                <w:ilvl w:val="0"/>
                <w:numId w:val="38"/>
              </w:numPr>
              <w:spacing w:before="0" w:beforeAutospacing="0" w:after="0" w:afterAutospacing="0"/>
              <w:ind w:left="187" w:hanging="187"/>
              <w:rPr>
                <w:b/>
                <w:bCs/>
                <w:color w:val="C00000"/>
                <w:sz w:val="20"/>
                <w:szCs w:val="20"/>
              </w:rPr>
            </w:pPr>
            <w:r w:rsidRPr="00622EC9">
              <w:rPr>
                <w:sz w:val="20"/>
                <w:szCs w:val="20"/>
              </w:rPr>
              <w:t xml:space="preserve">Au 10/03/2018, la réalisation atteint 121%. </w:t>
            </w:r>
            <w:r w:rsidRPr="00622EC9">
              <w:rPr>
                <w:b/>
                <w:bCs/>
                <w:color w:val="FF0000"/>
                <w:sz w:val="20"/>
                <w:szCs w:val="20"/>
              </w:rPr>
              <w:t>Le contingent peut être dépassé sans limite de montant.</w:t>
            </w:r>
          </w:p>
          <w:p w:rsidR="00232105" w:rsidRPr="00DF5B29" w:rsidRDefault="00232105" w:rsidP="00007762">
            <w:pPr>
              <w:pStyle w:val="wordsection1"/>
              <w:numPr>
                <w:ilvl w:val="0"/>
                <w:numId w:val="38"/>
              </w:numPr>
              <w:spacing w:before="0" w:beforeAutospacing="0" w:after="0" w:afterAutospacing="0"/>
              <w:ind w:left="187" w:hanging="187"/>
              <w:rPr>
                <w:sz w:val="20"/>
                <w:szCs w:val="20"/>
              </w:rPr>
            </w:pPr>
            <w:r>
              <w:rPr>
                <w:sz w:val="20"/>
                <w:szCs w:val="20"/>
              </w:rPr>
              <w:t>Une seconde émission est prévue du 16 avril au 20 juillet 2018.</w:t>
            </w:r>
          </w:p>
        </w:tc>
      </w:tr>
      <w:tr w:rsidR="00232105"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32105" w:rsidRDefault="00232105" w:rsidP="00007762">
            <w:r w:rsidRPr="00D12B0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232105" w:rsidRPr="00DF5B29" w:rsidRDefault="00232105" w:rsidP="00007762">
            <w:pPr>
              <w:pStyle w:val="wordsection1"/>
              <w:spacing w:before="0" w:beforeAutospacing="0" w:after="0" w:afterAutospacing="0"/>
              <w:rPr>
                <w:b/>
                <w:bCs/>
                <w:sz w:val="20"/>
                <w:szCs w:val="20"/>
                <w:highlight w:val="red"/>
              </w:rPr>
            </w:pPr>
            <w:r>
              <w:rPr>
                <w:b/>
                <w:bCs/>
                <w:sz w:val="20"/>
                <w:szCs w:val="20"/>
              </w:rPr>
              <w:t>Suivi de la commercialisation IRIS</w:t>
            </w:r>
          </w:p>
        </w:tc>
        <w:tc>
          <w:tcPr>
            <w:tcW w:w="12332" w:type="dxa"/>
            <w:tcBorders>
              <w:top w:val="single" w:sz="4" w:space="0" w:color="auto"/>
              <w:left w:val="single" w:sz="4" w:space="0" w:color="auto"/>
              <w:bottom w:val="single" w:sz="4" w:space="0" w:color="auto"/>
              <w:right w:val="single" w:sz="4" w:space="0" w:color="auto"/>
            </w:tcBorders>
          </w:tcPr>
          <w:p w:rsidR="00232105" w:rsidRDefault="00232105" w:rsidP="00007762">
            <w:pPr>
              <w:pStyle w:val="wordsection1"/>
              <w:numPr>
                <w:ilvl w:val="0"/>
                <w:numId w:val="38"/>
              </w:numPr>
              <w:spacing w:before="0" w:beforeAutospacing="0" w:after="0" w:afterAutospacing="0"/>
              <w:ind w:left="187" w:hanging="187"/>
              <w:rPr>
                <w:sz w:val="20"/>
                <w:szCs w:val="20"/>
              </w:rPr>
            </w:pPr>
            <w:r>
              <w:rPr>
                <w:sz w:val="20"/>
                <w:szCs w:val="20"/>
              </w:rPr>
              <w:t xml:space="preserve">Vous trouverez en cliquant </w:t>
            </w:r>
            <w:hyperlink r:id="rId33" w:history="1">
              <w:r>
                <w:rPr>
                  <w:rStyle w:val="Lienhypertexte"/>
                  <w:sz w:val="20"/>
                  <w:szCs w:val="20"/>
                </w:rPr>
                <w:t>ici</w:t>
              </w:r>
            </w:hyperlink>
            <w:r>
              <w:rPr>
                <w:sz w:val="20"/>
                <w:szCs w:val="20"/>
              </w:rPr>
              <w:t>, le suivi de commercialisation d’IRIS (commercialisation du 17/01 au 13/06/2018).</w:t>
            </w:r>
          </w:p>
          <w:p w:rsidR="00232105" w:rsidRPr="00DF5B29" w:rsidRDefault="00232105" w:rsidP="00007762">
            <w:pPr>
              <w:pStyle w:val="wordsection1"/>
              <w:numPr>
                <w:ilvl w:val="0"/>
                <w:numId w:val="38"/>
              </w:numPr>
              <w:spacing w:before="0" w:beforeAutospacing="0" w:after="0" w:afterAutospacing="0"/>
              <w:ind w:left="187" w:hanging="187"/>
              <w:rPr>
                <w:sz w:val="20"/>
                <w:szCs w:val="20"/>
              </w:rPr>
            </w:pPr>
            <w:r>
              <w:rPr>
                <w:sz w:val="20"/>
                <w:szCs w:val="20"/>
              </w:rPr>
              <w:t>Au 10/03/2018, 121% des fonds sont placés.</w:t>
            </w:r>
          </w:p>
        </w:tc>
      </w:tr>
      <w:tr w:rsidR="00232105"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32105" w:rsidRPr="00F675C6" w:rsidRDefault="00232105" w:rsidP="009663E4">
            <w:pPr>
              <w:rPr>
                <w:rFonts w:ascii="Times New Roman" w:hAnsi="Times New Roman" w:cs="Times New Roman"/>
                <w:b/>
                <w:bCs/>
                <w:color w:val="FF0000"/>
                <w:sz w:val="20"/>
                <w:szCs w:val="20"/>
              </w:rPr>
            </w:pPr>
            <w:r w:rsidRPr="00A36C8B">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232105" w:rsidRDefault="00232105" w:rsidP="009663E4">
            <w:pPr>
              <w:rPr>
                <w:rFonts w:ascii="Times New Roman" w:hAnsi="Times New Roman" w:cs="Times New Roman"/>
                <w:b/>
                <w:bCs/>
                <w:color w:val="000000"/>
                <w:sz w:val="20"/>
                <w:szCs w:val="20"/>
              </w:rPr>
            </w:pPr>
            <w:r>
              <w:rPr>
                <w:rFonts w:ascii="Times New Roman" w:hAnsi="Times New Roman" w:cs="Times New Roman"/>
                <w:b/>
                <w:bCs/>
                <w:sz w:val="20"/>
                <w:szCs w:val="20"/>
              </w:rPr>
              <w:t xml:space="preserve">Suivi hebdo frais </w:t>
            </w:r>
            <w:r>
              <w:rPr>
                <w:rFonts w:ascii="Times New Roman" w:hAnsi="Times New Roman" w:cs="Times New Roman"/>
                <w:b/>
                <w:bCs/>
                <w:sz w:val="20"/>
                <w:szCs w:val="20"/>
              </w:rPr>
              <w:lastRenderedPageBreak/>
              <w:t>de dossier Crédit Conso</w:t>
            </w:r>
          </w:p>
        </w:tc>
        <w:tc>
          <w:tcPr>
            <w:tcW w:w="12332" w:type="dxa"/>
            <w:tcBorders>
              <w:top w:val="single" w:sz="4" w:space="0" w:color="auto"/>
              <w:left w:val="single" w:sz="4" w:space="0" w:color="auto"/>
              <w:bottom w:val="single" w:sz="4" w:space="0" w:color="auto"/>
              <w:right w:val="single" w:sz="4" w:space="0" w:color="auto"/>
            </w:tcBorders>
          </w:tcPr>
          <w:p w:rsidR="00232105" w:rsidRPr="00AC4290" w:rsidRDefault="00B16CC5" w:rsidP="00E272F3">
            <w:pPr>
              <w:numPr>
                <w:ilvl w:val="0"/>
                <w:numId w:val="9"/>
              </w:numPr>
              <w:ind w:left="176" w:hanging="176"/>
              <w:contextualSpacing/>
              <w:jc w:val="both"/>
              <w:rPr>
                <w:rFonts w:ascii="Times New Roman" w:hAnsi="Times New Roman" w:cs="Times New Roman"/>
                <w:sz w:val="20"/>
                <w:szCs w:val="20"/>
              </w:rPr>
            </w:pPr>
            <w:hyperlink r:id="rId34" w:history="1">
              <w:r w:rsidR="00232105">
                <w:rPr>
                  <w:rStyle w:val="Lienhypertexte"/>
                  <w:rFonts w:ascii="Times New Roman" w:hAnsi="Times New Roman" w:cs="Times New Roman"/>
                  <w:sz w:val="20"/>
                  <w:szCs w:val="20"/>
                  <w:lang w:eastAsia="fr-FR"/>
                </w:rPr>
                <w:t>CLIQUEZ ICI</w:t>
              </w:r>
            </w:hyperlink>
            <w:r w:rsidR="00232105">
              <w:rPr>
                <w:rFonts w:ascii="Times New Roman" w:hAnsi="Times New Roman" w:cs="Times New Roman"/>
                <w:sz w:val="20"/>
                <w:szCs w:val="20"/>
                <w:lang w:eastAsia="fr-FR"/>
              </w:rPr>
              <w:t xml:space="preserve"> pour consulter le suivi hebdomadaire des frais de dossier de Crédit conso.</w:t>
            </w:r>
          </w:p>
        </w:tc>
      </w:tr>
      <w:tr w:rsidR="00232105"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32105" w:rsidRPr="00A36C8B" w:rsidRDefault="00232105" w:rsidP="009663E4">
            <w:pPr>
              <w:rPr>
                <w:rFonts w:ascii="Times New Roman" w:hAnsi="Times New Roman" w:cs="Times New Roman"/>
                <w:b/>
                <w:bCs/>
                <w:sz w:val="20"/>
                <w:szCs w:val="20"/>
              </w:rPr>
            </w:pPr>
            <w:r w:rsidRPr="00A36C8B">
              <w:rPr>
                <w:rFonts w:ascii="Times New Roman" w:hAnsi="Times New Roman" w:cs="Times New Roman"/>
                <w:b/>
                <w:bCs/>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232105" w:rsidRDefault="00232105" w:rsidP="009663E4">
            <w:pPr>
              <w:rPr>
                <w:rFonts w:ascii="Times New Roman" w:hAnsi="Times New Roman" w:cs="Times New Roman"/>
                <w:b/>
                <w:bCs/>
                <w:sz w:val="20"/>
                <w:szCs w:val="20"/>
              </w:rPr>
            </w:pPr>
            <w:r>
              <w:rPr>
                <w:rFonts w:ascii="Times New Roman" w:hAnsi="Times New Roman" w:cs="Times New Roman"/>
                <w:b/>
                <w:bCs/>
                <w:sz w:val="20"/>
                <w:szCs w:val="20"/>
              </w:rPr>
              <w:t>Liste des Crédits Projets</w:t>
            </w:r>
          </w:p>
        </w:tc>
        <w:tc>
          <w:tcPr>
            <w:tcW w:w="12332" w:type="dxa"/>
            <w:tcBorders>
              <w:top w:val="single" w:sz="4" w:space="0" w:color="auto"/>
              <w:left w:val="single" w:sz="4" w:space="0" w:color="auto"/>
              <w:bottom w:val="single" w:sz="4" w:space="0" w:color="auto"/>
              <w:right w:val="single" w:sz="4" w:space="0" w:color="auto"/>
            </w:tcBorders>
          </w:tcPr>
          <w:p w:rsidR="00232105" w:rsidRDefault="00B16CC5" w:rsidP="00E272F3">
            <w:pPr>
              <w:numPr>
                <w:ilvl w:val="0"/>
                <w:numId w:val="9"/>
              </w:numPr>
              <w:ind w:left="176" w:hanging="176"/>
              <w:contextualSpacing/>
              <w:jc w:val="both"/>
              <w:rPr>
                <w:rFonts w:ascii="Times New Roman" w:hAnsi="Times New Roman" w:cs="Times New Roman"/>
                <w:sz w:val="20"/>
                <w:szCs w:val="20"/>
                <w:lang w:eastAsia="fr-FR"/>
              </w:rPr>
            </w:pPr>
            <w:hyperlink r:id="rId35" w:history="1">
              <w:r w:rsidR="00232105">
                <w:rPr>
                  <w:rStyle w:val="Lienhypertexte"/>
                  <w:rFonts w:ascii="Times New Roman" w:hAnsi="Times New Roman" w:cs="Times New Roman"/>
                  <w:sz w:val="20"/>
                  <w:szCs w:val="20"/>
                  <w:lang w:eastAsia="fr-FR"/>
                </w:rPr>
                <w:t>CLIQUEZ ICI</w:t>
              </w:r>
            </w:hyperlink>
            <w:r w:rsidR="00232105">
              <w:rPr>
                <w:rFonts w:ascii="Times New Roman" w:hAnsi="Times New Roman" w:cs="Times New Roman"/>
                <w:sz w:val="20"/>
                <w:szCs w:val="20"/>
                <w:lang w:eastAsia="fr-FR"/>
              </w:rPr>
              <w:t xml:space="preserve"> pour consulter la liste </w:t>
            </w:r>
            <w:r w:rsidR="00232105">
              <w:rPr>
                <w:rFonts w:ascii="Times New Roman" w:hAnsi="Times New Roman" w:cs="Times New Roman"/>
                <w:sz w:val="20"/>
                <w:szCs w:val="20"/>
              </w:rPr>
              <w:t>des crédits projets mis en force entre septembre et février 2018.</w:t>
            </w:r>
          </w:p>
        </w:tc>
      </w:tr>
      <w:tr w:rsidR="00232105"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32105" w:rsidRPr="00096EB8" w:rsidRDefault="00232105" w:rsidP="0036331E">
            <w:pPr>
              <w:rPr>
                <w:rFonts w:ascii="Times New Roman" w:hAnsi="Times New Roman" w:cs="Times New Roman"/>
                <w:b/>
                <w:bCs/>
                <w:sz w:val="20"/>
                <w:szCs w:val="20"/>
              </w:rPr>
            </w:pPr>
            <w:r w:rsidRPr="00096EB8">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232105" w:rsidRPr="00096EB8" w:rsidRDefault="00232105" w:rsidP="00A57700">
            <w:pPr>
              <w:rPr>
                <w:rFonts w:ascii="Times New Roman" w:hAnsi="Times New Roman" w:cs="Times New Roman"/>
                <w:b/>
                <w:bCs/>
                <w:color w:val="000000"/>
                <w:sz w:val="20"/>
                <w:szCs w:val="20"/>
              </w:rPr>
            </w:pPr>
            <w:r w:rsidRPr="00096EB8">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232105" w:rsidRPr="00096EB8" w:rsidRDefault="00232105" w:rsidP="00096EB8">
            <w:pPr>
              <w:pStyle w:val="Paragraphedeliste"/>
              <w:numPr>
                <w:ilvl w:val="0"/>
                <w:numId w:val="2"/>
              </w:numPr>
              <w:ind w:left="176" w:hanging="176"/>
              <w:jc w:val="both"/>
              <w:rPr>
                <w:rFonts w:ascii="Times New Roman" w:hAnsi="Times New Roman" w:cs="Times New Roman"/>
                <w:bCs/>
                <w:sz w:val="20"/>
                <w:szCs w:val="20"/>
                <w:lang w:eastAsia="fr-FR"/>
              </w:rPr>
            </w:pPr>
            <w:r w:rsidRPr="00096EB8">
              <w:rPr>
                <w:rFonts w:ascii="Times New Roman" w:hAnsi="Times New Roman" w:cs="Times New Roman"/>
                <w:sz w:val="20"/>
                <w:szCs w:val="20"/>
              </w:rPr>
              <w:t xml:space="preserve">Vous trouverez </w:t>
            </w:r>
            <w:hyperlink r:id="rId36" w:history="1">
              <w:r w:rsidRPr="00096EB8">
                <w:rPr>
                  <w:rStyle w:val="Lienhypertexte"/>
                  <w:rFonts w:ascii="Times New Roman" w:hAnsi="Times New Roman" w:cs="Times New Roman"/>
                  <w:sz w:val="20"/>
                  <w:szCs w:val="20"/>
                </w:rPr>
                <w:t>en cliquant ici</w:t>
              </w:r>
            </w:hyperlink>
            <w:r w:rsidRPr="00096EB8">
              <w:rPr>
                <w:rFonts w:ascii="Times New Roman" w:hAnsi="Times New Roman" w:cs="Times New Roman"/>
                <w:sz w:val="20"/>
                <w:szCs w:val="20"/>
              </w:rPr>
              <w:t xml:space="preserve"> </w:t>
            </w:r>
            <w:r w:rsidRPr="00096EB8">
              <w:rPr>
                <w:rFonts w:ascii="Times New Roman" w:hAnsi="Times New Roman" w:cs="Times New Roman"/>
                <w:b/>
                <w:sz w:val="20"/>
                <w:szCs w:val="20"/>
              </w:rPr>
              <w:t xml:space="preserve">la météo des crédits arrêtée au </w:t>
            </w:r>
            <w:r>
              <w:rPr>
                <w:rFonts w:ascii="Times New Roman" w:hAnsi="Times New Roman" w:cs="Times New Roman"/>
                <w:b/>
                <w:sz w:val="20"/>
                <w:szCs w:val="20"/>
              </w:rPr>
              <w:t>09/03</w:t>
            </w:r>
            <w:r w:rsidRPr="00096EB8">
              <w:rPr>
                <w:rFonts w:ascii="Times New Roman" w:hAnsi="Times New Roman" w:cs="Times New Roman"/>
                <w:b/>
                <w:sz w:val="20"/>
                <w:szCs w:val="20"/>
              </w:rPr>
              <w:t>/201</w:t>
            </w:r>
            <w:r>
              <w:rPr>
                <w:rFonts w:ascii="Times New Roman" w:hAnsi="Times New Roman" w:cs="Times New Roman"/>
                <w:b/>
                <w:sz w:val="20"/>
                <w:szCs w:val="20"/>
              </w:rPr>
              <w:t>8</w:t>
            </w:r>
            <w:r w:rsidRPr="00096EB8">
              <w:rPr>
                <w:rFonts w:ascii="Times New Roman" w:hAnsi="Times New Roman" w:cs="Times New Roman"/>
                <w:b/>
                <w:sz w:val="20"/>
                <w:szCs w:val="20"/>
              </w:rPr>
              <w:t>.</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7"/>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6CC5" w:rsidRDefault="00B16CC5" w:rsidP="0035465A">
      <w:pPr>
        <w:spacing w:after="0" w:line="240" w:lineRule="auto"/>
      </w:pPr>
      <w:r>
        <w:separator/>
      </w:r>
    </w:p>
  </w:endnote>
  <w:endnote w:type="continuationSeparator" w:id="0">
    <w:p w:rsidR="00B16CC5" w:rsidRDefault="00B16CC5"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6CC5" w:rsidRDefault="00B16CC5" w:rsidP="0035465A">
      <w:pPr>
        <w:spacing w:after="0" w:line="240" w:lineRule="auto"/>
      </w:pPr>
      <w:r>
        <w:separator/>
      </w:r>
    </w:p>
  </w:footnote>
  <w:footnote w:type="continuationSeparator" w:id="0">
    <w:p w:rsidR="00B16CC5" w:rsidRDefault="00B16CC5"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986FD4"/>
    <w:multiLevelType w:val="hybridMultilevel"/>
    <w:tmpl w:val="C6844BEC"/>
    <w:lvl w:ilvl="0" w:tplc="0A9C6C24">
      <w:start w:val="1"/>
      <w:numFmt w:val="bullet"/>
      <w:lvlText w:val="■"/>
      <w:lvlJc w:val="left"/>
      <w:pPr>
        <w:tabs>
          <w:tab w:val="num" w:pos="720"/>
        </w:tabs>
        <w:ind w:left="720" w:hanging="360"/>
      </w:pPr>
      <w:rPr>
        <w:rFonts w:ascii="Arial Narrow" w:hAnsi="Arial Narrow" w:hint="default"/>
      </w:rPr>
    </w:lvl>
    <w:lvl w:ilvl="1" w:tplc="335E15FA" w:tentative="1">
      <w:start w:val="1"/>
      <w:numFmt w:val="bullet"/>
      <w:lvlText w:val="■"/>
      <w:lvlJc w:val="left"/>
      <w:pPr>
        <w:tabs>
          <w:tab w:val="num" w:pos="1440"/>
        </w:tabs>
        <w:ind w:left="1440" w:hanging="360"/>
      </w:pPr>
      <w:rPr>
        <w:rFonts w:ascii="Arial Narrow" w:hAnsi="Arial Narrow" w:hint="default"/>
      </w:rPr>
    </w:lvl>
    <w:lvl w:ilvl="2" w:tplc="86D89770" w:tentative="1">
      <w:start w:val="1"/>
      <w:numFmt w:val="bullet"/>
      <w:lvlText w:val="■"/>
      <w:lvlJc w:val="left"/>
      <w:pPr>
        <w:tabs>
          <w:tab w:val="num" w:pos="2160"/>
        </w:tabs>
        <w:ind w:left="2160" w:hanging="360"/>
      </w:pPr>
      <w:rPr>
        <w:rFonts w:ascii="Arial Narrow" w:hAnsi="Arial Narrow" w:hint="default"/>
      </w:rPr>
    </w:lvl>
    <w:lvl w:ilvl="3" w:tplc="37E80936" w:tentative="1">
      <w:start w:val="1"/>
      <w:numFmt w:val="bullet"/>
      <w:lvlText w:val="■"/>
      <w:lvlJc w:val="left"/>
      <w:pPr>
        <w:tabs>
          <w:tab w:val="num" w:pos="2880"/>
        </w:tabs>
        <w:ind w:left="2880" w:hanging="360"/>
      </w:pPr>
      <w:rPr>
        <w:rFonts w:ascii="Arial Narrow" w:hAnsi="Arial Narrow" w:hint="default"/>
      </w:rPr>
    </w:lvl>
    <w:lvl w:ilvl="4" w:tplc="DD9AFAC6" w:tentative="1">
      <w:start w:val="1"/>
      <w:numFmt w:val="bullet"/>
      <w:lvlText w:val="■"/>
      <w:lvlJc w:val="left"/>
      <w:pPr>
        <w:tabs>
          <w:tab w:val="num" w:pos="3600"/>
        </w:tabs>
        <w:ind w:left="3600" w:hanging="360"/>
      </w:pPr>
      <w:rPr>
        <w:rFonts w:ascii="Arial Narrow" w:hAnsi="Arial Narrow" w:hint="default"/>
      </w:rPr>
    </w:lvl>
    <w:lvl w:ilvl="5" w:tplc="131C5D6C" w:tentative="1">
      <w:start w:val="1"/>
      <w:numFmt w:val="bullet"/>
      <w:lvlText w:val="■"/>
      <w:lvlJc w:val="left"/>
      <w:pPr>
        <w:tabs>
          <w:tab w:val="num" w:pos="4320"/>
        </w:tabs>
        <w:ind w:left="4320" w:hanging="360"/>
      </w:pPr>
      <w:rPr>
        <w:rFonts w:ascii="Arial Narrow" w:hAnsi="Arial Narrow" w:hint="default"/>
      </w:rPr>
    </w:lvl>
    <w:lvl w:ilvl="6" w:tplc="890024F8" w:tentative="1">
      <w:start w:val="1"/>
      <w:numFmt w:val="bullet"/>
      <w:lvlText w:val="■"/>
      <w:lvlJc w:val="left"/>
      <w:pPr>
        <w:tabs>
          <w:tab w:val="num" w:pos="5040"/>
        </w:tabs>
        <w:ind w:left="5040" w:hanging="360"/>
      </w:pPr>
      <w:rPr>
        <w:rFonts w:ascii="Arial Narrow" w:hAnsi="Arial Narrow" w:hint="default"/>
      </w:rPr>
    </w:lvl>
    <w:lvl w:ilvl="7" w:tplc="B6F67E56" w:tentative="1">
      <w:start w:val="1"/>
      <w:numFmt w:val="bullet"/>
      <w:lvlText w:val="■"/>
      <w:lvlJc w:val="left"/>
      <w:pPr>
        <w:tabs>
          <w:tab w:val="num" w:pos="5760"/>
        </w:tabs>
        <w:ind w:left="5760" w:hanging="360"/>
      </w:pPr>
      <w:rPr>
        <w:rFonts w:ascii="Arial Narrow" w:hAnsi="Arial Narrow" w:hint="default"/>
      </w:rPr>
    </w:lvl>
    <w:lvl w:ilvl="8" w:tplc="116A78E4" w:tentative="1">
      <w:start w:val="1"/>
      <w:numFmt w:val="bullet"/>
      <w:lvlText w:val="■"/>
      <w:lvlJc w:val="left"/>
      <w:pPr>
        <w:tabs>
          <w:tab w:val="num" w:pos="6480"/>
        </w:tabs>
        <w:ind w:left="6480" w:hanging="360"/>
      </w:pPr>
      <w:rPr>
        <w:rFonts w:ascii="Arial Narrow" w:hAnsi="Arial Narrow" w:hint="default"/>
      </w:rPr>
    </w:lvl>
  </w:abstractNum>
  <w:abstractNum w:abstractNumId="2">
    <w:nsid w:val="091B0861"/>
    <w:multiLevelType w:val="hybridMultilevel"/>
    <w:tmpl w:val="5B484872"/>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nsid w:val="0A5D35F8"/>
    <w:multiLevelType w:val="hybridMultilevel"/>
    <w:tmpl w:val="48F0AB50"/>
    <w:lvl w:ilvl="0" w:tplc="D0D27E00">
      <w:start w:val="1"/>
      <w:numFmt w:val="bullet"/>
      <w:lvlText w:val="&gt;"/>
      <w:lvlJc w:val="left"/>
      <w:pPr>
        <w:tabs>
          <w:tab w:val="num" w:pos="720"/>
        </w:tabs>
        <w:ind w:left="720" w:hanging="360"/>
      </w:pPr>
      <w:rPr>
        <w:rFonts w:ascii="Britannic Bold" w:hAnsi="Britannic Bold" w:hint="default"/>
      </w:rPr>
    </w:lvl>
    <w:lvl w:ilvl="1" w:tplc="46940278">
      <w:start w:val="1"/>
      <w:numFmt w:val="bullet"/>
      <w:lvlText w:val="&gt;"/>
      <w:lvlJc w:val="left"/>
      <w:pPr>
        <w:tabs>
          <w:tab w:val="num" w:pos="1440"/>
        </w:tabs>
        <w:ind w:left="1440" w:hanging="360"/>
      </w:pPr>
      <w:rPr>
        <w:rFonts w:ascii="Britannic Bold" w:hAnsi="Britannic Bold" w:hint="default"/>
      </w:rPr>
    </w:lvl>
    <w:lvl w:ilvl="2" w:tplc="36F6FE64">
      <w:start w:val="1"/>
      <w:numFmt w:val="bullet"/>
      <w:lvlText w:val="&gt;"/>
      <w:lvlJc w:val="left"/>
      <w:pPr>
        <w:tabs>
          <w:tab w:val="num" w:pos="2160"/>
        </w:tabs>
        <w:ind w:left="2160" w:hanging="360"/>
      </w:pPr>
      <w:rPr>
        <w:rFonts w:ascii="Britannic Bold" w:hAnsi="Britannic Bold" w:hint="default"/>
      </w:rPr>
    </w:lvl>
    <w:lvl w:ilvl="3" w:tplc="001A51B2">
      <w:start w:val="1"/>
      <w:numFmt w:val="bullet"/>
      <w:lvlText w:val="&gt;"/>
      <w:lvlJc w:val="left"/>
      <w:pPr>
        <w:tabs>
          <w:tab w:val="num" w:pos="2880"/>
        </w:tabs>
        <w:ind w:left="2880" w:hanging="360"/>
      </w:pPr>
      <w:rPr>
        <w:rFonts w:ascii="Britannic Bold" w:hAnsi="Britannic Bold" w:hint="default"/>
      </w:rPr>
    </w:lvl>
    <w:lvl w:ilvl="4" w:tplc="98789804">
      <w:start w:val="2574"/>
      <w:numFmt w:val="bullet"/>
      <w:lvlText w:val="•"/>
      <w:lvlJc w:val="left"/>
      <w:pPr>
        <w:tabs>
          <w:tab w:val="num" w:pos="3600"/>
        </w:tabs>
        <w:ind w:left="3600" w:hanging="360"/>
      </w:pPr>
      <w:rPr>
        <w:rFonts w:ascii="Arial" w:hAnsi="Arial" w:hint="default"/>
      </w:rPr>
    </w:lvl>
    <w:lvl w:ilvl="5" w:tplc="38660440" w:tentative="1">
      <w:start w:val="1"/>
      <w:numFmt w:val="bullet"/>
      <w:lvlText w:val="&gt;"/>
      <w:lvlJc w:val="left"/>
      <w:pPr>
        <w:tabs>
          <w:tab w:val="num" w:pos="4320"/>
        </w:tabs>
        <w:ind w:left="4320" w:hanging="360"/>
      </w:pPr>
      <w:rPr>
        <w:rFonts w:ascii="Britannic Bold" w:hAnsi="Britannic Bold" w:hint="default"/>
      </w:rPr>
    </w:lvl>
    <w:lvl w:ilvl="6" w:tplc="7EC6F782" w:tentative="1">
      <w:start w:val="1"/>
      <w:numFmt w:val="bullet"/>
      <w:lvlText w:val="&gt;"/>
      <w:lvlJc w:val="left"/>
      <w:pPr>
        <w:tabs>
          <w:tab w:val="num" w:pos="5040"/>
        </w:tabs>
        <w:ind w:left="5040" w:hanging="360"/>
      </w:pPr>
      <w:rPr>
        <w:rFonts w:ascii="Britannic Bold" w:hAnsi="Britannic Bold" w:hint="default"/>
      </w:rPr>
    </w:lvl>
    <w:lvl w:ilvl="7" w:tplc="FFFADC60" w:tentative="1">
      <w:start w:val="1"/>
      <w:numFmt w:val="bullet"/>
      <w:lvlText w:val="&gt;"/>
      <w:lvlJc w:val="left"/>
      <w:pPr>
        <w:tabs>
          <w:tab w:val="num" w:pos="5760"/>
        </w:tabs>
        <w:ind w:left="5760" w:hanging="360"/>
      </w:pPr>
      <w:rPr>
        <w:rFonts w:ascii="Britannic Bold" w:hAnsi="Britannic Bold" w:hint="default"/>
      </w:rPr>
    </w:lvl>
    <w:lvl w:ilvl="8" w:tplc="DABE536C" w:tentative="1">
      <w:start w:val="1"/>
      <w:numFmt w:val="bullet"/>
      <w:lvlText w:val="&gt;"/>
      <w:lvlJc w:val="left"/>
      <w:pPr>
        <w:tabs>
          <w:tab w:val="num" w:pos="6480"/>
        </w:tabs>
        <w:ind w:left="6480" w:hanging="360"/>
      </w:pPr>
      <w:rPr>
        <w:rFonts w:ascii="Britannic Bold" w:hAnsi="Britannic Bold" w:hint="default"/>
      </w:rPr>
    </w:lvl>
  </w:abstractNum>
  <w:abstractNum w:abstractNumId="4">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0BF97B21"/>
    <w:multiLevelType w:val="hybridMultilevel"/>
    <w:tmpl w:val="C9F8EE2A"/>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6">
    <w:nsid w:val="0F0E32D8"/>
    <w:multiLevelType w:val="hybridMultilevel"/>
    <w:tmpl w:val="8E1E9454"/>
    <w:lvl w:ilvl="0" w:tplc="040C0003">
      <w:start w:val="1"/>
      <w:numFmt w:val="bullet"/>
      <w:lvlText w:val="o"/>
      <w:lvlJc w:val="left"/>
      <w:pPr>
        <w:ind w:left="187" w:hanging="187"/>
      </w:pPr>
      <w:rPr>
        <w:rFonts w:ascii="Courier New" w:hAnsi="Courier New" w:cs="Courier New" w:hint="default"/>
        <w:strike w:val="0"/>
        <w:dstrike w:val="0"/>
        <w:color w:val="000000"/>
        <w:sz w:val="20"/>
        <w:szCs w:val="20"/>
        <w:u w:val="none"/>
        <w:effect w:val="none"/>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nsid w:val="10843DF3"/>
    <w:multiLevelType w:val="hybridMultilevel"/>
    <w:tmpl w:val="AB428DE8"/>
    <w:lvl w:ilvl="0" w:tplc="60B20E6E">
      <w:start w:val="1"/>
      <w:numFmt w:val="bullet"/>
      <w:lvlText w:val=""/>
      <w:lvlJc w:val="left"/>
      <w:pPr>
        <w:tabs>
          <w:tab w:val="num" w:pos="360"/>
        </w:tabs>
        <w:ind w:left="360" w:hanging="360"/>
      </w:pPr>
      <w:rPr>
        <w:rFonts w:ascii="Wingdings" w:hAnsi="Wingdings" w:hint="default"/>
      </w:rPr>
    </w:lvl>
    <w:lvl w:ilvl="1" w:tplc="15C4645A">
      <w:start w:val="1"/>
      <w:numFmt w:val="bullet"/>
      <w:lvlText w:val=""/>
      <w:lvlJc w:val="left"/>
      <w:pPr>
        <w:tabs>
          <w:tab w:val="num" w:pos="1080"/>
        </w:tabs>
        <w:ind w:left="1080" w:hanging="360"/>
      </w:pPr>
      <w:rPr>
        <w:rFonts w:ascii="Wingdings" w:hAnsi="Wingdings" w:hint="default"/>
      </w:rPr>
    </w:lvl>
    <w:lvl w:ilvl="2" w:tplc="29840E6E">
      <w:start w:val="3415"/>
      <w:numFmt w:val="bullet"/>
      <w:lvlText w:val=""/>
      <w:lvlJc w:val="left"/>
      <w:pPr>
        <w:tabs>
          <w:tab w:val="num" w:pos="1800"/>
        </w:tabs>
        <w:ind w:left="1800" w:hanging="360"/>
      </w:pPr>
      <w:rPr>
        <w:rFonts w:ascii="Wingdings" w:hAnsi="Wingdings" w:hint="default"/>
      </w:rPr>
    </w:lvl>
    <w:lvl w:ilvl="3" w:tplc="FCE8E24A" w:tentative="1">
      <w:start w:val="1"/>
      <w:numFmt w:val="bullet"/>
      <w:lvlText w:val=""/>
      <w:lvlJc w:val="left"/>
      <w:pPr>
        <w:tabs>
          <w:tab w:val="num" w:pos="2520"/>
        </w:tabs>
        <w:ind w:left="2520" w:hanging="360"/>
      </w:pPr>
      <w:rPr>
        <w:rFonts w:ascii="Wingdings" w:hAnsi="Wingdings" w:hint="default"/>
      </w:rPr>
    </w:lvl>
    <w:lvl w:ilvl="4" w:tplc="B69C2502" w:tentative="1">
      <w:start w:val="1"/>
      <w:numFmt w:val="bullet"/>
      <w:lvlText w:val=""/>
      <w:lvlJc w:val="left"/>
      <w:pPr>
        <w:tabs>
          <w:tab w:val="num" w:pos="3240"/>
        </w:tabs>
        <w:ind w:left="3240" w:hanging="360"/>
      </w:pPr>
      <w:rPr>
        <w:rFonts w:ascii="Wingdings" w:hAnsi="Wingdings" w:hint="default"/>
      </w:rPr>
    </w:lvl>
    <w:lvl w:ilvl="5" w:tplc="19BC931E" w:tentative="1">
      <w:start w:val="1"/>
      <w:numFmt w:val="bullet"/>
      <w:lvlText w:val=""/>
      <w:lvlJc w:val="left"/>
      <w:pPr>
        <w:tabs>
          <w:tab w:val="num" w:pos="3960"/>
        </w:tabs>
        <w:ind w:left="3960" w:hanging="360"/>
      </w:pPr>
      <w:rPr>
        <w:rFonts w:ascii="Wingdings" w:hAnsi="Wingdings" w:hint="default"/>
      </w:rPr>
    </w:lvl>
    <w:lvl w:ilvl="6" w:tplc="8268773E" w:tentative="1">
      <w:start w:val="1"/>
      <w:numFmt w:val="bullet"/>
      <w:lvlText w:val=""/>
      <w:lvlJc w:val="left"/>
      <w:pPr>
        <w:tabs>
          <w:tab w:val="num" w:pos="4680"/>
        </w:tabs>
        <w:ind w:left="4680" w:hanging="360"/>
      </w:pPr>
      <w:rPr>
        <w:rFonts w:ascii="Wingdings" w:hAnsi="Wingdings" w:hint="default"/>
      </w:rPr>
    </w:lvl>
    <w:lvl w:ilvl="7" w:tplc="22824D06" w:tentative="1">
      <w:start w:val="1"/>
      <w:numFmt w:val="bullet"/>
      <w:lvlText w:val=""/>
      <w:lvlJc w:val="left"/>
      <w:pPr>
        <w:tabs>
          <w:tab w:val="num" w:pos="5400"/>
        </w:tabs>
        <w:ind w:left="5400" w:hanging="360"/>
      </w:pPr>
      <w:rPr>
        <w:rFonts w:ascii="Wingdings" w:hAnsi="Wingdings" w:hint="default"/>
      </w:rPr>
    </w:lvl>
    <w:lvl w:ilvl="8" w:tplc="589CC4C0" w:tentative="1">
      <w:start w:val="1"/>
      <w:numFmt w:val="bullet"/>
      <w:lvlText w:val=""/>
      <w:lvlJc w:val="left"/>
      <w:pPr>
        <w:tabs>
          <w:tab w:val="num" w:pos="6120"/>
        </w:tabs>
        <w:ind w:left="6120" w:hanging="360"/>
      </w:pPr>
      <w:rPr>
        <w:rFonts w:ascii="Wingdings" w:hAnsi="Wingdings" w:hint="default"/>
      </w:rPr>
    </w:lvl>
  </w:abstractNum>
  <w:abstractNum w:abstractNumId="8">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9">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0">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1">
    <w:nsid w:val="1E4D301A"/>
    <w:multiLevelType w:val="hybridMultilevel"/>
    <w:tmpl w:val="02003AB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21310437"/>
    <w:multiLevelType w:val="hybridMultilevel"/>
    <w:tmpl w:val="B6DEED3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4">
    <w:nsid w:val="26F252AD"/>
    <w:multiLevelType w:val="hybridMultilevel"/>
    <w:tmpl w:val="2FC28E84"/>
    <w:lvl w:ilvl="0" w:tplc="BFE2DDC4">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7">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8">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9">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20">
    <w:nsid w:val="5AF65BDA"/>
    <w:multiLevelType w:val="multilevel"/>
    <w:tmpl w:val="E206A1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nsid w:val="73FF3FD8"/>
    <w:multiLevelType w:val="hybridMultilevel"/>
    <w:tmpl w:val="1DA836C0"/>
    <w:lvl w:ilvl="0" w:tplc="F32EC7B2">
      <w:numFmt w:val="bullet"/>
      <w:lvlText w:val="­"/>
      <w:lvlJc w:val="left"/>
      <w:pPr>
        <w:ind w:left="36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2">
    <w:nsid w:val="76CA7592"/>
    <w:multiLevelType w:val="hybridMultilevel"/>
    <w:tmpl w:val="585416CE"/>
    <w:lvl w:ilvl="0" w:tplc="F32EC7B2">
      <w:numFmt w:val="bullet"/>
      <w:lvlText w:val="­"/>
      <w:lvlJc w:val="left"/>
      <w:pPr>
        <w:ind w:left="432"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040C0003" w:tentative="1">
      <w:start w:val="1"/>
      <w:numFmt w:val="bullet"/>
      <w:lvlText w:val="o"/>
      <w:lvlJc w:val="left"/>
      <w:pPr>
        <w:ind w:left="1685" w:hanging="360"/>
      </w:pPr>
      <w:rPr>
        <w:rFonts w:ascii="Courier New" w:hAnsi="Courier New" w:cs="Courier New" w:hint="default"/>
      </w:rPr>
    </w:lvl>
    <w:lvl w:ilvl="2" w:tplc="040C0005" w:tentative="1">
      <w:start w:val="1"/>
      <w:numFmt w:val="bullet"/>
      <w:lvlText w:val=""/>
      <w:lvlJc w:val="left"/>
      <w:pPr>
        <w:ind w:left="2405" w:hanging="360"/>
      </w:pPr>
      <w:rPr>
        <w:rFonts w:ascii="Wingdings" w:hAnsi="Wingdings" w:hint="default"/>
      </w:rPr>
    </w:lvl>
    <w:lvl w:ilvl="3" w:tplc="040C0001" w:tentative="1">
      <w:start w:val="1"/>
      <w:numFmt w:val="bullet"/>
      <w:lvlText w:val=""/>
      <w:lvlJc w:val="left"/>
      <w:pPr>
        <w:ind w:left="3125" w:hanging="360"/>
      </w:pPr>
      <w:rPr>
        <w:rFonts w:ascii="Symbol" w:hAnsi="Symbol" w:hint="default"/>
      </w:rPr>
    </w:lvl>
    <w:lvl w:ilvl="4" w:tplc="040C0003" w:tentative="1">
      <w:start w:val="1"/>
      <w:numFmt w:val="bullet"/>
      <w:lvlText w:val="o"/>
      <w:lvlJc w:val="left"/>
      <w:pPr>
        <w:ind w:left="3845" w:hanging="360"/>
      </w:pPr>
      <w:rPr>
        <w:rFonts w:ascii="Courier New" w:hAnsi="Courier New" w:cs="Courier New" w:hint="default"/>
      </w:rPr>
    </w:lvl>
    <w:lvl w:ilvl="5" w:tplc="040C0005" w:tentative="1">
      <w:start w:val="1"/>
      <w:numFmt w:val="bullet"/>
      <w:lvlText w:val=""/>
      <w:lvlJc w:val="left"/>
      <w:pPr>
        <w:ind w:left="4565" w:hanging="360"/>
      </w:pPr>
      <w:rPr>
        <w:rFonts w:ascii="Wingdings" w:hAnsi="Wingdings" w:hint="default"/>
      </w:rPr>
    </w:lvl>
    <w:lvl w:ilvl="6" w:tplc="040C0001" w:tentative="1">
      <w:start w:val="1"/>
      <w:numFmt w:val="bullet"/>
      <w:lvlText w:val=""/>
      <w:lvlJc w:val="left"/>
      <w:pPr>
        <w:ind w:left="5285" w:hanging="360"/>
      </w:pPr>
      <w:rPr>
        <w:rFonts w:ascii="Symbol" w:hAnsi="Symbol" w:hint="default"/>
      </w:rPr>
    </w:lvl>
    <w:lvl w:ilvl="7" w:tplc="040C0003" w:tentative="1">
      <w:start w:val="1"/>
      <w:numFmt w:val="bullet"/>
      <w:lvlText w:val="o"/>
      <w:lvlJc w:val="left"/>
      <w:pPr>
        <w:ind w:left="6005" w:hanging="360"/>
      </w:pPr>
      <w:rPr>
        <w:rFonts w:ascii="Courier New" w:hAnsi="Courier New" w:cs="Courier New" w:hint="default"/>
      </w:rPr>
    </w:lvl>
    <w:lvl w:ilvl="8" w:tplc="040C0005" w:tentative="1">
      <w:start w:val="1"/>
      <w:numFmt w:val="bullet"/>
      <w:lvlText w:val=""/>
      <w:lvlJc w:val="left"/>
      <w:pPr>
        <w:ind w:left="6725" w:hanging="360"/>
      </w:pPr>
      <w:rPr>
        <w:rFonts w:ascii="Wingdings" w:hAnsi="Wingdings" w:hint="default"/>
      </w:rPr>
    </w:lvl>
  </w:abstractNum>
  <w:num w:numId="1">
    <w:abstractNumId w:val="16"/>
  </w:num>
  <w:num w:numId="2">
    <w:abstractNumId w:val="18"/>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0"/>
  </w:num>
  <w:num w:numId="6">
    <w:abstractNumId w:val="4"/>
  </w:num>
  <w:num w:numId="7">
    <w:abstractNumId w:val="18"/>
  </w:num>
  <w:num w:numId="8">
    <w:abstractNumId w:val="12"/>
  </w:num>
  <w:num w:numId="9">
    <w:abstractNumId w:val="17"/>
  </w:num>
  <w:num w:numId="10">
    <w:abstractNumId w:val="18"/>
  </w:num>
  <w:num w:numId="11">
    <w:abstractNumId w:val="19"/>
  </w:num>
  <w:num w:numId="12">
    <w:abstractNumId w:val="18"/>
  </w:num>
  <w:num w:numId="13">
    <w:abstractNumId w:val="7"/>
  </w:num>
  <w:num w:numId="14">
    <w:abstractNumId w:val="18"/>
  </w:num>
  <w:num w:numId="15">
    <w:abstractNumId w:val="17"/>
  </w:num>
  <w:num w:numId="16">
    <w:abstractNumId w:val="18"/>
  </w:num>
  <w:num w:numId="17">
    <w:abstractNumId w:val="18"/>
  </w:num>
  <w:num w:numId="18">
    <w:abstractNumId w:val="17"/>
  </w:num>
  <w:num w:numId="19">
    <w:abstractNumId w:val="18"/>
  </w:num>
  <w:num w:numId="20">
    <w:abstractNumId w:val="18"/>
  </w:num>
  <w:num w:numId="21">
    <w:abstractNumId w:val="17"/>
  </w:num>
  <w:num w:numId="22">
    <w:abstractNumId w:val="17"/>
  </w:num>
  <w:num w:numId="23">
    <w:abstractNumId w:val="18"/>
  </w:num>
  <w:num w:numId="24">
    <w:abstractNumId w:val="11"/>
  </w:num>
  <w:num w:numId="25">
    <w:abstractNumId w:val="1"/>
  </w:num>
  <w:num w:numId="26">
    <w:abstractNumId w:val="15"/>
  </w:num>
  <w:num w:numId="27">
    <w:abstractNumId w:val="18"/>
  </w:num>
  <w:num w:numId="28">
    <w:abstractNumId w:val="2"/>
  </w:num>
  <w:num w:numId="29">
    <w:abstractNumId w:val="13"/>
  </w:num>
  <w:num w:numId="30">
    <w:abstractNumId w:val="2"/>
  </w:num>
  <w:num w:numId="31">
    <w:abstractNumId w:val="22"/>
  </w:num>
  <w:num w:numId="32">
    <w:abstractNumId w:val="18"/>
  </w:num>
  <w:num w:numId="33">
    <w:abstractNumId w:val="3"/>
  </w:num>
  <w:num w:numId="34">
    <w:abstractNumId w:val="14"/>
  </w:num>
  <w:num w:numId="35">
    <w:abstractNumId w:val="17"/>
  </w:num>
  <w:num w:numId="36">
    <w:abstractNumId w:val="17"/>
  </w:num>
  <w:num w:numId="37">
    <w:abstractNumId w:val="21"/>
  </w:num>
  <w:num w:numId="38">
    <w:abstractNumId w:val="18"/>
  </w:num>
  <w:num w:numId="39">
    <w:abstractNumId w:val="9"/>
  </w:num>
  <w:num w:numId="40">
    <w:abstractNumId w:val="5"/>
  </w:num>
  <w:num w:numId="41">
    <w:abstractNumId w:val="18"/>
  </w:num>
  <w:num w:numId="42">
    <w:abstractNumId w:val="6"/>
  </w:num>
  <w:num w:numId="43">
    <w:abstractNumId w:val="2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1C5"/>
    <w:rsid w:val="0003432F"/>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1DCC"/>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6EB8"/>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0BDD"/>
    <w:rsid w:val="001C10B7"/>
    <w:rsid w:val="001C13F6"/>
    <w:rsid w:val="001C1ACF"/>
    <w:rsid w:val="001C235B"/>
    <w:rsid w:val="001C23C5"/>
    <w:rsid w:val="001C2C72"/>
    <w:rsid w:val="001C2CB3"/>
    <w:rsid w:val="001C339A"/>
    <w:rsid w:val="001C49D8"/>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1A5"/>
    <w:rsid w:val="002156AC"/>
    <w:rsid w:val="00215F40"/>
    <w:rsid w:val="00216199"/>
    <w:rsid w:val="002164C6"/>
    <w:rsid w:val="00216743"/>
    <w:rsid w:val="002168B9"/>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105"/>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271"/>
    <w:rsid w:val="00263B79"/>
    <w:rsid w:val="00263B85"/>
    <w:rsid w:val="00263C1B"/>
    <w:rsid w:val="0026428B"/>
    <w:rsid w:val="002643AF"/>
    <w:rsid w:val="00264D2D"/>
    <w:rsid w:val="00266531"/>
    <w:rsid w:val="00266FC7"/>
    <w:rsid w:val="00267353"/>
    <w:rsid w:val="002673E5"/>
    <w:rsid w:val="00267DBD"/>
    <w:rsid w:val="00267F3E"/>
    <w:rsid w:val="00270A38"/>
    <w:rsid w:val="00271105"/>
    <w:rsid w:val="00271920"/>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5C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3D34"/>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9D1"/>
    <w:rsid w:val="00317E86"/>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1A37"/>
    <w:rsid w:val="00333151"/>
    <w:rsid w:val="003332AA"/>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68D0"/>
    <w:rsid w:val="00367B45"/>
    <w:rsid w:val="00367F45"/>
    <w:rsid w:val="00370B4D"/>
    <w:rsid w:val="00370BB6"/>
    <w:rsid w:val="00371D40"/>
    <w:rsid w:val="00372D10"/>
    <w:rsid w:val="003732DC"/>
    <w:rsid w:val="0037338A"/>
    <w:rsid w:val="00373619"/>
    <w:rsid w:val="00373C4C"/>
    <w:rsid w:val="00374840"/>
    <w:rsid w:val="0037531B"/>
    <w:rsid w:val="003758B7"/>
    <w:rsid w:val="00375CBD"/>
    <w:rsid w:val="0037642E"/>
    <w:rsid w:val="0037647F"/>
    <w:rsid w:val="00376CC9"/>
    <w:rsid w:val="003770EE"/>
    <w:rsid w:val="0037789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2356"/>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8C0"/>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1A0"/>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A15"/>
    <w:rsid w:val="00591BAB"/>
    <w:rsid w:val="0059201F"/>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0E07"/>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2EC9"/>
    <w:rsid w:val="006236EF"/>
    <w:rsid w:val="006243E6"/>
    <w:rsid w:val="00624C4D"/>
    <w:rsid w:val="00625227"/>
    <w:rsid w:val="00625A6B"/>
    <w:rsid w:val="006262B2"/>
    <w:rsid w:val="00626D56"/>
    <w:rsid w:val="00626FED"/>
    <w:rsid w:val="00627EEB"/>
    <w:rsid w:val="00627FB9"/>
    <w:rsid w:val="00630A3C"/>
    <w:rsid w:val="00630E46"/>
    <w:rsid w:val="00630EE4"/>
    <w:rsid w:val="0063118F"/>
    <w:rsid w:val="00631AA3"/>
    <w:rsid w:val="00632B65"/>
    <w:rsid w:val="00632DCE"/>
    <w:rsid w:val="00633140"/>
    <w:rsid w:val="00634673"/>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6DC0"/>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0C4"/>
    <w:rsid w:val="006E396A"/>
    <w:rsid w:val="006E3E6F"/>
    <w:rsid w:val="006E40EC"/>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1B2"/>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743"/>
    <w:rsid w:val="00707070"/>
    <w:rsid w:val="00707213"/>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506"/>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443"/>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ABC"/>
    <w:rsid w:val="00843C9C"/>
    <w:rsid w:val="008452AB"/>
    <w:rsid w:val="00845FDD"/>
    <w:rsid w:val="00846632"/>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075A"/>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051"/>
    <w:rsid w:val="00922961"/>
    <w:rsid w:val="009241D4"/>
    <w:rsid w:val="0092466B"/>
    <w:rsid w:val="00924957"/>
    <w:rsid w:val="00924ADA"/>
    <w:rsid w:val="00925096"/>
    <w:rsid w:val="00925110"/>
    <w:rsid w:val="009255CC"/>
    <w:rsid w:val="009258A8"/>
    <w:rsid w:val="00926ACD"/>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744"/>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200F"/>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7E6"/>
    <w:rsid w:val="009B58F2"/>
    <w:rsid w:val="009B5BE8"/>
    <w:rsid w:val="009B5F46"/>
    <w:rsid w:val="009B6518"/>
    <w:rsid w:val="009B6942"/>
    <w:rsid w:val="009B6A86"/>
    <w:rsid w:val="009B6E72"/>
    <w:rsid w:val="009B76F7"/>
    <w:rsid w:val="009B7B2B"/>
    <w:rsid w:val="009C0EC8"/>
    <w:rsid w:val="009C0F2D"/>
    <w:rsid w:val="009C1154"/>
    <w:rsid w:val="009C1667"/>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43D"/>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C8B"/>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07E53"/>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CC5"/>
    <w:rsid w:val="00B16DF9"/>
    <w:rsid w:val="00B17467"/>
    <w:rsid w:val="00B1753B"/>
    <w:rsid w:val="00B20608"/>
    <w:rsid w:val="00B2061F"/>
    <w:rsid w:val="00B2072D"/>
    <w:rsid w:val="00B2078C"/>
    <w:rsid w:val="00B20F5F"/>
    <w:rsid w:val="00B21104"/>
    <w:rsid w:val="00B21662"/>
    <w:rsid w:val="00B218BB"/>
    <w:rsid w:val="00B218C1"/>
    <w:rsid w:val="00B2193D"/>
    <w:rsid w:val="00B221CE"/>
    <w:rsid w:val="00B22379"/>
    <w:rsid w:val="00B2257F"/>
    <w:rsid w:val="00B23048"/>
    <w:rsid w:val="00B2333E"/>
    <w:rsid w:val="00B2352F"/>
    <w:rsid w:val="00B23593"/>
    <w:rsid w:val="00B237F0"/>
    <w:rsid w:val="00B24419"/>
    <w:rsid w:val="00B24624"/>
    <w:rsid w:val="00B246E3"/>
    <w:rsid w:val="00B247AC"/>
    <w:rsid w:val="00B24DA5"/>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42BC"/>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B87"/>
    <w:rsid w:val="00B85FE8"/>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888"/>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218F"/>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3B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57EE0"/>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6EF6"/>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08AF"/>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CF1"/>
    <w:rsid w:val="00D15E62"/>
    <w:rsid w:val="00D160F2"/>
    <w:rsid w:val="00D16CF3"/>
    <w:rsid w:val="00D17040"/>
    <w:rsid w:val="00D176CB"/>
    <w:rsid w:val="00D20BCC"/>
    <w:rsid w:val="00D21D22"/>
    <w:rsid w:val="00D21F5A"/>
    <w:rsid w:val="00D22855"/>
    <w:rsid w:val="00D22B30"/>
    <w:rsid w:val="00D22DA8"/>
    <w:rsid w:val="00D231B6"/>
    <w:rsid w:val="00D2360B"/>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6CA7"/>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813"/>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62A"/>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2A"/>
    <w:rsid w:val="00DF1A3F"/>
    <w:rsid w:val="00DF30A9"/>
    <w:rsid w:val="00DF3C33"/>
    <w:rsid w:val="00DF3D90"/>
    <w:rsid w:val="00DF460D"/>
    <w:rsid w:val="00DF4640"/>
    <w:rsid w:val="00DF4845"/>
    <w:rsid w:val="00DF498D"/>
    <w:rsid w:val="00DF4CEC"/>
    <w:rsid w:val="00DF5ACA"/>
    <w:rsid w:val="00DF5B29"/>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011"/>
    <w:rsid w:val="00E4549E"/>
    <w:rsid w:val="00E45AFC"/>
    <w:rsid w:val="00E45B5B"/>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10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0EED"/>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40"/>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5C6"/>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30B"/>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6872"/>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1C02"/>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59715197">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1052218">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0679153">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89551793">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6441804">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8254357">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5791575">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87696184">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3690479">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28776291">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1519385">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093548138">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298225289">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23516486">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26277356">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8876728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5784679">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60143581">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87926768">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3227145">
      <w:bodyDiv w:val="1"/>
      <w:marLeft w:val="0"/>
      <w:marRight w:val="0"/>
      <w:marTop w:val="0"/>
      <w:marBottom w:val="0"/>
      <w:divBdr>
        <w:top w:val="none" w:sz="0" w:space="0" w:color="auto"/>
        <w:left w:val="none" w:sz="0" w:space="0" w:color="auto"/>
        <w:bottom w:val="none" w:sz="0" w:space="0" w:color="auto"/>
        <w:right w:val="none" w:sz="0" w:space="0" w:color="auto"/>
      </w:divBdr>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hyperlink" Target="http://marelationcnpassurances.cnp.fr/" TargetMode="External"/><Relationship Id="rId26" Type="http://schemas.openxmlformats.org/officeDocument/2006/relationships/hyperlink" Target="http://www.caisse-epargne.fr"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servicemagazinesplus@adlpartner.fr" TargetMode="External"/><Relationship Id="rId34" Type="http://schemas.openxmlformats.org/officeDocument/2006/relationships/hyperlink" Target="http://commerciaux.celca.caisse-epargne.fr/global-bdd/pilotage/la-production-commerciale/le-suivi-des-frais-de-dossiers-credits-conso/" TargetMode="Externa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http://commerciaux.celca.caisse-epargne.fr/download/261/taux-de-rendement/7432/jassure-taux-de-rendements-2017.pdf" TargetMode="External"/><Relationship Id="rId25" Type="http://schemas.openxmlformats.org/officeDocument/2006/relationships/hyperlink" Target="mailto:marielle.halter-sztogryn@celca.caisse-epargne.fr" TargetMode="External"/><Relationship Id="rId33" Type="http://schemas.openxmlformats.org/officeDocument/2006/relationships/hyperlink" Target="http://commerciaux.celca.caisse-epargne.fr/download/1293/iris/7417/suivi-commercialisation-iris.xlsx"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commerciaux.celca.caisse-epargne.fr/download/1078/izivente-izicarte-oav/3541/fichier-izicartes-en-instance-3.xlsx" TargetMode="External"/><Relationship Id="rId20" Type="http://schemas.openxmlformats.org/officeDocument/2006/relationships/hyperlink" Target="http://commerciaux.celca.caisse-epargne.fr/download/341/tarification/6274/offres-promo-en-cours.ppt" TargetMode="External"/><Relationship Id="rId29" Type="http://schemas.openxmlformats.org/officeDocument/2006/relationships/hyperlink" Target="http://commerciaux.celca.caisse-epargne.fr/download/365/documents-commerciaux/7435/dda-ce-auto-pro-mars-2018.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commerciaux.celca.caisse-epargne.fr/download/371/bancarisation/7407/transformation-04-en-08-2.docx" TargetMode="External"/><Relationship Id="rId32" Type="http://schemas.openxmlformats.org/officeDocument/2006/relationships/hyperlink" Target="http://commerciaux.celca.caisse-epargne.fr/download/1273/helios-avril-2028/7414/suivi-commercialisation-helios-4.xlsx" TargetMode="External"/><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commerciaux.celca.caisse-epargne.fr/download/1157/fichiers-a-traiter/4147/mb_dossiers-domilis-a-saisir-mode-operatoire.docx" TargetMode="External"/><Relationship Id="rId23" Type="http://schemas.openxmlformats.org/officeDocument/2006/relationships/hyperlink" Target="http://commerciaux.celca.caisse-epargne.fr/download/431/resultats-fdc-pros/7385/20180131_resultats-fdc-pros.xlsx" TargetMode="External"/><Relationship Id="rId28" Type="http://schemas.openxmlformats.org/officeDocument/2006/relationships/image" Target="cid:image003.jpg@01D3B9F8.A3DD65A0" TargetMode="External"/><Relationship Id="rId36" Type="http://schemas.openxmlformats.org/officeDocument/2006/relationships/hyperlink" Target="http://commerciaux.celca.caisse-epargne.fr/download/1176/documents-hors-arbo-2/5429/delai-de-traitement-bdd-dircred-2017.xlsx" TargetMode="External"/><Relationship Id="rId10" Type="http://schemas.openxmlformats.org/officeDocument/2006/relationships/hyperlink" Target="http://commerciaux.celca.caisse-epargne.fr/download/329/lutte-anti-resiliation/7430/lutte-anti-resiliation.xlsx" TargetMode="External"/><Relationship Id="rId19" Type="http://schemas.openxmlformats.org/officeDocument/2006/relationships/hyperlink" Target="http://commerciaux.celca.caisse-epargne.fr/download/253/assurance-vie/7406/dematerisation-des-courriers-et-releves-de-situation-fi-2018-12.doc" TargetMode="External"/><Relationship Id="rId31"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yperlink" Target="http://commerciaux.celca.caisse-epargne.fr/download/267/pel-en-non-respect/7426/pel-potentiellement-en-non-respect.xlsx" TargetMode="External"/><Relationship Id="rId14" Type="http://schemas.openxmlformats.org/officeDocument/2006/relationships/hyperlink" Target="http://commerciaux.celca.caisse-epargne.fr/download/1157/fichiers-a-traiter/4960/mb_dossiers-domilis-a-saisir.xls" TargetMode="External"/><Relationship Id="rId22" Type="http://schemas.openxmlformats.org/officeDocument/2006/relationships/hyperlink" Target="http://commerciaux.celca.caisse-epargne.fr/global-bdd/communication-client/encarts-releve-de-compte-mailing-emailing-sms/mailing-emailing-sms/archives-par-trimestrea/mailings-emailings-sms-2017/du-trimestre-en-cours-2/" TargetMode="External"/><Relationship Id="rId27" Type="http://schemas.openxmlformats.org/officeDocument/2006/relationships/image" Target="media/image1.jpeg"/><Relationship Id="rId30" Type="http://schemas.openxmlformats.org/officeDocument/2006/relationships/hyperlink" Target="http://commerciaux.celca.caisse-epargne.fr/download/1125/documents-commerciaux/7438/contrats-mr-non-exploitant-garage-et-mr-pro-activite-gardiennage-de-vehicules-nouvelles-regles.pdf" TargetMode="External"/><Relationship Id="rId35" Type="http://schemas.openxmlformats.org/officeDocument/2006/relationships/hyperlink" Target="http://commerciaux.celca.caisse-epargne.fr/particuliers/credits-particuliers/credits-a-la-consommation/liste-des-credits-proje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0988A-7F74-4B9B-9895-FF899CBC2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5</Pages>
  <Words>3160</Words>
  <Characters>17382</Characters>
  <Application>Microsoft Office Word</Application>
  <DocSecurity>0</DocSecurity>
  <Lines>144</Lines>
  <Paragraphs>41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20501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A5700116</cp:lastModifiedBy>
  <cp:revision>68</cp:revision>
  <dcterms:created xsi:type="dcterms:W3CDTF">2018-03-12T08:54:00Z</dcterms:created>
  <dcterms:modified xsi:type="dcterms:W3CDTF">2018-03-12T15:23:00Z</dcterms:modified>
</cp:coreProperties>
</file>