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C26036">
              <w:rPr>
                <w:rFonts w:ascii="Times New Roman" w:hAnsi="Times New Roman" w:cs="Times New Roman"/>
                <w:b/>
                <w:sz w:val="32"/>
                <w:szCs w:val="40"/>
              </w:rPr>
              <w:t>12</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A33BDB" w:rsidRPr="00E81F6E" w:rsidTr="00AF3BE3">
        <w:trPr>
          <w:trHeight w:val="169"/>
        </w:trPr>
        <w:tc>
          <w:tcPr>
            <w:tcW w:w="1560" w:type="dxa"/>
            <w:tcBorders>
              <w:bottom w:val="single" w:sz="4" w:space="0" w:color="auto"/>
            </w:tcBorders>
            <w:shd w:val="clear" w:color="auto" w:fill="FFFFFF" w:themeFill="background1"/>
          </w:tcPr>
          <w:p w:rsidR="00A33BDB" w:rsidRPr="00A33BDB" w:rsidRDefault="00A33BDB">
            <w:pPr>
              <w:rPr>
                <w:rFonts w:ascii="Times New Roman" w:hAnsi="Times New Roman" w:cs="Times New Roman"/>
                <w:color w:val="000000"/>
                <w:sz w:val="20"/>
                <w:szCs w:val="20"/>
              </w:rPr>
            </w:pPr>
            <w:r w:rsidRPr="00A33BDB">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A33BDB" w:rsidRPr="00A33BDB" w:rsidRDefault="00A33BDB" w:rsidP="00E41EB1">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A33BDB" w:rsidRPr="000346E4" w:rsidRDefault="0033324C" w:rsidP="00E41EB1">
            <w:pPr>
              <w:numPr>
                <w:ilvl w:val="0"/>
                <w:numId w:val="34"/>
              </w:numPr>
              <w:ind w:left="176" w:hanging="176"/>
              <w:contextualSpacing/>
              <w:jc w:val="both"/>
              <w:rPr>
                <w:rFonts w:ascii="Times New Roman" w:hAnsi="Times New Roman" w:cs="Times New Roman"/>
                <w:b/>
                <w:bCs/>
                <w:color w:val="000000"/>
                <w:sz w:val="20"/>
                <w:szCs w:val="20"/>
              </w:rPr>
            </w:pPr>
            <w:hyperlink r:id="rId9" w:history="1">
              <w:r w:rsidR="00A33BDB" w:rsidRPr="000346E4">
                <w:rPr>
                  <w:rStyle w:val="Lienhypertexte"/>
                  <w:rFonts w:ascii="Times New Roman" w:hAnsi="Times New Roman" w:cs="Times New Roman"/>
                  <w:sz w:val="20"/>
                  <w:szCs w:val="20"/>
                  <w:lang w:eastAsia="fr-FR"/>
                </w:rPr>
                <w:t>CLIQUEZ ICI</w:t>
              </w:r>
            </w:hyperlink>
            <w:r w:rsidR="00A33BDB" w:rsidRPr="000346E4">
              <w:rPr>
                <w:rFonts w:ascii="Times New Roman" w:hAnsi="Times New Roman" w:cs="Times New Roman"/>
                <w:color w:val="000000"/>
                <w:sz w:val="20"/>
                <w:szCs w:val="20"/>
                <w:lang w:eastAsia="fr-FR"/>
              </w:rPr>
              <w:t xml:space="preserve"> pour accéder à la liste des PEL potentiellement en non-respect arrêté au 19 mars 2018 qui seront clôturés à J+1 de la date anniversaire</w:t>
            </w:r>
            <w:r w:rsidR="00A33BDB" w:rsidRPr="000346E4">
              <w:rPr>
                <w:rFonts w:ascii="Times New Roman" w:hAnsi="Times New Roman" w:cs="Times New Roman"/>
                <w:color w:val="1F497D"/>
                <w:sz w:val="20"/>
                <w:szCs w:val="20"/>
                <w:lang w:eastAsia="fr-FR"/>
              </w:rPr>
              <w:t xml:space="preserve"> </w:t>
            </w:r>
            <w:r w:rsidR="00A33BDB" w:rsidRPr="000346E4">
              <w:rPr>
                <w:rFonts w:ascii="Times New Roman" w:hAnsi="Times New Roman" w:cs="Times New Roman"/>
                <w:color w:val="000000"/>
                <w:sz w:val="20"/>
                <w:szCs w:val="20"/>
                <w:lang w:eastAsia="fr-FR"/>
              </w:rPr>
              <w:t>(volumétrie 494 clients)</w:t>
            </w:r>
          </w:p>
        </w:tc>
      </w:tr>
      <w:tr w:rsidR="00A33BDB" w:rsidRPr="00E81F6E" w:rsidTr="00AF3BE3">
        <w:trPr>
          <w:trHeight w:val="334"/>
        </w:trPr>
        <w:tc>
          <w:tcPr>
            <w:tcW w:w="1560" w:type="dxa"/>
            <w:tcBorders>
              <w:bottom w:val="single" w:sz="4" w:space="0" w:color="auto"/>
            </w:tcBorders>
            <w:shd w:val="clear" w:color="auto" w:fill="FFFFFF" w:themeFill="background1"/>
          </w:tcPr>
          <w:p w:rsidR="00A33BDB" w:rsidRPr="00A33BDB" w:rsidRDefault="00A33BDB">
            <w:pPr>
              <w:rPr>
                <w:rFonts w:ascii="Times New Roman" w:hAnsi="Times New Roman" w:cs="Times New Roman"/>
                <w:color w:val="000000"/>
                <w:sz w:val="20"/>
                <w:szCs w:val="20"/>
              </w:rPr>
            </w:pPr>
            <w:r w:rsidRPr="00A33BDB">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A33BDB" w:rsidRPr="00A33BDB" w:rsidRDefault="00A33BDB" w:rsidP="00E41EB1">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A33BDB" w:rsidRPr="000346E4" w:rsidRDefault="0033324C" w:rsidP="00E41EB1">
            <w:pPr>
              <w:numPr>
                <w:ilvl w:val="0"/>
                <w:numId w:val="34"/>
              </w:numPr>
              <w:ind w:left="176" w:hanging="176"/>
              <w:contextualSpacing/>
              <w:jc w:val="both"/>
              <w:rPr>
                <w:rFonts w:ascii="Times New Roman" w:hAnsi="Times New Roman" w:cs="Times New Roman"/>
                <w:color w:val="000000"/>
                <w:sz w:val="20"/>
                <w:szCs w:val="20"/>
                <w:lang w:eastAsia="fr-FR"/>
              </w:rPr>
            </w:pPr>
            <w:hyperlink r:id="rId10" w:history="1">
              <w:r w:rsidR="00A33BDB" w:rsidRPr="000346E4">
                <w:rPr>
                  <w:rStyle w:val="Lienhypertexte"/>
                  <w:rFonts w:ascii="Times New Roman" w:hAnsi="Times New Roman" w:cs="Times New Roman"/>
                  <w:sz w:val="20"/>
                  <w:szCs w:val="20"/>
                  <w:lang w:eastAsia="fr-FR"/>
                </w:rPr>
                <w:t>CLIQUEZ ICI</w:t>
              </w:r>
            </w:hyperlink>
            <w:r w:rsidR="00A33BDB" w:rsidRPr="000346E4">
              <w:rPr>
                <w:rFonts w:ascii="Times New Roman" w:hAnsi="Times New Roman" w:cs="Times New Roman"/>
                <w:color w:val="000000"/>
                <w:sz w:val="20"/>
                <w:szCs w:val="20"/>
                <w:lang w:eastAsia="fr-FR"/>
              </w:rPr>
              <w:t xml:space="preserve"> pour accéder au fichier Lutte anti-résiliation IARD arrêté au 26 février 2018 (volumétrie 263 clients). </w:t>
            </w:r>
          </w:p>
        </w:tc>
      </w:tr>
      <w:tr w:rsidR="00A33BDB" w:rsidRPr="00E81F6E" w:rsidTr="00AF3BE3">
        <w:trPr>
          <w:trHeight w:val="365"/>
        </w:trPr>
        <w:tc>
          <w:tcPr>
            <w:tcW w:w="1560" w:type="dxa"/>
            <w:tcBorders>
              <w:bottom w:val="single" w:sz="4" w:space="0" w:color="auto"/>
            </w:tcBorders>
            <w:shd w:val="clear" w:color="auto" w:fill="FFFFFF" w:themeFill="background1"/>
          </w:tcPr>
          <w:p w:rsidR="00A33BDB" w:rsidRPr="00A33BDB" w:rsidRDefault="00A33BDB">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A33BDB" w:rsidRPr="00A33BDB" w:rsidRDefault="00A33BDB" w:rsidP="00E41EB1">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A33BDB" w:rsidRPr="000346E4" w:rsidRDefault="0033324C" w:rsidP="00E41EB1">
            <w:pPr>
              <w:numPr>
                <w:ilvl w:val="0"/>
                <w:numId w:val="34"/>
              </w:numPr>
              <w:ind w:left="176" w:hanging="176"/>
              <w:contextualSpacing/>
              <w:jc w:val="both"/>
              <w:rPr>
                <w:rFonts w:ascii="Times New Roman" w:hAnsi="Times New Roman" w:cs="Times New Roman"/>
                <w:color w:val="000000"/>
                <w:sz w:val="20"/>
                <w:szCs w:val="20"/>
                <w:lang w:eastAsia="fr-FR"/>
              </w:rPr>
            </w:pPr>
            <w:hyperlink r:id="rId11" w:history="1">
              <w:r w:rsidR="00A33BDB" w:rsidRPr="000346E4">
                <w:rPr>
                  <w:rStyle w:val="Lienhypertexte"/>
                  <w:rFonts w:ascii="Times New Roman" w:hAnsi="Times New Roman" w:cs="Times New Roman"/>
                  <w:color w:val="000000"/>
                  <w:sz w:val="20"/>
                  <w:szCs w:val="20"/>
                  <w:lang w:eastAsia="fr-FR"/>
                </w:rPr>
                <w:t>CLIQUEZ ICI</w:t>
              </w:r>
            </w:hyperlink>
            <w:r w:rsidR="00A33BDB" w:rsidRPr="000346E4">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A33BDB" w:rsidRPr="00E81F6E" w:rsidTr="00AF3BE3">
        <w:trPr>
          <w:trHeight w:val="169"/>
        </w:trPr>
        <w:tc>
          <w:tcPr>
            <w:tcW w:w="1560" w:type="dxa"/>
            <w:tcBorders>
              <w:bottom w:val="single" w:sz="4" w:space="0" w:color="auto"/>
            </w:tcBorders>
            <w:shd w:val="clear" w:color="auto" w:fill="FFFFFF" w:themeFill="background1"/>
          </w:tcPr>
          <w:p w:rsidR="00A33BDB" w:rsidRPr="00A33BDB" w:rsidRDefault="00A33BDB">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A33BDB" w:rsidRPr="00A33BDB" w:rsidRDefault="00A33BDB" w:rsidP="00E41EB1">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A33BDB" w:rsidRPr="000346E4" w:rsidRDefault="00A33BDB" w:rsidP="00E41EB1">
            <w:pPr>
              <w:numPr>
                <w:ilvl w:val="0"/>
                <w:numId w:val="34"/>
              </w:numPr>
              <w:ind w:left="176" w:hanging="176"/>
              <w:contextualSpacing/>
              <w:jc w:val="both"/>
              <w:rPr>
                <w:rFonts w:ascii="Times New Roman" w:hAnsi="Times New Roman" w:cs="Times New Roman"/>
                <w:color w:val="000000"/>
                <w:sz w:val="20"/>
                <w:szCs w:val="20"/>
              </w:rPr>
            </w:pPr>
            <w:r w:rsidRPr="000346E4">
              <w:rPr>
                <w:rFonts w:ascii="Times New Roman" w:hAnsi="Times New Roman" w:cs="Times New Roman"/>
                <w:color w:val="000000"/>
                <w:sz w:val="20"/>
                <w:szCs w:val="20"/>
                <w:lang w:eastAsia="fr-FR"/>
              </w:rPr>
              <w:t xml:space="preserve">Comme indiqué dans la note </w:t>
            </w:r>
            <w:hyperlink r:id="rId12" w:history="1">
              <w:r w:rsidRPr="000346E4">
                <w:rPr>
                  <w:rStyle w:val="Lienhypertexte"/>
                  <w:rFonts w:ascii="Times New Roman" w:hAnsi="Times New Roman" w:cs="Times New Roman"/>
                  <w:color w:val="000000"/>
                  <w:sz w:val="20"/>
                  <w:szCs w:val="20"/>
                  <w:lang w:eastAsia="fr-FR"/>
                </w:rPr>
                <w:t>DSB INF17/05</w:t>
              </w:r>
            </w:hyperlink>
            <w:r w:rsidRPr="000346E4">
              <w:rPr>
                <w:rFonts w:ascii="Times New Roman" w:hAnsi="Times New Roman" w:cs="Times New Roman"/>
                <w:color w:val="000000"/>
                <w:sz w:val="20"/>
                <w:szCs w:val="20"/>
                <w:lang w:eastAsia="fr-FR"/>
              </w:rPr>
              <w:t xml:space="preserve">, vous trouverez la liste des Livrets A ouverts en février suite à clôture à la concurrence en </w:t>
            </w:r>
            <w:hyperlink r:id="rId13" w:history="1">
              <w:r w:rsidRPr="000346E4">
                <w:rPr>
                  <w:rStyle w:val="Lienhypertexte"/>
                  <w:rFonts w:ascii="Times New Roman" w:hAnsi="Times New Roman" w:cs="Times New Roman"/>
                  <w:color w:val="000000"/>
                  <w:sz w:val="20"/>
                  <w:szCs w:val="20"/>
                  <w:lang w:eastAsia="fr-FR"/>
                </w:rPr>
                <w:t>cliquant ici</w:t>
              </w:r>
            </w:hyperlink>
            <w:r w:rsidRPr="000346E4">
              <w:rPr>
                <w:rFonts w:ascii="Times New Roman" w:hAnsi="Times New Roman" w:cs="Times New Roman"/>
                <w:color w:val="000000"/>
                <w:sz w:val="20"/>
                <w:szCs w:val="20"/>
                <w:lang w:eastAsia="fr-FR"/>
              </w:rPr>
              <w:t xml:space="preserve"> (215 clients)</w:t>
            </w:r>
          </w:p>
        </w:tc>
      </w:tr>
      <w:tr w:rsidR="00A33BDB" w:rsidRPr="00E81F6E" w:rsidTr="00AF3BE3">
        <w:trPr>
          <w:trHeight w:val="515"/>
        </w:trPr>
        <w:tc>
          <w:tcPr>
            <w:tcW w:w="1560" w:type="dxa"/>
            <w:tcBorders>
              <w:bottom w:val="single" w:sz="4" w:space="0" w:color="auto"/>
            </w:tcBorders>
            <w:shd w:val="clear" w:color="auto" w:fill="FFFFFF" w:themeFill="background1"/>
          </w:tcPr>
          <w:p w:rsidR="00A33BDB" w:rsidRPr="00A33BDB" w:rsidRDefault="00A33BDB">
            <w:pPr>
              <w:spacing w:after="200" w:line="276" w:lineRule="auto"/>
              <w:rPr>
                <w:rFonts w:ascii="Times New Roman" w:hAnsi="Times New Roman" w:cs="Times New Roman"/>
                <w:b/>
                <w:bCs/>
                <w:sz w:val="20"/>
                <w:szCs w:val="20"/>
              </w:rPr>
            </w:pPr>
            <w:r w:rsidRPr="00A33BDB">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A33BDB" w:rsidRPr="00A33BDB" w:rsidRDefault="00A33BDB" w:rsidP="00E41EB1">
            <w:pPr>
              <w:rPr>
                <w:rFonts w:ascii="Times New Roman" w:hAnsi="Times New Roman" w:cs="Times New Roman"/>
                <w:b/>
                <w:bCs/>
                <w:color w:val="000000"/>
                <w:sz w:val="20"/>
                <w:szCs w:val="20"/>
              </w:rPr>
            </w:pPr>
            <w:r w:rsidRPr="00A33BDB">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A33BDB" w:rsidRPr="000346E4" w:rsidRDefault="0033324C" w:rsidP="00E41EB1">
            <w:pPr>
              <w:numPr>
                <w:ilvl w:val="0"/>
                <w:numId w:val="34"/>
              </w:numPr>
              <w:ind w:left="176" w:hanging="176"/>
              <w:contextualSpacing/>
              <w:jc w:val="both"/>
              <w:rPr>
                <w:rFonts w:ascii="Times New Roman" w:hAnsi="Times New Roman" w:cs="Times New Roman"/>
                <w:b/>
                <w:bCs/>
                <w:color w:val="000000"/>
                <w:sz w:val="20"/>
                <w:szCs w:val="20"/>
              </w:rPr>
            </w:pPr>
            <w:hyperlink r:id="rId14" w:history="1">
              <w:r w:rsidR="00A33BDB" w:rsidRPr="000346E4">
                <w:rPr>
                  <w:rStyle w:val="Lienhypertexte"/>
                  <w:rFonts w:ascii="Times New Roman" w:hAnsi="Times New Roman" w:cs="Times New Roman"/>
                  <w:sz w:val="20"/>
                  <w:szCs w:val="20"/>
                  <w:lang w:eastAsia="fr-FR"/>
                </w:rPr>
                <w:t>CLIQUEZ ICI</w:t>
              </w:r>
            </w:hyperlink>
            <w:r w:rsidR="00A33BDB" w:rsidRPr="000346E4">
              <w:rPr>
                <w:rFonts w:ascii="Times New Roman" w:hAnsi="Times New Roman" w:cs="Times New Roman"/>
                <w:color w:val="000000"/>
                <w:sz w:val="20"/>
                <w:szCs w:val="20"/>
                <w:lang w:eastAsia="fr-FR"/>
              </w:rPr>
              <w:t xml:space="preserve"> pour accéder à la liste des PEL potentiellement en non-respect arrêté au 19 mars 2018 qui seront clôturés à J+1 de la date anniversaire</w:t>
            </w:r>
            <w:r w:rsidR="00A33BDB" w:rsidRPr="000346E4">
              <w:rPr>
                <w:rFonts w:ascii="Times New Roman" w:hAnsi="Times New Roman" w:cs="Times New Roman"/>
                <w:color w:val="1F497D"/>
                <w:sz w:val="20"/>
                <w:szCs w:val="20"/>
                <w:lang w:eastAsia="fr-FR"/>
              </w:rPr>
              <w:t xml:space="preserve"> </w:t>
            </w:r>
            <w:r w:rsidR="00A33BDB" w:rsidRPr="000346E4">
              <w:rPr>
                <w:rFonts w:ascii="Times New Roman" w:hAnsi="Times New Roman" w:cs="Times New Roman"/>
                <w:color w:val="000000"/>
                <w:sz w:val="20"/>
                <w:szCs w:val="20"/>
                <w:lang w:eastAsia="fr-FR"/>
              </w:rPr>
              <w:t>(volumétrie 494 clients)</w:t>
            </w:r>
          </w:p>
        </w:tc>
      </w:tr>
      <w:tr w:rsidR="0063118F" w:rsidRPr="00E81F6E" w:rsidTr="00AF3BE3">
        <w:trPr>
          <w:trHeight w:val="515"/>
        </w:trPr>
        <w:tc>
          <w:tcPr>
            <w:tcW w:w="1560" w:type="dxa"/>
            <w:tcBorders>
              <w:bottom w:val="single" w:sz="4" w:space="0" w:color="auto"/>
            </w:tcBorders>
            <w:shd w:val="clear" w:color="auto" w:fill="FFFFFF" w:themeFill="background1"/>
          </w:tcPr>
          <w:p w:rsidR="0063118F" w:rsidRPr="00C26036" w:rsidRDefault="0063118F">
            <w:pPr>
              <w:rPr>
                <w:rFonts w:ascii="Times New Roman" w:hAnsi="Times New Roman" w:cs="Times New Roman"/>
                <w:b/>
                <w:bCs/>
                <w:sz w:val="20"/>
                <w:szCs w:val="20"/>
              </w:rPr>
            </w:pPr>
            <w:r w:rsidRPr="00C26036">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63118F" w:rsidRPr="00C26036" w:rsidRDefault="0063118F" w:rsidP="00E41EB1">
            <w:pPr>
              <w:rPr>
                <w:rFonts w:ascii="Times New Roman" w:hAnsi="Times New Roman" w:cs="Times New Roman"/>
                <w:b/>
                <w:bCs/>
                <w:sz w:val="20"/>
                <w:szCs w:val="20"/>
              </w:rPr>
            </w:pPr>
            <w:r w:rsidRPr="00C26036">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63118F" w:rsidRPr="000346E4" w:rsidRDefault="0033324C" w:rsidP="00E41EB1">
            <w:pPr>
              <w:numPr>
                <w:ilvl w:val="0"/>
                <w:numId w:val="14"/>
              </w:numPr>
              <w:ind w:left="176" w:hanging="176"/>
              <w:contextualSpacing/>
              <w:jc w:val="both"/>
              <w:rPr>
                <w:rFonts w:ascii="Times New Roman" w:hAnsi="Times New Roman" w:cs="Times New Roman"/>
                <w:strike/>
                <w:sz w:val="20"/>
                <w:szCs w:val="20"/>
                <w:lang w:eastAsia="fr-FR"/>
              </w:rPr>
            </w:pPr>
            <w:hyperlink r:id="rId15" w:history="1">
              <w:r w:rsidR="00C26036" w:rsidRPr="000346E4">
                <w:rPr>
                  <w:rStyle w:val="Lienhypertexte"/>
                  <w:rFonts w:ascii="Times New Roman" w:hAnsi="Times New Roman" w:cs="Times New Roman"/>
                  <w:sz w:val="20"/>
                  <w:szCs w:val="20"/>
                  <w:lang w:eastAsia="fr-FR"/>
                </w:rPr>
                <w:t>CLIQUEZ ICI</w:t>
              </w:r>
            </w:hyperlink>
            <w:r w:rsidR="00C26036" w:rsidRPr="000346E4">
              <w:rPr>
                <w:rFonts w:ascii="Times New Roman" w:hAnsi="Times New Roman" w:cs="Times New Roman"/>
                <w:sz w:val="20"/>
                <w:szCs w:val="20"/>
                <w:lang w:eastAsia="fr-FR"/>
              </w:rPr>
              <w:t xml:space="preserve"> pour trouver le fichier des IZICARTES en attente de saisie d’une date de signature (volumétrie : 222 cartes en attente). Tant que les 2 étapes « mise en force » et « saisie la date de signature » ne seront pas faites, nos clients ne recevront pas leur carte.</w:t>
            </w:r>
          </w:p>
        </w:tc>
      </w:tr>
      <w:tr w:rsidR="000346E4" w:rsidRPr="00E81F6E" w:rsidTr="00E41EB1">
        <w:trPr>
          <w:trHeight w:val="607"/>
        </w:trPr>
        <w:tc>
          <w:tcPr>
            <w:tcW w:w="1560" w:type="dxa"/>
            <w:tcBorders>
              <w:bottom w:val="single" w:sz="4" w:space="0" w:color="auto"/>
            </w:tcBorders>
            <w:shd w:val="clear" w:color="auto" w:fill="FFFFFF" w:themeFill="background1"/>
          </w:tcPr>
          <w:p w:rsidR="000346E4" w:rsidRDefault="000346E4">
            <w:r w:rsidRPr="0027038A">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0346E4" w:rsidRDefault="000346E4" w:rsidP="00E41EB1">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0346E4" w:rsidRPr="000346E4" w:rsidRDefault="0033324C" w:rsidP="00E41EB1">
            <w:pPr>
              <w:numPr>
                <w:ilvl w:val="0"/>
                <w:numId w:val="34"/>
              </w:numPr>
              <w:ind w:left="176" w:hanging="176"/>
              <w:contextualSpacing/>
              <w:jc w:val="both"/>
              <w:rPr>
                <w:rFonts w:ascii="Times New Roman" w:hAnsi="Times New Roman" w:cs="Times New Roman"/>
                <w:sz w:val="20"/>
                <w:szCs w:val="20"/>
                <w:lang w:eastAsia="fr-FR"/>
              </w:rPr>
            </w:pPr>
            <w:hyperlink r:id="rId16" w:history="1">
              <w:r w:rsidR="000346E4" w:rsidRPr="000346E4">
                <w:rPr>
                  <w:rStyle w:val="Lienhypertexte"/>
                  <w:rFonts w:ascii="Times New Roman" w:hAnsi="Times New Roman" w:cs="Times New Roman"/>
                  <w:sz w:val="20"/>
                  <w:szCs w:val="20"/>
                  <w:lang w:eastAsia="fr-FR"/>
                </w:rPr>
                <w:t>CLIQUEZ ICI</w:t>
              </w:r>
            </w:hyperlink>
            <w:r w:rsidR="000346E4" w:rsidRPr="000346E4">
              <w:rPr>
                <w:rFonts w:ascii="Times New Roman" w:hAnsi="Times New Roman" w:cs="Times New Roman"/>
                <w:sz w:val="20"/>
                <w:szCs w:val="20"/>
                <w:lang w:eastAsia="fr-FR"/>
              </w:rPr>
              <w:t xml:space="preserve"> pour trouver</w:t>
            </w:r>
            <w:r w:rsidR="00402B0B">
              <w:rPr>
                <w:rFonts w:ascii="Times New Roman" w:hAnsi="Times New Roman" w:cs="Times New Roman"/>
                <w:sz w:val="20"/>
                <w:szCs w:val="20"/>
                <w:lang w:eastAsia="fr-FR"/>
              </w:rPr>
              <w:t xml:space="preserve"> </w:t>
            </w:r>
            <w:r w:rsidR="000346E4" w:rsidRPr="000346E4">
              <w:rPr>
                <w:rFonts w:ascii="Times New Roman" w:hAnsi="Times New Roman" w:cs="Times New Roman"/>
                <w:sz w:val="20"/>
                <w:szCs w:val="20"/>
                <w:lang w:eastAsia="fr-FR"/>
              </w:rPr>
              <w:t xml:space="preserve">la liste des dossiers </w:t>
            </w:r>
            <w:proofErr w:type="spellStart"/>
            <w:r w:rsidR="000346E4" w:rsidRPr="000346E4">
              <w:rPr>
                <w:rFonts w:ascii="Times New Roman" w:hAnsi="Times New Roman" w:cs="Times New Roman"/>
                <w:sz w:val="20"/>
                <w:szCs w:val="20"/>
                <w:lang w:eastAsia="fr-FR"/>
              </w:rPr>
              <w:t>Domilis</w:t>
            </w:r>
            <w:proofErr w:type="spellEnd"/>
            <w:r w:rsidR="000346E4" w:rsidRPr="000346E4">
              <w:rPr>
                <w:rFonts w:ascii="Times New Roman" w:hAnsi="Times New Roman" w:cs="Times New Roman"/>
                <w:sz w:val="20"/>
                <w:szCs w:val="20"/>
                <w:lang w:eastAsia="fr-FR"/>
              </w:rPr>
              <w:t xml:space="preserve"> à initier, qui sont pour l’heure en échec suite au rejet des mandats (volumétrie : 517 mandats au 19 mars 2018) </w:t>
            </w:r>
            <w:hyperlink r:id="rId17" w:history="1">
              <w:r w:rsidR="000346E4" w:rsidRPr="000346E4">
                <w:rPr>
                  <w:rStyle w:val="Lienhypertexte"/>
                  <w:rFonts w:ascii="Times New Roman" w:hAnsi="Times New Roman" w:cs="Times New Roman"/>
                  <w:sz w:val="20"/>
                  <w:szCs w:val="20"/>
                  <w:lang w:eastAsia="fr-FR"/>
                </w:rPr>
                <w:t>CLIQUEZ ICI</w:t>
              </w:r>
            </w:hyperlink>
            <w:r w:rsidR="000346E4" w:rsidRPr="000346E4">
              <w:rPr>
                <w:rFonts w:ascii="Times New Roman" w:hAnsi="Times New Roman" w:cs="Times New Roman"/>
                <w:sz w:val="20"/>
                <w:szCs w:val="20"/>
                <w:lang w:eastAsia="fr-FR"/>
              </w:rPr>
              <w:t xml:space="preserve"> pour accéder au mode opératoire.</w:t>
            </w:r>
          </w:p>
        </w:tc>
      </w:tr>
      <w:tr w:rsidR="000346E4" w:rsidRPr="00E81F6E" w:rsidTr="00AF3BE3">
        <w:trPr>
          <w:trHeight w:val="515"/>
        </w:trPr>
        <w:tc>
          <w:tcPr>
            <w:tcW w:w="1560" w:type="dxa"/>
            <w:tcBorders>
              <w:bottom w:val="single" w:sz="4" w:space="0" w:color="auto"/>
            </w:tcBorders>
            <w:shd w:val="clear" w:color="auto" w:fill="FFFFFF" w:themeFill="background1"/>
          </w:tcPr>
          <w:p w:rsidR="000346E4" w:rsidRDefault="000346E4">
            <w:r w:rsidRPr="0027038A">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0346E4" w:rsidRDefault="000346E4" w:rsidP="00E41EB1">
            <w:pPr>
              <w:rPr>
                <w:rFonts w:ascii="Calibri" w:hAnsi="Calibri" w:cs="Calibri"/>
              </w:rPr>
            </w:pPr>
            <w:r>
              <w:rPr>
                <w:rFonts w:ascii="Times New Roman" w:hAnsi="Times New Roman" w:cs="Times New Roman"/>
                <w:b/>
                <w:bCs/>
                <w:sz w:val="20"/>
                <w:szCs w:val="20"/>
              </w:rPr>
              <w:t xml:space="preserve">MOBILITE BANCAIRE – suivi ISILIS </w:t>
            </w:r>
          </w:p>
        </w:tc>
        <w:tc>
          <w:tcPr>
            <w:tcW w:w="12332" w:type="dxa"/>
            <w:tcBorders>
              <w:bottom w:val="single" w:sz="4" w:space="0" w:color="auto"/>
            </w:tcBorders>
            <w:shd w:val="clear" w:color="auto" w:fill="FFFFFF" w:themeFill="background1"/>
          </w:tcPr>
          <w:p w:rsidR="000346E4" w:rsidRPr="000346E4" w:rsidRDefault="000346E4" w:rsidP="00E41EB1">
            <w:pPr>
              <w:numPr>
                <w:ilvl w:val="0"/>
                <w:numId w:val="36"/>
              </w:numPr>
              <w:ind w:left="176" w:hanging="176"/>
              <w:contextualSpacing/>
              <w:jc w:val="both"/>
              <w:rPr>
                <w:rFonts w:ascii="Times New Roman" w:hAnsi="Times New Roman" w:cs="Times New Roman"/>
                <w:sz w:val="20"/>
                <w:szCs w:val="20"/>
              </w:rPr>
            </w:pPr>
            <w:r w:rsidRPr="000346E4">
              <w:rPr>
                <w:rFonts w:ascii="Times New Roman" w:hAnsi="Times New Roman" w:cs="Times New Roman"/>
                <w:sz w:val="20"/>
                <w:szCs w:val="20"/>
                <w:lang w:eastAsia="fr-FR"/>
              </w:rPr>
              <w:t xml:space="preserve">Le suivi mensuel d’activité de Février et mis en place par ISILIS est en ligne dans la Rubrique des Commerciaux. Il permet de suivre en détail les arrivées de mobilités bancaires (réglementées + non réglementées) par ETP. </w:t>
            </w:r>
            <w:hyperlink r:id="rId18" w:history="1">
              <w:r w:rsidRPr="000346E4">
                <w:rPr>
                  <w:rStyle w:val="Lienhypertexte"/>
                  <w:rFonts w:ascii="Times New Roman" w:hAnsi="Times New Roman" w:cs="Times New Roman"/>
                  <w:sz w:val="20"/>
                  <w:szCs w:val="20"/>
                  <w:lang w:eastAsia="fr-FR"/>
                </w:rPr>
                <w:t>CLIQUEZ ICI</w:t>
              </w:r>
            </w:hyperlink>
            <w:r w:rsidRPr="000346E4">
              <w:rPr>
                <w:rFonts w:ascii="Times New Roman" w:hAnsi="Times New Roman" w:cs="Times New Roman"/>
                <w:sz w:val="20"/>
                <w:szCs w:val="20"/>
                <w:lang w:eastAsia="fr-FR"/>
              </w:rPr>
              <w:t xml:space="preserve"> pour y accéder.</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A33BDB" w:rsidRPr="00E81F6E" w:rsidTr="00AF3BE3">
        <w:trPr>
          <w:trHeight w:val="248"/>
        </w:trPr>
        <w:tc>
          <w:tcPr>
            <w:tcW w:w="1560" w:type="dxa"/>
            <w:tcBorders>
              <w:bottom w:val="single" w:sz="4" w:space="0" w:color="auto"/>
            </w:tcBorders>
          </w:tcPr>
          <w:p w:rsidR="00A33BDB" w:rsidRPr="003139DE" w:rsidRDefault="00A33BDB">
            <w:pPr>
              <w:rPr>
                <w:rFonts w:ascii="Times New Roman" w:hAnsi="Times New Roman" w:cs="Times New Roman"/>
                <w:b/>
                <w:bCs/>
                <w:sz w:val="20"/>
                <w:szCs w:val="20"/>
              </w:rPr>
            </w:pPr>
            <w:r w:rsidRPr="003139DE">
              <w:rPr>
                <w:rFonts w:ascii="Times New Roman" w:hAnsi="Times New Roman" w:cs="Times New Roman"/>
                <w:b/>
                <w:bCs/>
                <w:sz w:val="20"/>
                <w:szCs w:val="20"/>
              </w:rPr>
              <w:t>Com. DMA</w:t>
            </w:r>
          </w:p>
        </w:tc>
        <w:tc>
          <w:tcPr>
            <w:tcW w:w="1843" w:type="dxa"/>
            <w:tcBorders>
              <w:bottom w:val="single" w:sz="4" w:space="0" w:color="auto"/>
            </w:tcBorders>
          </w:tcPr>
          <w:p w:rsidR="00A33BDB" w:rsidRDefault="00A33BDB" w:rsidP="00A33BDB">
            <w:pPr>
              <w:pStyle w:val="wordsection1"/>
              <w:spacing w:before="0" w:beforeAutospacing="0" w:after="0" w:afterAutospacing="0"/>
              <w:rPr>
                <w:b/>
                <w:bCs/>
                <w:sz w:val="20"/>
                <w:szCs w:val="20"/>
                <w:lang w:eastAsia="en-US"/>
              </w:rPr>
            </w:pPr>
            <w:r>
              <w:rPr>
                <w:b/>
                <w:bCs/>
                <w:sz w:val="20"/>
                <w:szCs w:val="20"/>
              </w:rPr>
              <w:t>Suivi HELIOS</w:t>
            </w:r>
          </w:p>
        </w:tc>
        <w:tc>
          <w:tcPr>
            <w:tcW w:w="12332" w:type="dxa"/>
            <w:tcBorders>
              <w:bottom w:val="single" w:sz="4" w:space="0" w:color="auto"/>
            </w:tcBorders>
            <w:shd w:val="clear" w:color="auto" w:fill="auto"/>
          </w:tcPr>
          <w:p w:rsidR="00107D7A" w:rsidRPr="00107D7A" w:rsidRDefault="00A33BDB" w:rsidP="00A33BDB">
            <w:pPr>
              <w:pStyle w:val="wordsection1"/>
              <w:numPr>
                <w:ilvl w:val="0"/>
                <w:numId w:val="34"/>
              </w:numPr>
              <w:spacing w:before="0" w:beforeAutospacing="0" w:after="0" w:afterAutospacing="0"/>
              <w:ind w:left="187" w:hanging="187"/>
              <w:jc w:val="both"/>
              <w:rPr>
                <w:color w:val="1F497D"/>
                <w:sz w:val="20"/>
                <w:szCs w:val="20"/>
              </w:rPr>
            </w:pPr>
            <w:r w:rsidRPr="00A33BDB">
              <w:rPr>
                <w:sz w:val="20"/>
                <w:szCs w:val="20"/>
              </w:rPr>
              <w:t xml:space="preserve">Vous trouverez en cliquant </w:t>
            </w:r>
            <w:hyperlink r:id="rId19" w:history="1">
              <w:r w:rsidRPr="00A33BDB">
                <w:rPr>
                  <w:rStyle w:val="Lienhypertexte"/>
                  <w:sz w:val="20"/>
                  <w:szCs w:val="20"/>
                </w:rPr>
                <w:t>ici</w:t>
              </w:r>
            </w:hyperlink>
            <w:r w:rsidRPr="00A33BDB">
              <w:rPr>
                <w:sz w:val="20"/>
                <w:szCs w:val="20"/>
              </w:rPr>
              <w:t xml:space="preserve">, le suivi de commercialisation d’Hélios (commercialisation du 09/01 au 29/03/2018). </w:t>
            </w:r>
            <w:r w:rsidRPr="00107D7A">
              <w:rPr>
                <w:sz w:val="20"/>
                <w:szCs w:val="20"/>
              </w:rPr>
              <w:t xml:space="preserve">Au 19/03/2018, la réalisation atteint 125% de l’enveloppe. </w:t>
            </w:r>
            <w:r w:rsidRPr="00107D7A">
              <w:rPr>
                <w:b/>
                <w:bCs/>
                <w:sz w:val="20"/>
                <w:szCs w:val="20"/>
              </w:rPr>
              <w:t xml:space="preserve">Le contingent peut être dépassé sans limite de montant. </w:t>
            </w:r>
          </w:p>
          <w:p w:rsidR="00A33BDB" w:rsidRDefault="00A33BDB" w:rsidP="00A33BDB">
            <w:pPr>
              <w:pStyle w:val="wordsection1"/>
              <w:numPr>
                <w:ilvl w:val="0"/>
                <w:numId w:val="34"/>
              </w:numPr>
              <w:spacing w:before="0" w:beforeAutospacing="0" w:after="0" w:afterAutospacing="0"/>
              <w:ind w:left="187" w:hanging="187"/>
              <w:jc w:val="both"/>
              <w:rPr>
                <w:color w:val="1F497D"/>
                <w:sz w:val="20"/>
                <w:szCs w:val="20"/>
              </w:rPr>
            </w:pPr>
            <w:r w:rsidRPr="00107D7A">
              <w:rPr>
                <w:sz w:val="20"/>
                <w:szCs w:val="20"/>
              </w:rPr>
              <w:t>Une seconde émission est prévue du 16 avril au 20 juillet 2018.</w:t>
            </w:r>
          </w:p>
        </w:tc>
      </w:tr>
      <w:tr w:rsidR="00A33BDB" w:rsidRPr="00E81F6E" w:rsidTr="00AF3BE3">
        <w:trPr>
          <w:trHeight w:val="248"/>
        </w:trPr>
        <w:tc>
          <w:tcPr>
            <w:tcW w:w="1560" w:type="dxa"/>
            <w:tcBorders>
              <w:bottom w:val="single" w:sz="4" w:space="0" w:color="auto"/>
            </w:tcBorders>
          </w:tcPr>
          <w:p w:rsidR="00A33BDB" w:rsidRDefault="00A33BDB">
            <w:r w:rsidRPr="003139DE">
              <w:rPr>
                <w:rFonts w:ascii="Times New Roman" w:hAnsi="Times New Roman" w:cs="Times New Roman"/>
                <w:b/>
                <w:bCs/>
                <w:sz w:val="20"/>
                <w:szCs w:val="20"/>
              </w:rPr>
              <w:t>Com. DMA</w:t>
            </w:r>
          </w:p>
        </w:tc>
        <w:tc>
          <w:tcPr>
            <w:tcW w:w="1843" w:type="dxa"/>
            <w:tcBorders>
              <w:bottom w:val="single" w:sz="4" w:space="0" w:color="auto"/>
            </w:tcBorders>
          </w:tcPr>
          <w:p w:rsidR="00A33BDB" w:rsidRDefault="00A33BDB" w:rsidP="00A33BDB">
            <w:pPr>
              <w:pStyle w:val="wordsection1"/>
              <w:rPr>
                <w:b/>
                <w:bCs/>
                <w:sz w:val="20"/>
                <w:szCs w:val="20"/>
                <w:lang w:eastAsia="en-US"/>
              </w:rPr>
            </w:pPr>
            <w:r>
              <w:rPr>
                <w:b/>
                <w:bCs/>
                <w:sz w:val="20"/>
                <w:szCs w:val="20"/>
              </w:rPr>
              <w:t>Suivi IRIS</w:t>
            </w:r>
          </w:p>
        </w:tc>
        <w:tc>
          <w:tcPr>
            <w:tcW w:w="12332" w:type="dxa"/>
            <w:tcBorders>
              <w:bottom w:val="single" w:sz="4" w:space="0" w:color="auto"/>
            </w:tcBorders>
            <w:shd w:val="clear" w:color="auto" w:fill="auto"/>
          </w:tcPr>
          <w:p w:rsidR="00A33BDB" w:rsidRDefault="00A33BDB" w:rsidP="00A33BDB">
            <w:pPr>
              <w:pStyle w:val="wordsection1"/>
              <w:numPr>
                <w:ilvl w:val="0"/>
                <w:numId w:val="34"/>
              </w:numPr>
              <w:spacing w:before="0" w:beforeAutospacing="0" w:after="0" w:afterAutospacing="0"/>
              <w:ind w:left="187" w:hanging="187"/>
              <w:jc w:val="both"/>
              <w:rPr>
                <w:color w:val="1F497D"/>
                <w:sz w:val="20"/>
                <w:szCs w:val="20"/>
              </w:rPr>
            </w:pPr>
            <w:r>
              <w:rPr>
                <w:sz w:val="20"/>
                <w:szCs w:val="20"/>
              </w:rPr>
              <w:t xml:space="preserve">Vous trouverez en cliquant </w:t>
            </w:r>
            <w:hyperlink r:id="rId20" w:history="1">
              <w:r>
                <w:rPr>
                  <w:rStyle w:val="Lienhypertexte"/>
                  <w:sz w:val="20"/>
                  <w:szCs w:val="20"/>
                </w:rPr>
                <w:t>ici</w:t>
              </w:r>
            </w:hyperlink>
            <w:r>
              <w:rPr>
                <w:sz w:val="20"/>
                <w:szCs w:val="20"/>
              </w:rPr>
              <w:t xml:space="preserve">, le suivi de commercialisation d’IRIS (commercialisation du 17/01 au 13/06/2018). Au 19/03/2018, 132% des fonds sont placés. </w:t>
            </w:r>
          </w:p>
        </w:tc>
      </w:tr>
      <w:tr w:rsidR="00402B0B" w:rsidRPr="00E81F6E" w:rsidTr="00AF3BE3">
        <w:trPr>
          <w:trHeight w:val="248"/>
        </w:trPr>
        <w:tc>
          <w:tcPr>
            <w:tcW w:w="1560" w:type="dxa"/>
            <w:tcBorders>
              <w:bottom w:val="single" w:sz="4" w:space="0" w:color="auto"/>
            </w:tcBorders>
          </w:tcPr>
          <w:p w:rsidR="00402B0B" w:rsidRDefault="00402B0B">
            <w:r w:rsidRPr="005D40B4">
              <w:rPr>
                <w:rFonts w:ascii="Times New Roman" w:hAnsi="Times New Roman" w:cs="Times New Roman"/>
                <w:b/>
                <w:bCs/>
                <w:sz w:val="20"/>
                <w:szCs w:val="20"/>
              </w:rPr>
              <w:t>Com. DMA</w:t>
            </w:r>
          </w:p>
        </w:tc>
        <w:tc>
          <w:tcPr>
            <w:tcW w:w="1843" w:type="dxa"/>
            <w:tcBorders>
              <w:bottom w:val="single" w:sz="4" w:space="0" w:color="auto"/>
            </w:tcBorders>
          </w:tcPr>
          <w:p w:rsidR="00402B0B" w:rsidRDefault="00402B0B">
            <w:pPr>
              <w:pStyle w:val="wordsection1"/>
              <w:rPr>
                <w:b/>
                <w:bCs/>
                <w:sz w:val="20"/>
                <w:szCs w:val="20"/>
                <w:lang w:eastAsia="en-US"/>
              </w:rPr>
            </w:pPr>
            <w:r>
              <w:rPr>
                <w:b/>
                <w:bCs/>
                <w:sz w:val="20"/>
                <w:szCs w:val="20"/>
                <w:lang w:eastAsia="en-US"/>
              </w:rPr>
              <w:t>SCPI en direct - Laffitte Pierre</w:t>
            </w:r>
          </w:p>
        </w:tc>
        <w:tc>
          <w:tcPr>
            <w:tcW w:w="12332" w:type="dxa"/>
            <w:tcBorders>
              <w:bottom w:val="single" w:sz="4" w:space="0" w:color="auto"/>
            </w:tcBorders>
            <w:shd w:val="clear" w:color="auto" w:fill="auto"/>
          </w:tcPr>
          <w:p w:rsidR="00402B0B" w:rsidRPr="00402B0B" w:rsidRDefault="00402B0B" w:rsidP="00402B0B">
            <w:pPr>
              <w:pStyle w:val="wordsection1"/>
              <w:numPr>
                <w:ilvl w:val="0"/>
                <w:numId w:val="37"/>
              </w:numPr>
              <w:spacing w:before="0" w:beforeAutospacing="0" w:after="0" w:afterAutospacing="0"/>
              <w:ind w:left="187" w:hanging="187"/>
              <w:jc w:val="both"/>
              <w:rPr>
                <w:color w:val="1F497D"/>
                <w:sz w:val="20"/>
                <w:szCs w:val="20"/>
              </w:rPr>
            </w:pPr>
            <w:r w:rsidRPr="00402B0B">
              <w:rPr>
                <w:sz w:val="20"/>
                <w:szCs w:val="20"/>
              </w:rPr>
              <w:t xml:space="preserve">Notre offre immobilière s’enrichit avec la commercialisation de la SCPI Laffitte Pierre qui est accessible en direct depuis le 05/03/2018. </w:t>
            </w:r>
          </w:p>
          <w:p w:rsidR="00402B0B" w:rsidRPr="00402B0B" w:rsidRDefault="00402B0B" w:rsidP="00402B0B">
            <w:pPr>
              <w:pStyle w:val="wordsection1"/>
              <w:numPr>
                <w:ilvl w:val="0"/>
                <w:numId w:val="37"/>
              </w:numPr>
              <w:spacing w:before="0" w:beforeAutospacing="0" w:after="0" w:afterAutospacing="0"/>
              <w:ind w:left="187" w:hanging="187"/>
              <w:jc w:val="both"/>
              <w:rPr>
                <w:color w:val="1F497D"/>
                <w:sz w:val="20"/>
                <w:szCs w:val="20"/>
              </w:rPr>
            </w:pPr>
            <w:r w:rsidRPr="00402B0B">
              <w:rPr>
                <w:sz w:val="20"/>
                <w:szCs w:val="20"/>
              </w:rPr>
              <w:t xml:space="preserve">La commercialisation de cette offre est réservée aux CAGP, DCGP, GCP, DUC, DA et DAA jusqu’à consommation de l’enveloppe de 1 697 K€. </w:t>
            </w:r>
          </w:p>
          <w:p w:rsidR="00402B0B" w:rsidRPr="00402B0B" w:rsidRDefault="00402B0B" w:rsidP="00402B0B">
            <w:pPr>
              <w:pStyle w:val="wordsection1"/>
              <w:numPr>
                <w:ilvl w:val="0"/>
                <w:numId w:val="37"/>
              </w:numPr>
              <w:spacing w:before="0" w:beforeAutospacing="0" w:after="0" w:afterAutospacing="0"/>
              <w:ind w:left="187" w:hanging="187"/>
              <w:jc w:val="both"/>
              <w:rPr>
                <w:color w:val="1F497D"/>
                <w:sz w:val="20"/>
                <w:szCs w:val="20"/>
              </w:rPr>
            </w:pPr>
            <w:r w:rsidRPr="00402B0B">
              <w:rPr>
                <w:sz w:val="20"/>
                <w:szCs w:val="20"/>
              </w:rPr>
              <w:t xml:space="preserve">Retrouvez toutes les informations dans la note </w:t>
            </w:r>
            <w:hyperlink r:id="rId21" w:history="1">
              <w:r w:rsidRPr="00402B0B">
                <w:rPr>
                  <w:rStyle w:val="Lienhypertexte"/>
                  <w:sz w:val="20"/>
                  <w:szCs w:val="20"/>
                </w:rPr>
                <w:t>DMA-INF/18.020</w:t>
              </w:r>
            </w:hyperlink>
            <w:r w:rsidRPr="00402B0B">
              <w:rPr>
                <w:sz w:val="20"/>
                <w:szCs w:val="20"/>
              </w:rPr>
              <w:t>.</w:t>
            </w:r>
          </w:p>
        </w:tc>
      </w:tr>
      <w:tr w:rsidR="00402B0B" w:rsidRPr="00E81F6E" w:rsidTr="00AF3BE3">
        <w:trPr>
          <w:trHeight w:val="248"/>
        </w:trPr>
        <w:tc>
          <w:tcPr>
            <w:tcW w:w="1560" w:type="dxa"/>
            <w:tcBorders>
              <w:bottom w:val="single" w:sz="4" w:space="0" w:color="auto"/>
            </w:tcBorders>
          </w:tcPr>
          <w:p w:rsidR="00402B0B" w:rsidRDefault="00402B0B">
            <w:r w:rsidRPr="005D40B4">
              <w:rPr>
                <w:rFonts w:ascii="Times New Roman" w:hAnsi="Times New Roman" w:cs="Times New Roman"/>
                <w:b/>
                <w:bCs/>
                <w:sz w:val="20"/>
                <w:szCs w:val="20"/>
              </w:rPr>
              <w:t>Com. DMA</w:t>
            </w:r>
          </w:p>
        </w:tc>
        <w:tc>
          <w:tcPr>
            <w:tcW w:w="1843" w:type="dxa"/>
            <w:tcBorders>
              <w:bottom w:val="single" w:sz="4" w:space="0" w:color="auto"/>
            </w:tcBorders>
          </w:tcPr>
          <w:p w:rsidR="00402B0B" w:rsidRDefault="00402B0B">
            <w:pPr>
              <w:pStyle w:val="wordsection1"/>
              <w:rPr>
                <w:b/>
                <w:bCs/>
                <w:sz w:val="20"/>
                <w:szCs w:val="20"/>
                <w:lang w:eastAsia="en-US"/>
              </w:rPr>
            </w:pPr>
            <w:r>
              <w:rPr>
                <w:b/>
                <w:bCs/>
                <w:sz w:val="20"/>
                <w:szCs w:val="20"/>
                <w:lang w:eastAsia="en-US"/>
              </w:rPr>
              <w:t>Changement de dénominations FCP</w:t>
            </w:r>
          </w:p>
        </w:tc>
        <w:tc>
          <w:tcPr>
            <w:tcW w:w="12332" w:type="dxa"/>
            <w:tcBorders>
              <w:bottom w:val="single" w:sz="4" w:space="0" w:color="auto"/>
            </w:tcBorders>
            <w:shd w:val="clear" w:color="auto" w:fill="auto"/>
          </w:tcPr>
          <w:p w:rsidR="00402B0B" w:rsidRPr="00402B0B" w:rsidRDefault="00402B0B" w:rsidP="00402B0B">
            <w:pPr>
              <w:pStyle w:val="wordsection1"/>
              <w:numPr>
                <w:ilvl w:val="0"/>
                <w:numId w:val="37"/>
              </w:numPr>
              <w:spacing w:before="0" w:beforeAutospacing="0" w:after="0" w:afterAutospacing="0"/>
              <w:ind w:left="187" w:hanging="187"/>
              <w:jc w:val="both"/>
              <w:rPr>
                <w:sz w:val="20"/>
                <w:szCs w:val="20"/>
              </w:rPr>
            </w:pPr>
            <w:r w:rsidRPr="00402B0B">
              <w:rPr>
                <w:sz w:val="20"/>
                <w:szCs w:val="20"/>
              </w:rPr>
              <w:t>Pour plus de lisibilité, plusieurs fonds des Sélections ont changé de dénomination depuis le 09 mars 2018, en intégrant le préfixe « MIROVA » :</w:t>
            </w:r>
          </w:p>
          <w:p w:rsidR="00402B0B" w:rsidRPr="00402B0B" w:rsidRDefault="00402B0B" w:rsidP="00402B0B">
            <w:pPr>
              <w:pStyle w:val="wordsection1"/>
              <w:spacing w:before="0" w:beforeAutospacing="0" w:after="0" w:afterAutospacing="0"/>
              <w:ind w:left="187"/>
              <w:jc w:val="both"/>
              <w:rPr>
                <w:sz w:val="20"/>
                <w:szCs w:val="20"/>
              </w:rPr>
            </w:pPr>
            <w:r w:rsidRPr="00402B0B">
              <w:rPr>
                <w:sz w:val="20"/>
                <w:szCs w:val="20"/>
              </w:rPr>
              <w:t xml:space="preserve">- Horizon Actions Monde devient </w:t>
            </w:r>
            <w:proofErr w:type="spellStart"/>
            <w:r w:rsidRPr="00402B0B">
              <w:rPr>
                <w:b/>
                <w:bCs/>
                <w:sz w:val="20"/>
                <w:szCs w:val="20"/>
              </w:rPr>
              <w:t>Mirova</w:t>
            </w:r>
            <w:proofErr w:type="spellEnd"/>
            <w:r w:rsidRPr="00402B0B">
              <w:rPr>
                <w:b/>
                <w:bCs/>
                <w:sz w:val="20"/>
                <w:szCs w:val="20"/>
              </w:rPr>
              <w:t xml:space="preserve"> Actions Monde</w:t>
            </w:r>
            <w:r w:rsidRPr="00402B0B">
              <w:rPr>
                <w:sz w:val="20"/>
                <w:szCs w:val="20"/>
              </w:rPr>
              <w:t xml:space="preserve"> (fonds des Sélections Patrimoniale et Gestion Privée)</w:t>
            </w:r>
          </w:p>
          <w:p w:rsidR="00402B0B" w:rsidRPr="00402B0B" w:rsidRDefault="00402B0B" w:rsidP="00402B0B">
            <w:pPr>
              <w:pStyle w:val="wordsection1"/>
              <w:spacing w:before="0" w:beforeAutospacing="0" w:after="0" w:afterAutospacing="0"/>
              <w:ind w:left="187"/>
              <w:jc w:val="both"/>
              <w:rPr>
                <w:sz w:val="20"/>
                <w:szCs w:val="20"/>
              </w:rPr>
            </w:pPr>
            <w:r w:rsidRPr="00402B0B">
              <w:rPr>
                <w:sz w:val="20"/>
                <w:szCs w:val="20"/>
              </w:rPr>
              <w:t xml:space="preserve">- Ecureuil Bénéfices Emploi devient </w:t>
            </w:r>
            <w:proofErr w:type="spellStart"/>
            <w:r w:rsidRPr="00402B0B">
              <w:rPr>
                <w:b/>
                <w:bCs/>
                <w:sz w:val="20"/>
                <w:szCs w:val="20"/>
              </w:rPr>
              <w:t>Mirova</w:t>
            </w:r>
            <w:proofErr w:type="spellEnd"/>
            <w:r w:rsidRPr="00402B0B">
              <w:rPr>
                <w:b/>
                <w:bCs/>
                <w:sz w:val="20"/>
                <w:szCs w:val="20"/>
              </w:rPr>
              <w:t xml:space="preserve"> Emploi France</w:t>
            </w:r>
            <w:r w:rsidRPr="00402B0B">
              <w:rPr>
                <w:sz w:val="20"/>
                <w:szCs w:val="20"/>
              </w:rPr>
              <w:t xml:space="preserve"> (fonds des Sélections Essentielle, Patrimoniale et Gestion Privée)</w:t>
            </w:r>
          </w:p>
          <w:p w:rsidR="00402B0B" w:rsidRPr="00402B0B" w:rsidRDefault="00402B0B" w:rsidP="00402B0B">
            <w:pPr>
              <w:pStyle w:val="wordsection1"/>
              <w:spacing w:before="0" w:beforeAutospacing="0" w:after="0" w:afterAutospacing="0"/>
              <w:ind w:left="187"/>
              <w:jc w:val="both"/>
              <w:rPr>
                <w:sz w:val="20"/>
                <w:szCs w:val="20"/>
              </w:rPr>
            </w:pPr>
            <w:r w:rsidRPr="00402B0B">
              <w:rPr>
                <w:sz w:val="20"/>
                <w:szCs w:val="20"/>
              </w:rPr>
              <w:t xml:space="preserve">- Ecureuil Bénéfices Responsable devient </w:t>
            </w:r>
            <w:proofErr w:type="spellStart"/>
            <w:r w:rsidRPr="00402B0B">
              <w:rPr>
                <w:b/>
                <w:bCs/>
                <w:sz w:val="20"/>
                <w:szCs w:val="20"/>
              </w:rPr>
              <w:t>Mirova</w:t>
            </w:r>
            <w:proofErr w:type="spellEnd"/>
            <w:r w:rsidRPr="00402B0B">
              <w:rPr>
                <w:b/>
                <w:bCs/>
                <w:sz w:val="20"/>
                <w:szCs w:val="20"/>
              </w:rPr>
              <w:t xml:space="preserve"> Actions Euro</w:t>
            </w:r>
            <w:r w:rsidRPr="00402B0B">
              <w:rPr>
                <w:sz w:val="20"/>
                <w:szCs w:val="20"/>
              </w:rPr>
              <w:t xml:space="preserve"> (fonds hors Sélections)</w:t>
            </w:r>
          </w:p>
          <w:p w:rsidR="00402B0B" w:rsidRPr="00402B0B" w:rsidRDefault="00402B0B" w:rsidP="00402B0B">
            <w:pPr>
              <w:pStyle w:val="wordsection1"/>
              <w:numPr>
                <w:ilvl w:val="0"/>
                <w:numId w:val="37"/>
              </w:numPr>
              <w:spacing w:before="0" w:beforeAutospacing="0" w:after="0" w:afterAutospacing="0"/>
              <w:ind w:left="187" w:hanging="187"/>
              <w:jc w:val="both"/>
              <w:rPr>
                <w:color w:val="1F497D"/>
                <w:sz w:val="20"/>
                <w:szCs w:val="20"/>
              </w:rPr>
            </w:pPr>
            <w:r w:rsidRPr="00402B0B">
              <w:rPr>
                <w:sz w:val="20"/>
                <w:szCs w:val="20"/>
              </w:rPr>
              <w:t xml:space="preserve">Les détenteurs de ces fonds seront informés par simple avis financier posté sur le site internet Caisse d’Epargne : </w:t>
            </w:r>
            <w:hyperlink r:id="rId22" w:history="1">
              <w:r w:rsidRPr="00402B0B">
                <w:rPr>
                  <w:rStyle w:val="Lienhypertexte"/>
                  <w:sz w:val="20"/>
                  <w:szCs w:val="20"/>
                </w:rPr>
                <w:t>ICI</w:t>
              </w:r>
            </w:hyperlink>
          </w:p>
        </w:tc>
      </w:tr>
      <w:tr w:rsidR="00402B0B" w:rsidRPr="00E81F6E" w:rsidTr="00AF3BE3">
        <w:trPr>
          <w:trHeight w:val="248"/>
        </w:trPr>
        <w:tc>
          <w:tcPr>
            <w:tcW w:w="1560" w:type="dxa"/>
            <w:tcBorders>
              <w:bottom w:val="single" w:sz="4" w:space="0" w:color="auto"/>
            </w:tcBorders>
          </w:tcPr>
          <w:p w:rsidR="00402B0B" w:rsidRDefault="00402B0B">
            <w:r w:rsidRPr="005D40B4">
              <w:rPr>
                <w:rFonts w:ascii="Times New Roman" w:hAnsi="Times New Roman" w:cs="Times New Roman"/>
                <w:b/>
                <w:bCs/>
                <w:sz w:val="20"/>
                <w:szCs w:val="20"/>
              </w:rPr>
              <w:t>Com. DMA</w:t>
            </w:r>
          </w:p>
        </w:tc>
        <w:tc>
          <w:tcPr>
            <w:tcW w:w="1843" w:type="dxa"/>
            <w:tcBorders>
              <w:bottom w:val="single" w:sz="4" w:space="0" w:color="auto"/>
            </w:tcBorders>
          </w:tcPr>
          <w:p w:rsidR="00402B0B" w:rsidRDefault="00402B0B">
            <w:pPr>
              <w:pStyle w:val="wordsection1"/>
              <w:rPr>
                <w:b/>
                <w:bCs/>
                <w:sz w:val="20"/>
                <w:szCs w:val="20"/>
                <w:lang w:eastAsia="en-US"/>
              </w:rPr>
            </w:pPr>
            <w:r>
              <w:rPr>
                <w:b/>
                <w:bCs/>
                <w:sz w:val="20"/>
                <w:szCs w:val="20"/>
                <w:lang w:eastAsia="en-US"/>
              </w:rPr>
              <w:t>Guide Fiscal 2018</w:t>
            </w:r>
          </w:p>
        </w:tc>
        <w:tc>
          <w:tcPr>
            <w:tcW w:w="12332" w:type="dxa"/>
            <w:tcBorders>
              <w:bottom w:val="single" w:sz="4" w:space="0" w:color="auto"/>
            </w:tcBorders>
            <w:shd w:val="clear" w:color="auto" w:fill="auto"/>
          </w:tcPr>
          <w:p w:rsidR="00402B0B" w:rsidRPr="00402B0B" w:rsidRDefault="00402B0B" w:rsidP="00402B0B">
            <w:pPr>
              <w:numPr>
                <w:ilvl w:val="0"/>
                <w:numId w:val="38"/>
              </w:numPr>
              <w:spacing w:after="200" w:line="276" w:lineRule="auto"/>
              <w:ind w:left="175" w:hanging="185"/>
              <w:contextualSpacing/>
              <w:jc w:val="both"/>
              <w:rPr>
                <w:rFonts w:ascii="Times New Roman" w:hAnsi="Times New Roman" w:cs="Times New Roman"/>
                <w:sz w:val="20"/>
                <w:szCs w:val="20"/>
              </w:rPr>
            </w:pPr>
            <w:r w:rsidRPr="00402B0B">
              <w:rPr>
                <w:rFonts w:ascii="Times New Roman" w:hAnsi="Times New Roman" w:cs="Times New Roman"/>
                <w:sz w:val="20"/>
                <w:szCs w:val="20"/>
              </w:rPr>
              <w:t>Le Guide Fiscal Particulier et le Guide Fiscal Professions libérales 2018 sont en ligne : retrouvez les principaux changements fiscaux suite à la Loi de Finances 2018 tels que la hausse de la CSG, la suppression de l’ISF et la création de l’IFI, l’instauration du PFU sur les revenus du capital, et des aménagements relatifs à la mise en place du prélèvement à la source à compter du 1</w:t>
            </w:r>
            <w:r w:rsidRPr="00402B0B">
              <w:rPr>
                <w:rFonts w:ascii="Times New Roman" w:hAnsi="Times New Roman" w:cs="Times New Roman"/>
                <w:sz w:val="20"/>
                <w:szCs w:val="20"/>
                <w:vertAlign w:val="superscript"/>
              </w:rPr>
              <w:t>er</w:t>
            </w:r>
            <w:r>
              <w:rPr>
                <w:rFonts w:ascii="Times New Roman" w:hAnsi="Times New Roman" w:cs="Times New Roman"/>
                <w:sz w:val="20"/>
                <w:szCs w:val="20"/>
              </w:rPr>
              <w:t xml:space="preserve"> </w:t>
            </w:r>
            <w:r w:rsidRPr="00402B0B">
              <w:rPr>
                <w:rFonts w:ascii="Times New Roman" w:hAnsi="Times New Roman" w:cs="Times New Roman"/>
                <w:sz w:val="20"/>
                <w:szCs w:val="20"/>
              </w:rPr>
              <w:t>janvier 2019…</w:t>
            </w:r>
          </w:p>
          <w:p w:rsidR="00402B0B" w:rsidRPr="00402B0B" w:rsidRDefault="00402B0B" w:rsidP="00402B0B">
            <w:pPr>
              <w:numPr>
                <w:ilvl w:val="0"/>
                <w:numId w:val="38"/>
              </w:numPr>
              <w:spacing w:after="200" w:line="276" w:lineRule="auto"/>
              <w:ind w:left="176" w:hanging="176"/>
              <w:contextualSpacing/>
              <w:jc w:val="both"/>
              <w:rPr>
                <w:rFonts w:ascii="Times New Roman" w:hAnsi="Times New Roman" w:cs="Times New Roman"/>
                <w:sz w:val="20"/>
                <w:szCs w:val="20"/>
              </w:rPr>
            </w:pPr>
            <w:r w:rsidRPr="00402B0B">
              <w:rPr>
                <w:rFonts w:ascii="Times New Roman" w:hAnsi="Times New Roman" w:cs="Times New Roman"/>
                <w:sz w:val="20"/>
                <w:szCs w:val="20"/>
              </w:rPr>
              <w:t xml:space="preserve">Les guides sont disponibles dans la </w:t>
            </w:r>
            <w:hyperlink r:id="rId23" w:history="1">
              <w:r w:rsidRPr="00402B0B">
                <w:rPr>
                  <w:rStyle w:val="Lienhypertexte"/>
                  <w:rFonts w:ascii="Times New Roman" w:hAnsi="Times New Roman" w:cs="Times New Roman"/>
                  <w:sz w:val="20"/>
                  <w:szCs w:val="20"/>
                </w:rPr>
                <w:t>Rubrique des Commerciaux</w:t>
              </w:r>
            </w:hyperlink>
            <w:r w:rsidRPr="00402B0B">
              <w:rPr>
                <w:rFonts w:ascii="Times New Roman" w:hAnsi="Times New Roman" w:cs="Times New Roman"/>
                <w:sz w:val="20"/>
                <w:szCs w:val="20"/>
              </w:rPr>
              <w:t xml:space="preserve"> et sur le site Caisse d’Epargne.</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p>
        </w:tc>
      </w:tr>
      <w:tr w:rsidR="000346E4" w:rsidRPr="00E81F6E" w:rsidTr="0030397F">
        <w:trPr>
          <w:trHeight w:val="248"/>
        </w:trPr>
        <w:tc>
          <w:tcPr>
            <w:tcW w:w="1560" w:type="dxa"/>
            <w:tcBorders>
              <w:bottom w:val="single" w:sz="4" w:space="0" w:color="auto"/>
            </w:tcBorders>
          </w:tcPr>
          <w:p w:rsidR="000346E4" w:rsidRDefault="000346E4">
            <w:pPr>
              <w:rPr>
                <w:rFonts w:ascii="Calibri" w:hAnsi="Calibri" w:cs="Calibri"/>
              </w:rPr>
            </w:pPr>
            <w:r>
              <w:rPr>
                <w:rFonts w:ascii="Times New Roman" w:hAnsi="Times New Roman" w:cs="Times New Roman"/>
                <w:b/>
                <w:bCs/>
                <w:sz w:val="20"/>
                <w:szCs w:val="20"/>
              </w:rPr>
              <w:t xml:space="preserve">Com. </w:t>
            </w:r>
            <w:r>
              <w:rPr>
                <w:rFonts w:ascii="Times New Roman" w:hAnsi="Times New Roman" w:cs="Times New Roman"/>
                <w:b/>
                <w:bCs/>
                <w:sz w:val="20"/>
                <w:szCs w:val="20"/>
              </w:rPr>
              <w:lastRenderedPageBreak/>
              <w:t>DMA/DMP</w:t>
            </w:r>
          </w:p>
        </w:tc>
        <w:tc>
          <w:tcPr>
            <w:tcW w:w="1843" w:type="dxa"/>
            <w:tcBorders>
              <w:bottom w:val="single" w:sz="4" w:space="0" w:color="auto"/>
            </w:tcBorders>
          </w:tcPr>
          <w:p w:rsidR="000346E4" w:rsidRPr="00E41EB1" w:rsidRDefault="000346E4">
            <w:pPr>
              <w:rPr>
                <w:rFonts w:ascii="Times New Roman" w:hAnsi="Times New Roman" w:cs="Times New Roman"/>
                <w:b/>
                <w:bCs/>
                <w:sz w:val="20"/>
                <w:szCs w:val="20"/>
              </w:rPr>
            </w:pPr>
            <w:r w:rsidRPr="00E41EB1">
              <w:rPr>
                <w:rFonts w:ascii="Times New Roman" w:hAnsi="Times New Roman" w:cs="Times New Roman"/>
                <w:b/>
                <w:bCs/>
                <w:sz w:val="20"/>
                <w:szCs w:val="20"/>
              </w:rPr>
              <w:lastRenderedPageBreak/>
              <w:t xml:space="preserve">Modifications des </w:t>
            </w:r>
            <w:r w:rsidRPr="00E41EB1">
              <w:rPr>
                <w:rFonts w:ascii="Times New Roman" w:hAnsi="Times New Roman" w:cs="Times New Roman"/>
                <w:b/>
                <w:bCs/>
                <w:sz w:val="20"/>
                <w:szCs w:val="20"/>
              </w:rPr>
              <w:lastRenderedPageBreak/>
              <w:t xml:space="preserve">plafonds sans contact </w:t>
            </w:r>
          </w:p>
        </w:tc>
        <w:tc>
          <w:tcPr>
            <w:tcW w:w="12332" w:type="dxa"/>
            <w:tcBorders>
              <w:bottom w:val="single" w:sz="4" w:space="0" w:color="auto"/>
            </w:tcBorders>
            <w:shd w:val="clear" w:color="auto" w:fill="auto"/>
          </w:tcPr>
          <w:p w:rsidR="000346E4" w:rsidRPr="00E41EB1" w:rsidRDefault="000346E4" w:rsidP="000346E4">
            <w:pPr>
              <w:pStyle w:val="wordsection1"/>
              <w:numPr>
                <w:ilvl w:val="0"/>
                <w:numId w:val="19"/>
              </w:numPr>
              <w:spacing w:before="0" w:beforeAutospacing="0" w:after="0" w:afterAutospacing="0"/>
              <w:ind w:left="187" w:hanging="187"/>
              <w:jc w:val="both"/>
              <w:rPr>
                <w:sz w:val="20"/>
                <w:szCs w:val="20"/>
                <w:lang w:eastAsia="en-US"/>
              </w:rPr>
            </w:pPr>
            <w:r w:rsidRPr="00E41EB1">
              <w:rPr>
                <w:b/>
                <w:sz w:val="20"/>
                <w:szCs w:val="20"/>
              </w:rPr>
              <w:lastRenderedPageBreak/>
              <w:t xml:space="preserve">Bonne nouvelle, depuis jeudi 15 mars 2018 toutes les nouvelles cartes émises (création, </w:t>
            </w:r>
            <w:proofErr w:type="spellStart"/>
            <w:r w:rsidRPr="00E41EB1">
              <w:rPr>
                <w:b/>
                <w:sz w:val="20"/>
                <w:szCs w:val="20"/>
              </w:rPr>
              <w:t>refabrication</w:t>
            </w:r>
            <w:proofErr w:type="spellEnd"/>
            <w:r w:rsidRPr="00E41EB1">
              <w:rPr>
                <w:b/>
                <w:sz w:val="20"/>
                <w:szCs w:val="20"/>
              </w:rPr>
              <w:t xml:space="preserve">, renouvellement) peuvent effectuer des </w:t>
            </w:r>
            <w:r w:rsidRPr="00E41EB1">
              <w:rPr>
                <w:b/>
                <w:sz w:val="20"/>
                <w:szCs w:val="20"/>
              </w:rPr>
              <w:lastRenderedPageBreak/>
              <w:t>paiements sans contact jusqu'à 30€.</w:t>
            </w:r>
            <w:r w:rsidRPr="00E41EB1">
              <w:rPr>
                <w:sz w:val="20"/>
                <w:szCs w:val="20"/>
              </w:rPr>
              <w:t xml:space="preserve"> De plus en plus utilisé, le paiement sans contact couvrira encore plus de transactions !</w:t>
            </w:r>
          </w:p>
          <w:p w:rsidR="000346E4" w:rsidRPr="00E41EB1" w:rsidRDefault="000346E4" w:rsidP="000346E4">
            <w:pPr>
              <w:pStyle w:val="wordsection1"/>
              <w:numPr>
                <w:ilvl w:val="0"/>
                <w:numId w:val="19"/>
              </w:numPr>
              <w:spacing w:before="0" w:beforeAutospacing="0" w:after="0" w:afterAutospacing="0"/>
              <w:ind w:left="187" w:hanging="187"/>
              <w:jc w:val="both"/>
              <w:rPr>
                <w:sz w:val="20"/>
                <w:szCs w:val="20"/>
              </w:rPr>
            </w:pPr>
            <w:r w:rsidRPr="00E41EB1">
              <w:rPr>
                <w:sz w:val="20"/>
                <w:szCs w:val="20"/>
              </w:rPr>
              <w:t xml:space="preserve">Sont impactées par cette évolution les cartes Visa Sans Contact sur l’ensemble de la gamme : </w:t>
            </w:r>
          </w:p>
          <w:p w:rsidR="000346E4" w:rsidRPr="00E41EB1" w:rsidRDefault="000346E4" w:rsidP="00107D7A">
            <w:pPr>
              <w:pStyle w:val="wordsection1"/>
              <w:numPr>
                <w:ilvl w:val="0"/>
                <w:numId w:val="8"/>
              </w:numPr>
              <w:spacing w:before="0" w:beforeAutospacing="0" w:after="0" w:afterAutospacing="0"/>
              <w:jc w:val="both"/>
              <w:rPr>
                <w:sz w:val="20"/>
                <w:szCs w:val="20"/>
              </w:rPr>
            </w:pPr>
            <w:r w:rsidRPr="00E41EB1">
              <w:rPr>
                <w:sz w:val="20"/>
                <w:szCs w:val="20"/>
              </w:rPr>
              <w:t xml:space="preserve">pour les particuliers - Visa </w:t>
            </w:r>
            <w:proofErr w:type="spellStart"/>
            <w:r w:rsidRPr="00E41EB1">
              <w:rPr>
                <w:sz w:val="20"/>
                <w:szCs w:val="20"/>
              </w:rPr>
              <w:t>Classic</w:t>
            </w:r>
            <w:proofErr w:type="spellEnd"/>
            <w:r w:rsidRPr="00E41EB1">
              <w:rPr>
                <w:sz w:val="20"/>
                <w:szCs w:val="20"/>
              </w:rPr>
              <w:t xml:space="preserve">, Visa Premier, Visa </w:t>
            </w:r>
            <w:proofErr w:type="spellStart"/>
            <w:r w:rsidRPr="00E41EB1">
              <w:rPr>
                <w:sz w:val="20"/>
                <w:szCs w:val="20"/>
              </w:rPr>
              <w:t>Infinite</w:t>
            </w:r>
            <w:proofErr w:type="spellEnd"/>
            <w:r w:rsidRPr="00E41EB1">
              <w:rPr>
                <w:sz w:val="20"/>
                <w:szCs w:val="20"/>
              </w:rPr>
              <w:t xml:space="preserve">, Visa </w:t>
            </w:r>
            <w:proofErr w:type="spellStart"/>
            <w:r w:rsidRPr="00E41EB1">
              <w:rPr>
                <w:sz w:val="20"/>
                <w:szCs w:val="20"/>
              </w:rPr>
              <w:t>Platinum</w:t>
            </w:r>
            <w:proofErr w:type="spellEnd"/>
            <w:r w:rsidRPr="00E41EB1">
              <w:rPr>
                <w:sz w:val="20"/>
                <w:szCs w:val="20"/>
              </w:rPr>
              <w:t xml:space="preserve"> </w:t>
            </w:r>
          </w:p>
          <w:p w:rsidR="000346E4" w:rsidRPr="00E41EB1" w:rsidRDefault="000346E4" w:rsidP="00107D7A">
            <w:pPr>
              <w:pStyle w:val="wordsection1"/>
              <w:numPr>
                <w:ilvl w:val="0"/>
                <w:numId w:val="8"/>
              </w:numPr>
              <w:spacing w:before="0" w:beforeAutospacing="0" w:after="0" w:afterAutospacing="0"/>
              <w:jc w:val="both"/>
              <w:rPr>
                <w:sz w:val="20"/>
                <w:szCs w:val="20"/>
                <w:lang w:eastAsia="en-US"/>
              </w:rPr>
            </w:pPr>
            <w:r w:rsidRPr="00E41EB1">
              <w:rPr>
                <w:sz w:val="20"/>
                <w:szCs w:val="20"/>
              </w:rPr>
              <w:t xml:space="preserve">pour les professionnels - Visa Business, Visa Gold Business, Visa </w:t>
            </w:r>
            <w:proofErr w:type="spellStart"/>
            <w:r w:rsidRPr="00E41EB1">
              <w:rPr>
                <w:sz w:val="20"/>
                <w:szCs w:val="20"/>
              </w:rPr>
              <w:t>Platinum</w:t>
            </w:r>
            <w:proofErr w:type="spellEnd"/>
            <w:r w:rsidRPr="00E41EB1">
              <w:rPr>
                <w:sz w:val="20"/>
                <w:szCs w:val="20"/>
              </w:rPr>
              <w:t xml:space="preserve"> Business</w:t>
            </w:r>
          </w:p>
        </w:tc>
      </w:tr>
      <w:tr w:rsidR="00E41EB1" w:rsidRPr="00E81F6E" w:rsidTr="0030397F">
        <w:trPr>
          <w:trHeight w:val="248"/>
        </w:trPr>
        <w:tc>
          <w:tcPr>
            <w:tcW w:w="1560" w:type="dxa"/>
            <w:tcBorders>
              <w:bottom w:val="single" w:sz="4" w:space="0" w:color="auto"/>
            </w:tcBorders>
          </w:tcPr>
          <w:p w:rsidR="00E41EB1" w:rsidRDefault="00E41EB1">
            <w:pPr>
              <w:rPr>
                <w:rFonts w:ascii="Times New Roman" w:hAnsi="Times New Roman" w:cs="Times New Roman"/>
                <w:b/>
                <w:bCs/>
                <w:sz w:val="20"/>
                <w:szCs w:val="20"/>
              </w:rPr>
            </w:pPr>
            <w:r w:rsidRPr="005D40B4">
              <w:rPr>
                <w:rFonts w:ascii="Times New Roman" w:hAnsi="Times New Roman" w:cs="Times New Roman"/>
                <w:b/>
                <w:bCs/>
                <w:sz w:val="20"/>
                <w:szCs w:val="20"/>
              </w:rPr>
              <w:lastRenderedPageBreak/>
              <w:t>Com. DMA</w:t>
            </w:r>
          </w:p>
        </w:tc>
        <w:tc>
          <w:tcPr>
            <w:tcW w:w="1843" w:type="dxa"/>
            <w:tcBorders>
              <w:bottom w:val="single" w:sz="4" w:space="0" w:color="auto"/>
            </w:tcBorders>
          </w:tcPr>
          <w:p w:rsidR="00E41EB1" w:rsidRPr="00E41EB1" w:rsidRDefault="00E41EB1" w:rsidP="00E41EB1">
            <w:pPr>
              <w:rPr>
                <w:rFonts w:ascii="Times New Roman" w:hAnsi="Times New Roman" w:cs="Times New Roman"/>
                <w:sz w:val="20"/>
                <w:szCs w:val="20"/>
                <w:lang w:eastAsia="fr-FR"/>
              </w:rPr>
            </w:pPr>
            <w:r w:rsidRPr="00E41EB1">
              <w:rPr>
                <w:rFonts w:ascii="Times New Roman" w:hAnsi="Times New Roman" w:cs="Times New Roman"/>
                <w:b/>
                <w:bCs/>
                <w:sz w:val="20"/>
                <w:szCs w:val="20"/>
              </w:rPr>
              <w:t>Clients NPAI</w:t>
            </w:r>
          </w:p>
        </w:tc>
        <w:tc>
          <w:tcPr>
            <w:tcW w:w="12332" w:type="dxa"/>
            <w:tcBorders>
              <w:bottom w:val="single" w:sz="4" w:space="0" w:color="auto"/>
            </w:tcBorders>
            <w:shd w:val="clear" w:color="auto" w:fill="auto"/>
          </w:tcPr>
          <w:p w:rsidR="00E41EB1" w:rsidRPr="00E41EB1" w:rsidRDefault="00E41EB1" w:rsidP="00E41EB1">
            <w:pPr>
              <w:pStyle w:val="Paragraphedeliste"/>
              <w:numPr>
                <w:ilvl w:val="0"/>
                <w:numId w:val="39"/>
              </w:numPr>
              <w:ind w:left="194" w:hanging="194"/>
              <w:jc w:val="both"/>
              <w:rPr>
                <w:rFonts w:ascii="Times New Roman" w:hAnsi="Times New Roman" w:cs="Times New Roman"/>
                <w:b/>
                <w:sz w:val="20"/>
                <w:szCs w:val="20"/>
              </w:rPr>
            </w:pPr>
            <w:r w:rsidRPr="00E41EB1">
              <w:rPr>
                <w:rFonts w:ascii="Times New Roman" w:hAnsi="Times New Roman" w:cs="Times New Roman"/>
                <w:b/>
                <w:sz w:val="20"/>
                <w:szCs w:val="20"/>
              </w:rPr>
              <w:t xml:space="preserve">Grâce à un traitement ITCE, les adresses de nos clients NPAI ayant souscrit un contrat de réacheminement postal suite à leur déménagement sont désormais mises à jour automatiquement dans </w:t>
            </w:r>
            <w:proofErr w:type="spellStart"/>
            <w:r w:rsidRPr="00E41EB1">
              <w:rPr>
                <w:rFonts w:ascii="Times New Roman" w:hAnsi="Times New Roman" w:cs="Times New Roman"/>
                <w:b/>
                <w:sz w:val="20"/>
                <w:szCs w:val="20"/>
              </w:rPr>
              <w:t>Mysys</w:t>
            </w:r>
            <w:proofErr w:type="spellEnd"/>
            <w:r w:rsidRPr="00E41EB1">
              <w:rPr>
                <w:rFonts w:ascii="Times New Roman" w:hAnsi="Times New Roman" w:cs="Times New Roman"/>
                <w:b/>
                <w:sz w:val="20"/>
                <w:szCs w:val="20"/>
              </w:rPr>
              <w:t xml:space="preserve">, nous permettant ainsi de renouer commercialement avec eux. En mars, ce sont 1 150 clients concernés. </w:t>
            </w:r>
          </w:p>
          <w:p w:rsidR="00E41EB1" w:rsidRPr="00E41EB1" w:rsidRDefault="00E41EB1" w:rsidP="00E41EB1">
            <w:pPr>
              <w:pStyle w:val="Paragraphedeliste"/>
              <w:numPr>
                <w:ilvl w:val="0"/>
                <w:numId w:val="39"/>
              </w:numPr>
              <w:ind w:left="194" w:hanging="194"/>
              <w:jc w:val="both"/>
              <w:rPr>
                <w:rFonts w:ascii="Times New Roman" w:hAnsi="Times New Roman" w:cs="Times New Roman"/>
                <w:sz w:val="20"/>
                <w:szCs w:val="20"/>
              </w:rPr>
            </w:pPr>
            <w:r w:rsidRPr="00E41EB1">
              <w:rPr>
                <w:rFonts w:ascii="Times New Roman" w:hAnsi="Times New Roman" w:cs="Times New Roman"/>
                <w:sz w:val="20"/>
                <w:szCs w:val="20"/>
              </w:rPr>
              <w:t xml:space="preserve">Les adresses ont été modifiées dans </w:t>
            </w:r>
            <w:proofErr w:type="spellStart"/>
            <w:r w:rsidRPr="00E41EB1">
              <w:rPr>
                <w:rFonts w:ascii="Times New Roman" w:hAnsi="Times New Roman" w:cs="Times New Roman"/>
                <w:sz w:val="20"/>
                <w:szCs w:val="20"/>
              </w:rPr>
              <w:t>Mysys</w:t>
            </w:r>
            <w:proofErr w:type="spellEnd"/>
            <w:r w:rsidRPr="00E41EB1">
              <w:rPr>
                <w:rFonts w:ascii="Times New Roman" w:hAnsi="Times New Roman" w:cs="Times New Roman"/>
                <w:sz w:val="20"/>
                <w:szCs w:val="20"/>
              </w:rPr>
              <w:t xml:space="preserve"> et les clients concernés feront l’objet d’un courrier dans les prochains jours afin de les inviter à produire un justificatif de domicile. Un pop-up vous informe également de la nécessité de collecter un nouveau justificatif de domicile pour les clients concernés.</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A33BDB" w:rsidRPr="00E81F6E" w:rsidTr="00AF3BE3">
        <w:trPr>
          <w:trHeight w:val="248"/>
        </w:trPr>
        <w:tc>
          <w:tcPr>
            <w:tcW w:w="1560" w:type="dxa"/>
            <w:tcBorders>
              <w:bottom w:val="single" w:sz="4" w:space="0" w:color="auto"/>
            </w:tcBorders>
          </w:tcPr>
          <w:p w:rsidR="00A33BDB" w:rsidRDefault="00A33BDB" w:rsidP="00C3061A">
            <w:r w:rsidRPr="007B6E34">
              <w:rPr>
                <w:rFonts w:ascii="Times New Roman" w:hAnsi="Times New Roman" w:cs="Times New Roman"/>
                <w:b/>
                <w:bCs/>
                <w:sz w:val="20"/>
                <w:szCs w:val="20"/>
              </w:rPr>
              <w:t>Com. DMP</w:t>
            </w:r>
          </w:p>
        </w:tc>
        <w:tc>
          <w:tcPr>
            <w:tcW w:w="1843" w:type="dxa"/>
            <w:tcBorders>
              <w:bottom w:val="single" w:sz="4" w:space="0" w:color="auto"/>
            </w:tcBorders>
          </w:tcPr>
          <w:p w:rsidR="00A33BDB" w:rsidRPr="00A33BDB" w:rsidRDefault="00A33BDB" w:rsidP="00C3061A">
            <w:pPr>
              <w:rPr>
                <w:rFonts w:ascii="Times New Roman" w:hAnsi="Times New Roman" w:cs="Times New Roman"/>
                <w:sz w:val="20"/>
                <w:szCs w:val="20"/>
              </w:rPr>
            </w:pPr>
            <w:r w:rsidRPr="00A33BDB">
              <w:rPr>
                <w:rFonts w:ascii="Times New Roman" w:hAnsi="Times New Roman" w:cs="Times New Roman"/>
                <w:b/>
                <w:bCs/>
                <w:sz w:val="20"/>
                <w:szCs w:val="20"/>
              </w:rPr>
              <w:t>Restitution des TPE</w:t>
            </w:r>
          </w:p>
        </w:tc>
        <w:tc>
          <w:tcPr>
            <w:tcW w:w="12332" w:type="dxa"/>
            <w:tcBorders>
              <w:bottom w:val="single" w:sz="4" w:space="0" w:color="auto"/>
            </w:tcBorders>
            <w:shd w:val="clear" w:color="auto" w:fill="auto"/>
          </w:tcPr>
          <w:p w:rsidR="00A33BDB" w:rsidRPr="000346E4" w:rsidRDefault="00A33BDB"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Les conditions générales de l’offre de location d’un TPE prévoient un retour de l’équipement par le commerçant au loueur en cas de clôture de son contrat.</w:t>
            </w:r>
            <w:r w:rsidR="000346E4">
              <w:rPr>
                <w:rFonts w:ascii="Times New Roman" w:hAnsi="Times New Roman" w:cs="Times New Roman"/>
                <w:color w:val="000000"/>
                <w:sz w:val="20"/>
                <w:szCs w:val="20"/>
                <w:lang w:eastAsia="fr-FR"/>
              </w:rPr>
              <w:t xml:space="preserve"> </w:t>
            </w:r>
            <w:r w:rsidRPr="000346E4">
              <w:rPr>
                <w:rFonts w:ascii="Times New Roman" w:hAnsi="Times New Roman" w:cs="Times New Roman"/>
                <w:color w:val="000000"/>
                <w:sz w:val="20"/>
                <w:szCs w:val="20"/>
                <w:lang w:eastAsia="fr-FR"/>
              </w:rPr>
              <w:t>La CELCA avait pris en charge cette activité à titre commercial et les indemnités de non restitution lui étaient facturées.</w:t>
            </w:r>
          </w:p>
          <w:p w:rsidR="00A33BDB" w:rsidRPr="00A33BDB" w:rsidRDefault="00A33BDB"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A33BDB">
              <w:rPr>
                <w:rFonts w:ascii="Times New Roman" w:hAnsi="Times New Roman" w:cs="Times New Roman"/>
                <w:color w:val="000000"/>
                <w:sz w:val="20"/>
                <w:szCs w:val="20"/>
                <w:lang w:eastAsia="fr-FR"/>
              </w:rPr>
              <w:t xml:space="preserve">A compter du mois de 20 mars, le client devra effectuer lui-même cette démarche à ses frais, faute de quoi il sera facturé pour non restitution de TPE </w:t>
            </w:r>
            <w:r w:rsidRPr="00A33BDB">
              <w:rPr>
                <w:rFonts w:ascii="Times New Roman" w:hAnsi="Times New Roman" w:cs="Times New Roman"/>
                <w:b/>
                <w:bCs/>
                <w:color w:val="000000"/>
                <w:sz w:val="20"/>
                <w:szCs w:val="20"/>
                <w:lang w:eastAsia="fr-FR"/>
              </w:rPr>
              <w:t>dans un délai de 15 jours</w:t>
            </w:r>
            <w:r w:rsidRPr="00A33BDB">
              <w:rPr>
                <w:rFonts w:ascii="Times New Roman" w:hAnsi="Times New Roman" w:cs="Times New Roman"/>
                <w:color w:val="000000"/>
                <w:sz w:val="20"/>
                <w:szCs w:val="20"/>
                <w:lang w:eastAsia="fr-FR"/>
              </w:rPr>
              <w:t xml:space="preserve"> (</w:t>
            </w:r>
            <w:proofErr w:type="spellStart"/>
            <w:r w:rsidRPr="00A33BDB">
              <w:rPr>
                <w:rFonts w:ascii="Times New Roman" w:hAnsi="Times New Roman" w:cs="Times New Roman"/>
                <w:color w:val="000000"/>
                <w:sz w:val="20"/>
                <w:szCs w:val="20"/>
                <w:lang w:eastAsia="fr-FR"/>
              </w:rPr>
              <w:t>cf</w:t>
            </w:r>
            <w:proofErr w:type="spellEnd"/>
            <w:r w:rsidRPr="00A33BDB">
              <w:rPr>
                <w:rFonts w:ascii="Times New Roman" w:hAnsi="Times New Roman" w:cs="Times New Roman"/>
                <w:color w:val="000000"/>
                <w:sz w:val="20"/>
                <w:szCs w:val="20"/>
                <w:lang w:eastAsia="fr-FR"/>
              </w:rPr>
              <w:t xml:space="preserve"> brochure tarifaire page 14). </w:t>
            </w:r>
          </w:p>
          <w:p w:rsidR="00A33BDB" w:rsidRPr="000346E4" w:rsidRDefault="00A33BDB"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Lors de la clôture du contrat, il conviendra de faire signer au client le « Bon de restitution de matériels » qui sera automatiquement rempli et le « Bon de clôture du contrat de location » uniquement s’il y a également clôture du contrat d’adhésion CB.</w:t>
            </w:r>
            <w:r w:rsidR="000346E4" w:rsidRPr="000346E4">
              <w:rPr>
                <w:rFonts w:ascii="Times New Roman" w:hAnsi="Times New Roman" w:cs="Times New Roman"/>
                <w:color w:val="000000"/>
                <w:sz w:val="20"/>
                <w:szCs w:val="20"/>
                <w:lang w:eastAsia="fr-FR"/>
              </w:rPr>
              <w:t xml:space="preserve"> </w:t>
            </w:r>
            <w:r w:rsidRPr="000346E4">
              <w:rPr>
                <w:rFonts w:ascii="Times New Roman" w:hAnsi="Times New Roman" w:cs="Times New Roman"/>
                <w:color w:val="000000"/>
                <w:sz w:val="20"/>
                <w:szCs w:val="20"/>
                <w:lang w:eastAsia="fr-FR"/>
              </w:rPr>
              <w:t>Ces 2 documents signés devront être joints dans le colis par le commerçant.</w:t>
            </w:r>
          </w:p>
          <w:p w:rsidR="00A33BDB" w:rsidRPr="00A33BDB" w:rsidRDefault="00A33BDB"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A33BDB">
              <w:rPr>
                <w:rFonts w:ascii="Times New Roman" w:hAnsi="Times New Roman" w:cs="Times New Roman"/>
                <w:color w:val="000000"/>
                <w:sz w:val="20"/>
                <w:szCs w:val="20"/>
                <w:lang w:eastAsia="fr-FR"/>
              </w:rPr>
              <w:t xml:space="preserve">En cas de changement de matériel, le retour sera également fait par le client mais un bon de retour </w:t>
            </w:r>
            <w:proofErr w:type="spellStart"/>
            <w:r w:rsidRPr="00A33BDB">
              <w:rPr>
                <w:rFonts w:ascii="Times New Roman" w:hAnsi="Times New Roman" w:cs="Times New Roman"/>
                <w:color w:val="000000"/>
                <w:sz w:val="20"/>
                <w:szCs w:val="20"/>
                <w:lang w:eastAsia="fr-FR"/>
              </w:rPr>
              <w:t>pré-affranchi</w:t>
            </w:r>
            <w:proofErr w:type="spellEnd"/>
            <w:r w:rsidRPr="00A33BDB">
              <w:rPr>
                <w:rFonts w:ascii="Times New Roman" w:hAnsi="Times New Roman" w:cs="Times New Roman"/>
                <w:color w:val="000000"/>
                <w:sz w:val="20"/>
                <w:szCs w:val="20"/>
                <w:lang w:eastAsia="fr-FR"/>
              </w:rPr>
              <w:t xml:space="preserve"> sera édité par OSC.</w:t>
            </w:r>
          </w:p>
        </w:tc>
      </w:tr>
      <w:tr w:rsidR="00E41EB1" w:rsidRPr="00E81F6E" w:rsidTr="00AF3BE3">
        <w:trPr>
          <w:trHeight w:val="248"/>
        </w:trPr>
        <w:tc>
          <w:tcPr>
            <w:tcW w:w="1560" w:type="dxa"/>
            <w:tcBorders>
              <w:bottom w:val="single" w:sz="4" w:space="0" w:color="auto"/>
            </w:tcBorders>
          </w:tcPr>
          <w:p w:rsidR="00E41EB1" w:rsidRDefault="00E41EB1" w:rsidP="003401BC">
            <w:r w:rsidRPr="007B6E34">
              <w:rPr>
                <w:rFonts w:ascii="Times New Roman" w:hAnsi="Times New Roman" w:cs="Times New Roman"/>
                <w:b/>
                <w:bCs/>
                <w:sz w:val="20"/>
                <w:szCs w:val="20"/>
              </w:rPr>
              <w:t>Com. DMP</w:t>
            </w:r>
          </w:p>
        </w:tc>
        <w:tc>
          <w:tcPr>
            <w:tcW w:w="1843" w:type="dxa"/>
            <w:tcBorders>
              <w:bottom w:val="single" w:sz="4" w:space="0" w:color="auto"/>
            </w:tcBorders>
          </w:tcPr>
          <w:p w:rsidR="00E41EB1" w:rsidRPr="000346E4" w:rsidRDefault="00E41EB1" w:rsidP="003401BC">
            <w:pPr>
              <w:rPr>
                <w:rFonts w:ascii="Times New Roman" w:hAnsi="Times New Roman" w:cs="Times New Roman"/>
                <w:b/>
                <w:bCs/>
                <w:sz w:val="20"/>
                <w:szCs w:val="20"/>
              </w:rPr>
            </w:pPr>
            <w:r w:rsidRPr="000346E4">
              <w:rPr>
                <w:rFonts w:ascii="Times New Roman" w:hAnsi="Times New Roman" w:cs="Times New Roman"/>
                <w:b/>
                <w:bCs/>
                <w:sz w:val="20"/>
                <w:szCs w:val="20"/>
              </w:rPr>
              <w:t>Action Comptes CDD 04 PROS</w:t>
            </w:r>
          </w:p>
        </w:tc>
        <w:tc>
          <w:tcPr>
            <w:tcW w:w="12332" w:type="dxa"/>
            <w:tcBorders>
              <w:bottom w:val="single" w:sz="4" w:space="0" w:color="auto"/>
            </w:tcBorders>
            <w:shd w:val="clear" w:color="auto" w:fill="auto"/>
          </w:tcPr>
          <w:p w:rsidR="00E41EB1" w:rsidRPr="000346E4" w:rsidRDefault="00E41EB1" w:rsidP="003401BC">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Dans le cadre de l’action sur les comptes CDD 04 Pros, une coquille s’est glissée dans le courrier transmis aux SCI Parts et Pros. En effet le tarif indiqué correspond au tarif des forfaits pros sans carte.</w:t>
            </w:r>
            <w:r>
              <w:rPr>
                <w:rFonts w:ascii="Times New Roman" w:hAnsi="Times New Roman" w:cs="Times New Roman"/>
                <w:color w:val="000000"/>
                <w:sz w:val="20"/>
                <w:szCs w:val="20"/>
                <w:lang w:eastAsia="fr-FR"/>
              </w:rPr>
              <w:t xml:space="preserve"> </w:t>
            </w:r>
            <w:r w:rsidRPr="000346E4">
              <w:rPr>
                <w:rFonts w:ascii="Times New Roman" w:hAnsi="Times New Roman" w:cs="Times New Roman"/>
                <w:color w:val="000000"/>
                <w:sz w:val="20"/>
                <w:szCs w:val="20"/>
                <w:lang w:eastAsia="fr-FR"/>
              </w:rPr>
              <w:t>Un nouveau courrier sera transmis dans la semaine aux clients concernés avec le tarif applicable dès le 1</w:t>
            </w:r>
            <w:r w:rsidRPr="000346E4">
              <w:rPr>
                <w:rFonts w:ascii="Times New Roman" w:hAnsi="Times New Roman" w:cs="Times New Roman"/>
                <w:color w:val="000000"/>
                <w:sz w:val="20"/>
                <w:szCs w:val="20"/>
                <w:vertAlign w:val="superscript"/>
                <w:lang w:eastAsia="fr-FR"/>
              </w:rPr>
              <w:t>er</w:t>
            </w:r>
            <w:r w:rsidRPr="000346E4">
              <w:rPr>
                <w:rFonts w:ascii="Times New Roman" w:hAnsi="Times New Roman" w:cs="Times New Roman"/>
                <w:color w:val="000000"/>
                <w:sz w:val="20"/>
                <w:szCs w:val="20"/>
                <w:lang w:eastAsia="fr-FR"/>
              </w:rPr>
              <w:t xml:space="preserve"> avril 2018.</w:t>
            </w:r>
          </w:p>
        </w:tc>
      </w:tr>
      <w:tr w:rsidR="00B15426" w:rsidRPr="00E81F6E" w:rsidTr="00AF3BE3">
        <w:trPr>
          <w:trHeight w:val="248"/>
        </w:trPr>
        <w:tc>
          <w:tcPr>
            <w:tcW w:w="1560" w:type="dxa"/>
            <w:tcBorders>
              <w:bottom w:val="single" w:sz="4" w:space="0" w:color="auto"/>
            </w:tcBorders>
          </w:tcPr>
          <w:p w:rsidR="00B15426" w:rsidRDefault="00B15426" w:rsidP="00276471">
            <w:r w:rsidRPr="007B6E34">
              <w:rPr>
                <w:rFonts w:ascii="Times New Roman" w:hAnsi="Times New Roman" w:cs="Times New Roman"/>
                <w:b/>
                <w:bCs/>
                <w:sz w:val="20"/>
                <w:szCs w:val="20"/>
              </w:rPr>
              <w:t>Com. DMP</w:t>
            </w:r>
          </w:p>
        </w:tc>
        <w:tc>
          <w:tcPr>
            <w:tcW w:w="1843" w:type="dxa"/>
            <w:tcBorders>
              <w:bottom w:val="single" w:sz="4" w:space="0" w:color="auto"/>
            </w:tcBorders>
          </w:tcPr>
          <w:p w:rsidR="00B15426" w:rsidRPr="000346E4" w:rsidRDefault="00B15426" w:rsidP="00276471">
            <w:pPr>
              <w:rPr>
                <w:rFonts w:ascii="Times New Roman" w:hAnsi="Times New Roman" w:cs="Times New Roman"/>
                <w:b/>
                <w:bCs/>
                <w:sz w:val="20"/>
                <w:szCs w:val="20"/>
              </w:rPr>
            </w:pPr>
            <w:r w:rsidRPr="000346E4">
              <w:rPr>
                <w:rFonts w:ascii="Times New Roman" w:hAnsi="Times New Roman" w:cs="Times New Roman"/>
                <w:b/>
                <w:bCs/>
                <w:sz w:val="20"/>
                <w:szCs w:val="20"/>
              </w:rPr>
              <w:t>E-remises</w:t>
            </w:r>
          </w:p>
        </w:tc>
        <w:tc>
          <w:tcPr>
            <w:tcW w:w="12332" w:type="dxa"/>
            <w:tcBorders>
              <w:bottom w:val="single" w:sz="4" w:space="0" w:color="auto"/>
            </w:tcBorders>
            <w:shd w:val="clear" w:color="auto" w:fill="auto"/>
          </w:tcPr>
          <w:p w:rsidR="00B15426" w:rsidRPr="000346E4" w:rsidRDefault="00B15426" w:rsidP="00276471">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 xml:space="preserve">Veuillez trouver ci-dessous le message mis en place sur E-remises &amp; </w:t>
            </w:r>
            <w:proofErr w:type="spellStart"/>
            <w:r w:rsidRPr="000346E4">
              <w:rPr>
                <w:rFonts w:ascii="Times New Roman" w:hAnsi="Times New Roman" w:cs="Times New Roman"/>
                <w:color w:val="000000"/>
                <w:sz w:val="20"/>
                <w:szCs w:val="20"/>
                <w:lang w:eastAsia="fr-FR"/>
              </w:rPr>
              <w:t>CEnet</w:t>
            </w:r>
            <w:proofErr w:type="spellEnd"/>
            <w:r w:rsidRPr="000346E4">
              <w:rPr>
                <w:rFonts w:ascii="Times New Roman" w:hAnsi="Times New Roman" w:cs="Times New Roman"/>
                <w:color w:val="000000"/>
                <w:sz w:val="20"/>
                <w:szCs w:val="20"/>
                <w:lang w:eastAsia="fr-FR"/>
              </w:rPr>
              <w:t xml:space="preserve"> concernant le Week-End de Pâques :</w:t>
            </w:r>
          </w:p>
          <w:p w:rsidR="00B15426" w:rsidRPr="000346E4" w:rsidRDefault="00B15426" w:rsidP="00276471">
            <w:pPr>
              <w:jc w:val="center"/>
              <w:rPr>
                <w:rFonts w:ascii="Times New Roman" w:hAnsi="Times New Roman" w:cs="Times New Roman"/>
                <w:sz w:val="20"/>
                <w:szCs w:val="20"/>
              </w:rPr>
            </w:pPr>
            <w:r w:rsidRPr="000346E4">
              <w:rPr>
                <w:rFonts w:ascii="Times New Roman" w:hAnsi="Times New Roman" w:cs="Times New Roman"/>
                <w:sz w:val="20"/>
                <w:szCs w:val="20"/>
                <w:lang w:eastAsia="fr-FR"/>
              </w:rPr>
              <w:fldChar w:fldCharType="begin"/>
            </w:r>
            <w:r w:rsidRPr="000346E4">
              <w:rPr>
                <w:rFonts w:ascii="Times New Roman" w:hAnsi="Times New Roman" w:cs="Times New Roman"/>
                <w:sz w:val="20"/>
                <w:szCs w:val="20"/>
                <w:lang w:eastAsia="fr-FR"/>
              </w:rPr>
              <w:instrText xml:space="preserve"> INCLUDEPICTURE  "cid:image002.png@01D3BD2B.67017AF0" \* MERGEFORMATINET </w:instrText>
            </w:r>
            <w:r w:rsidRPr="000346E4">
              <w:rPr>
                <w:rFonts w:ascii="Times New Roman" w:hAnsi="Times New Roman" w:cs="Times New Roman"/>
                <w:sz w:val="20"/>
                <w:szCs w:val="20"/>
                <w:lang w:eastAsia="fr-FR"/>
              </w:rPr>
              <w:fldChar w:fldCharType="separate"/>
            </w:r>
            <w:r>
              <w:rPr>
                <w:rFonts w:ascii="Times New Roman" w:hAnsi="Times New Roman" w:cs="Times New Roman"/>
                <w:sz w:val="20"/>
                <w:szCs w:val="20"/>
                <w:lang w:eastAsia="fr-FR"/>
              </w:rPr>
              <w:fldChar w:fldCharType="begin"/>
            </w:r>
            <w:r>
              <w:rPr>
                <w:rFonts w:ascii="Times New Roman" w:hAnsi="Times New Roman" w:cs="Times New Roman"/>
                <w:sz w:val="20"/>
                <w:szCs w:val="20"/>
                <w:lang w:eastAsia="fr-FR"/>
              </w:rPr>
              <w:instrText xml:space="preserve"> INCLUDEPICTURE  "cid:image002.png@01D3BD2B.67017AF0" \* MERGEFORMATINET </w:instrText>
            </w:r>
            <w:r>
              <w:rPr>
                <w:rFonts w:ascii="Times New Roman" w:hAnsi="Times New Roman" w:cs="Times New Roman"/>
                <w:sz w:val="20"/>
                <w:szCs w:val="20"/>
                <w:lang w:eastAsia="fr-FR"/>
              </w:rPr>
              <w:fldChar w:fldCharType="separate"/>
            </w:r>
            <w:r>
              <w:rPr>
                <w:rFonts w:ascii="Times New Roman" w:hAnsi="Times New Roman" w:cs="Times New Roman"/>
                <w:sz w:val="20"/>
                <w:szCs w:val="20"/>
                <w:lang w:eastAsia="fr-FR"/>
              </w:rPr>
              <w:fldChar w:fldCharType="begin"/>
            </w:r>
            <w:r>
              <w:rPr>
                <w:rFonts w:ascii="Times New Roman" w:hAnsi="Times New Roman" w:cs="Times New Roman"/>
                <w:sz w:val="20"/>
                <w:szCs w:val="20"/>
                <w:lang w:eastAsia="fr-FR"/>
              </w:rPr>
              <w:instrText xml:space="preserve"> INCLUDEPICTURE  "cid:image002.png@01D3BD2B.67017AF0" \* MERGEFORMATINET </w:instrText>
            </w:r>
            <w:r>
              <w:rPr>
                <w:rFonts w:ascii="Times New Roman" w:hAnsi="Times New Roman" w:cs="Times New Roman"/>
                <w:sz w:val="20"/>
                <w:szCs w:val="20"/>
                <w:lang w:eastAsia="fr-FR"/>
              </w:rPr>
              <w:fldChar w:fldCharType="separate"/>
            </w:r>
            <w:r>
              <w:rPr>
                <w:rFonts w:ascii="Times New Roman" w:hAnsi="Times New Roman" w:cs="Times New Roman"/>
                <w:sz w:val="20"/>
                <w:szCs w:val="20"/>
                <w:lang w:eastAsia="fr-FR"/>
              </w:rPr>
              <w:fldChar w:fldCharType="begin"/>
            </w:r>
            <w:r>
              <w:rPr>
                <w:rFonts w:ascii="Times New Roman" w:hAnsi="Times New Roman" w:cs="Times New Roman"/>
                <w:sz w:val="20"/>
                <w:szCs w:val="20"/>
                <w:lang w:eastAsia="fr-FR"/>
              </w:rPr>
              <w:instrText xml:space="preserve"> INCLUDEPICTURE  "cid:image002.png@01D3BD2B.67017AF0" \* MERGEFORMATINET </w:instrText>
            </w:r>
            <w:r>
              <w:rPr>
                <w:rFonts w:ascii="Times New Roman" w:hAnsi="Times New Roman" w:cs="Times New Roman"/>
                <w:sz w:val="20"/>
                <w:szCs w:val="20"/>
                <w:lang w:eastAsia="fr-FR"/>
              </w:rPr>
              <w:fldChar w:fldCharType="separate"/>
            </w:r>
            <w:r>
              <w:rPr>
                <w:rFonts w:ascii="Times New Roman" w:hAnsi="Times New Roman" w:cs="Times New Roman"/>
                <w:sz w:val="20"/>
                <w:szCs w:val="20"/>
                <w:lang w:eastAsia="fr-FR"/>
              </w:rPr>
              <w:pict w14:anchorId="1D6C4F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i1026" type="#_x0000_t75" alt="cid:image005.png@01D3BD23.20763880" style="width:358.65pt;height:58.4pt">
                  <v:imagedata r:id="rId24" r:href="rId25"/>
                </v:shape>
              </w:pict>
            </w:r>
            <w:r>
              <w:rPr>
                <w:rFonts w:ascii="Times New Roman" w:hAnsi="Times New Roman" w:cs="Times New Roman"/>
                <w:sz w:val="20"/>
                <w:szCs w:val="20"/>
                <w:lang w:eastAsia="fr-FR"/>
              </w:rPr>
              <w:fldChar w:fldCharType="end"/>
            </w:r>
            <w:r>
              <w:rPr>
                <w:rFonts w:ascii="Times New Roman" w:hAnsi="Times New Roman" w:cs="Times New Roman"/>
                <w:sz w:val="20"/>
                <w:szCs w:val="20"/>
                <w:lang w:eastAsia="fr-FR"/>
              </w:rPr>
              <w:fldChar w:fldCharType="end"/>
            </w:r>
            <w:r>
              <w:rPr>
                <w:rFonts w:ascii="Times New Roman" w:hAnsi="Times New Roman" w:cs="Times New Roman"/>
                <w:sz w:val="20"/>
                <w:szCs w:val="20"/>
                <w:lang w:eastAsia="fr-FR"/>
              </w:rPr>
              <w:fldChar w:fldCharType="end"/>
            </w:r>
            <w:r w:rsidRPr="000346E4">
              <w:rPr>
                <w:rFonts w:ascii="Times New Roman" w:hAnsi="Times New Roman" w:cs="Times New Roman"/>
                <w:sz w:val="20"/>
                <w:szCs w:val="20"/>
                <w:lang w:eastAsia="fr-FR"/>
              </w:rPr>
              <w:fldChar w:fldCharType="end"/>
            </w:r>
          </w:p>
        </w:tc>
      </w:tr>
      <w:tr w:rsidR="00A33BDB" w:rsidRPr="00E81F6E" w:rsidTr="00AF3BE3">
        <w:trPr>
          <w:trHeight w:val="248"/>
        </w:trPr>
        <w:tc>
          <w:tcPr>
            <w:tcW w:w="1560" w:type="dxa"/>
            <w:tcBorders>
              <w:bottom w:val="single" w:sz="4" w:space="0" w:color="auto"/>
            </w:tcBorders>
          </w:tcPr>
          <w:p w:rsidR="00A33BDB" w:rsidRDefault="00A33BDB">
            <w:pPr>
              <w:rPr>
                <w:rFonts w:ascii="Calibri" w:hAnsi="Calibri" w:cs="Calibri"/>
              </w:rPr>
            </w:pPr>
            <w:r>
              <w:rPr>
                <w:rFonts w:ascii="Times New Roman" w:hAnsi="Times New Roman" w:cs="Times New Roman"/>
                <w:b/>
                <w:bCs/>
                <w:sz w:val="20"/>
                <w:szCs w:val="20"/>
              </w:rPr>
              <w:t>Com. DMP</w:t>
            </w:r>
          </w:p>
        </w:tc>
        <w:tc>
          <w:tcPr>
            <w:tcW w:w="1843" w:type="dxa"/>
            <w:tcBorders>
              <w:bottom w:val="single" w:sz="4" w:space="0" w:color="auto"/>
            </w:tcBorders>
          </w:tcPr>
          <w:p w:rsidR="00A33BDB" w:rsidRPr="00A33BDB" w:rsidRDefault="00A33BDB">
            <w:pPr>
              <w:rPr>
                <w:rFonts w:ascii="Times New Roman" w:hAnsi="Times New Roman" w:cs="Times New Roman"/>
                <w:sz w:val="20"/>
                <w:szCs w:val="20"/>
              </w:rPr>
            </w:pPr>
            <w:r w:rsidRPr="00A33BDB">
              <w:rPr>
                <w:rFonts w:ascii="Times New Roman" w:hAnsi="Times New Roman" w:cs="Times New Roman"/>
                <w:b/>
                <w:bCs/>
                <w:sz w:val="20"/>
                <w:szCs w:val="20"/>
              </w:rPr>
              <w:t xml:space="preserve">Blocage des moyens de paiement pour DRC incomplet – Evolution </w:t>
            </w:r>
          </w:p>
        </w:tc>
        <w:tc>
          <w:tcPr>
            <w:tcW w:w="12332" w:type="dxa"/>
            <w:tcBorders>
              <w:bottom w:val="single" w:sz="4" w:space="0" w:color="auto"/>
            </w:tcBorders>
            <w:shd w:val="clear" w:color="auto" w:fill="auto"/>
          </w:tcPr>
          <w:p w:rsidR="00A33BDB" w:rsidRPr="00A33BDB" w:rsidRDefault="00A33BDB" w:rsidP="00A33BDB">
            <w:pPr>
              <w:numPr>
                <w:ilvl w:val="0"/>
                <w:numId w:val="35"/>
              </w:numPr>
              <w:ind w:left="176" w:hanging="176"/>
              <w:contextualSpacing/>
              <w:rPr>
                <w:rFonts w:ascii="Times New Roman" w:hAnsi="Times New Roman" w:cs="Times New Roman"/>
                <w:sz w:val="20"/>
                <w:szCs w:val="20"/>
              </w:rPr>
            </w:pPr>
            <w:r w:rsidRPr="00A33BDB">
              <w:rPr>
                <w:rFonts w:ascii="Times New Roman" w:hAnsi="Times New Roman" w:cs="Times New Roman"/>
                <w:sz w:val="20"/>
                <w:szCs w:val="20"/>
                <w:lang w:eastAsia="fr-FR"/>
              </w:rPr>
              <w:t>La Depuis le 1</w:t>
            </w:r>
            <w:r w:rsidRPr="00A33BDB">
              <w:rPr>
                <w:rFonts w:ascii="Times New Roman" w:hAnsi="Times New Roman" w:cs="Times New Roman"/>
                <w:sz w:val="20"/>
                <w:szCs w:val="20"/>
                <w:vertAlign w:val="superscript"/>
                <w:lang w:eastAsia="fr-FR"/>
              </w:rPr>
              <w:t>er</w:t>
            </w:r>
            <w:r w:rsidRPr="00A33BDB">
              <w:rPr>
                <w:rFonts w:ascii="Times New Roman" w:hAnsi="Times New Roman" w:cs="Times New Roman"/>
                <w:sz w:val="20"/>
                <w:szCs w:val="20"/>
                <w:lang w:eastAsia="fr-FR"/>
              </w:rPr>
              <w:t xml:space="preserve"> décembre 2014, une opposition de blocage (0819) est automatiquement affectée à tout nouveau client du Marché des Particuliers dont le DRC est incomplet. L’opposition est automatiquement levée à J+1 lorsque la complétude du DRC est constatée.</w:t>
            </w:r>
          </w:p>
          <w:p w:rsidR="00A33BDB" w:rsidRDefault="00A33BDB" w:rsidP="00A33BDB">
            <w:pPr>
              <w:numPr>
                <w:ilvl w:val="0"/>
                <w:numId w:val="35"/>
              </w:numPr>
              <w:ind w:left="176" w:hanging="176"/>
              <w:contextualSpacing/>
              <w:rPr>
                <w:rFonts w:ascii="Times New Roman" w:hAnsi="Times New Roman" w:cs="Times New Roman"/>
                <w:sz w:val="20"/>
                <w:szCs w:val="20"/>
              </w:rPr>
            </w:pPr>
            <w:r w:rsidRPr="00A33BDB">
              <w:rPr>
                <w:rFonts w:ascii="Times New Roman" w:hAnsi="Times New Roman" w:cs="Times New Roman"/>
                <w:sz w:val="20"/>
                <w:szCs w:val="20"/>
                <w:lang w:eastAsia="fr-FR"/>
              </w:rPr>
              <w:t xml:space="preserve">Afin de satisfaire aux obligations réglementaires en matière de complétude du DRC, </w:t>
            </w:r>
            <w:r w:rsidRPr="00A33BDB">
              <w:rPr>
                <w:rFonts w:ascii="Times New Roman" w:hAnsi="Times New Roman" w:cs="Times New Roman"/>
                <w:b/>
                <w:bCs/>
                <w:sz w:val="20"/>
                <w:szCs w:val="20"/>
                <w:u w:val="single"/>
                <w:lang w:eastAsia="fr-FR"/>
              </w:rPr>
              <w:t>l’opposition 0819 est étendue aux comptes professionnels hors personnes morales à compter du 20 mars 2018</w:t>
            </w:r>
            <w:r w:rsidRPr="00A33BDB">
              <w:rPr>
                <w:rFonts w:ascii="Times New Roman" w:hAnsi="Times New Roman" w:cs="Times New Roman"/>
                <w:sz w:val="20"/>
                <w:szCs w:val="20"/>
                <w:lang w:eastAsia="fr-FR"/>
              </w:rPr>
              <w:t xml:space="preserve">. </w:t>
            </w:r>
          </w:p>
          <w:p w:rsidR="00107D7A" w:rsidRPr="00A33BDB" w:rsidRDefault="00107D7A" w:rsidP="00107D7A">
            <w:pPr>
              <w:ind w:left="176"/>
              <w:contextualSpacing/>
              <w:rPr>
                <w:rFonts w:ascii="Times New Roman" w:hAnsi="Times New Roman" w:cs="Times New Roman"/>
                <w:sz w:val="20"/>
                <w:szCs w:val="20"/>
              </w:rPr>
            </w:pPr>
          </w:p>
          <w:p w:rsidR="00A33BDB" w:rsidRPr="00A33BDB" w:rsidRDefault="00A33BDB" w:rsidP="00A33BDB">
            <w:pPr>
              <w:numPr>
                <w:ilvl w:val="0"/>
                <w:numId w:val="35"/>
              </w:numPr>
              <w:ind w:left="176" w:hanging="176"/>
              <w:contextualSpacing/>
              <w:rPr>
                <w:rFonts w:ascii="Times New Roman" w:hAnsi="Times New Roman" w:cs="Times New Roman"/>
                <w:sz w:val="20"/>
                <w:szCs w:val="20"/>
              </w:rPr>
            </w:pPr>
            <w:r w:rsidRPr="00A33BDB">
              <w:rPr>
                <w:rFonts w:ascii="Times New Roman" w:hAnsi="Times New Roman" w:cs="Times New Roman"/>
                <w:sz w:val="20"/>
                <w:szCs w:val="20"/>
                <w:lang w:eastAsia="fr-FR"/>
              </w:rPr>
              <w:t>Les règles ci-dessous concernent les nouvelles entrées en relation et les DRC sur lesquels un conseiller effectue un</w:t>
            </w:r>
            <w:r w:rsidR="00107D7A">
              <w:rPr>
                <w:rFonts w:ascii="Times New Roman" w:hAnsi="Times New Roman" w:cs="Times New Roman"/>
                <w:sz w:val="20"/>
                <w:szCs w:val="20"/>
                <w:lang w:eastAsia="fr-FR"/>
              </w:rPr>
              <w:t>e</w:t>
            </w:r>
            <w:r w:rsidRPr="00A33BDB">
              <w:rPr>
                <w:rFonts w:ascii="Times New Roman" w:hAnsi="Times New Roman" w:cs="Times New Roman"/>
                <w:sz w:val="20"/>
                <w:szCs w:val="20"/>
                <w:lang w:eastAsia="fr-FR"/>
              </w:rPr>
              <w:t xml:space="preserve"> mise à jour (pièce obsolète, pièce retirée ou ajout d’un document obligatoire mais DRC incomplet) :</w:t>
            </w:r>
          </w:p>
          <w:tbl>
            <w:tblPr>
              <w:tblpPr w:leftFromText="141" w:rightFromText="141" w:vertAnchor="text" w:tblpXSpec="center"/>
              <w:tblOverlap w:val="never"/>
              <w:tblW w:w="9600" w:type="dxa"/>
              <w:tblLayout w:type="fixed"/>
              <w:tblCellMar>
                <w:left w:w="0" w:type="dxa"/>
                <w:right w:w="0" w:type="dxa"/>
              </w:tblCellMar>
              <w:tblLook w:val="04A0" w:firstRow="1" w:lastRow="0" w:firstColumn="1" w:lastColumn="0" w:noHBand="0" w:noVBand="1"/>
            </w:tblPr>
            <w:tblGrid>
              <w:gridCol w:w="3200"/>
              <w:gridCol w:w="3200"/>
              <w:gridCol w:w="3200"/>
            </w:tblGrid>
            <w:tr w:rsidR="00A33BDB" w:rsidRPr="00A33BDB" w:rsidTr="00107D7A">
              <w:trPr>
                <w:trHeight w:val="250"/>
              </w:trPr>
              <w:tc>
                <w:tcPr>
                  <w:tcW w:w="3200" w:type="dxa"/>
                  <w:tcBorders>
                    <w:top w:val="single" w:sz="8" w:space="0" w:color="4BACC6"/>
                    <w:left w:val="single" w:sz="8" w:space="0" w:color="4BACC6"/>
                    <w:bottom w:val="nil"/>
                    <w:right w:val="nil"/>
                  </w:tcBorders>
                  <w:shd w:val="clear" w:color="auto" w:fill="4BACC6"/>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c>
                <w:tcPr>
                  <w:tcW w:w="3200" w:type="dxa"/>
                  <w:tcBorders>
                    <w:top w:val="single" w:sz="8" w:space="0" w:color="4BACC6"/>
                    <w:left w:val="nil"/>
                    <w:bottom w:val="nil"/>
                    <w:right w:val="nil"/>
                  </w:tcBorders>
                  <w:shd w:val="clear" w:color="auto" w:fill="4BACC6"/>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b/>
                      <w:bCs/>
                      <w:color w:val="FFFFFF"/>
                      <w:sz w:val="20"/>
                      <w:szCs w:val="20"/>
                    </w:rPr>
                  </w:pPr>
                  <w:r w:rsidRPr="00A33BDB">
                    <w:rPr>
                      <w:rFonts w:ascii="Times New Roman" w:hAnsi="Times New Roman" w:cs="Times New Roman"/>
                      <w:b/>
                      <w:bCs/>
                      <w:color w:val="FFFFFF"/>
                      <w:sz w:val="20"/>
                      <w:szCs w:val="20"/>
                    </w:rPr>
                    <w:t>BLOCAGE</w:t>
                  </w:r>
                </w:p>
              </w:tc>
              <w:tc>
                <w:tcPr>
                  <w:tcW w:w="3200" w:type="dxa"/>
                  <w:tcBorders>
                    <w:top w:val="single" w:sz="8" w:space="0" w:color="4BACC6"/>
                    <w:left w:val="nil"/>
                    <w:bottom w:val="nil"/>
                    <w:right w:val="single" w:sz="8" w:space="0" w:color="4BACC6"/>
                  </w:tcBorders>
                  <w:shd w:val="clear" w:color="auto" w:fill="4BACC6"/>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b/>
                      <w:bCs/>
                      <w:color w:val="FFFFFF"/>
                      <w:sz w:val="20"/>
                      <w:szCs w:val="20"/>
                    </w:rPr>
                  </w:pPr>
                  <w:r w:rsidRPr="00A33BDB">
                    <w:rPr>
                      <w:rFonts w:ascii="Times New Roman" w:hAnsi="Times New Roman" w:cs="Times New Roman"/>
                      <w:b/>
                      <w:bCs/>
                      <w:color w:val="FFFFFF"/>
                      <w:sz w:val="20"/>
                      <w:szCs w:val="20"/>
                    </w:rPr>
                    <w:t>PAS DE BLOCAGE</w:t>
                  </w:r>
                </w:p>
              </w:tc>
            </w:tr>
            <w:tr w:rsidR="00A33BDB" w:rsidRPr="00A33BDB" w:rsidTr="00107D7A">
              <w:trPr>
                <w:trHeight w:val="201"/>
              </w:trPr>
              <w:tc>
                <w:tcPr>
                  <w:tcW w:w="3200" w:type="dxa"/>
                  <w:tcBorders>
                    <w:top w:val="single" w:sz="8" w:space="0" w:color="4BACC6"/>
                    <w:left w:val="single" w:sz="8" w:space="0" w:color="4BACC6"/>
                    <w:bottom w:val="single" w:sz="8" w:space="0" w:color="4BACC6"/>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PART OK</w:t>
                  </w:r>
                </w:p>
              </w:tc>
              <w:tc>
                <w:tcPr>
                  <w:tcW w:w="3200" w:type="dxa"/>
                  <w:tcBorders>
                    <w:top w:val="single" w:sz="8" w:space="0" w:color="4BACC6"/>
                    <w:left w:val="nil"/>
                    <w:bottom w:val="single" w:sz="8" w:space="0" w:color="4BACC6"/>
                    <w:right w:val="nil"/>
                  </w:tcBorders>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c>
                <w:tcPr>
                  <w:tcW w:w="3200" w:type="dxa"/>
                  <w:tcBorders>
                    <w:top w:val="single" w:sz="8" w:space="0" w:color="4BACC6"/>
                    <w:left w:val="nil"/>
                    <w:bottom w:val="single" w:sz="8" w:space="0" w:color="4BACC6"/>
                    <w:right w:val="single" w:sz="8" w:space="0" w:color="4BACC6"/>
                  </w:tcBorders>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r>
            <w:tr w:rsidR="00A33BDB" w:rsidRPr="00A33BDB" w:rsidTr="00107D7A">
              <w:trPr>
                <w:trHeight w:val="191"/>
              </w:trPr>
              <w:tc>
                <w:tcPr>
                  <w:tcW w:w="3200" w:type="dxa"/>
                  <w:tcBorders>
                    <w:top w:val="nil"/>
                    <w:left w:val="single" w:sz="8" w:space="0" w:color="4BACC6"/>
                    <w:bottom w:val="nil"/>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PRO OK</w:t>
                  </w:r>
                </w:p>
              </w:tc>
              <w:tc>
                <w:tcPr>
                  <w:tcW w:w="3200" w:type="dxa"/>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c>
                <w:tcPr>
                  <w:tcW w:w="3200" w:type="dxa"/>
                  <w:tcBorders>
                    <w:top w:val="nil"/>
                    <w:left w:val="nil"/>
                    <w:bottom w:val="nil"/>
                    <w:right w:val="single" w:sz="8" w:space="0" w:color="4BACC6"/>
                  </w:tcBorders>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r>
            <w:tr w:rsidR="00A33BDB" w:rsidRPr="00A33BDB" w:rsidTr="00107D7A">
              <w:trPr>
                <w:trHeight w:val="183"/>
              </w:trPr>
              <w:tc>
                <w:tcPr>
                  <w:tcW w:w="3200" w:type="dxa"/>
                  <w:tcBorders>
                    <w:top w:val="single" w:sz="8" w:space="0" w:color="4BACC6"/>
                    <w:left w:val="single" w:sz="8" w:space="0" w:color="4BACC6"/>
                    <w:bottom w:val="single" w:sz="8" w:space="0" w:color="4BACC6"/>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PART KO</w:t>
                  </w:r>
                </w:p>
              </w:tc>
              <w:tc>
                <w:tcPr>
                  <w:tcW w:w="3200" w:type="dxa"/>
                  <w:tcBorders>
                    <w:top w:val="single" w:sz="8" w:space="0" w:color="4BACC6"/>
                    <w:left w:val="nil"/>
                    <w:bottom w:val="single" w:sz="8" w:space="0" w:color="4BACC6"/>
                    <w:right w:val="nil"/>
                  </w:tcBorders>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c>
                <w:tcPr>
                  <w:tcW w:w="3200" w:type="dxa"/>
                  <w:tcBorders>
                    <w:top w:val="single" w:sz="8" w:space="0" w:color="4BACC6"/>
                    <w:left w:val="nil"/>
                    <w:bottom w:val="single" w:sz="8" w:space="0" w:color="4BACC6"/>
                    <w:right w:val="single" w:sz="8" w:space="0" w:color="4BACC6"/>
                  </w:tcBorders>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r>
            <w:tr w:rsidR="00A33BDB" w:rsidRPr="00A33BDB" w:rsidTr="00107D7A">
              <w:trPr>
                <w:trHeight w:val="34"/>
              </w:trPr>
              <w:tc>
                <w:tcPr>
                  <w:tcW w:w="3200" w:type="dxa"/>
                  <w:tcBorders>
                    <w:top w:val="nil"/>
                    <w:left w:val="single" w:sz="8" w:space="0" w:color="4BACC6"/>
                    <w:bottom w:val="nil"/>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PRO KO</w:t>
                  </w:r>
                </w:p>
              </w:tc>
              <w:tc>
                <w:tcPr>
                  <w:tcW w:w="3200" w:type="dxa"/>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c>
                <w:tcPr>
                  <w:tcW w:w="3200" w:type="dxa"/>
                  <w:tcBorders>
                    <w:top w:val="nil"/>
                    <w:left w:val="nil"/>
                    <w:bottom w:val="nil"/>
                    <w:right w:val="single" w:sz="8" w:space="0" w:color="4BACC6"/>
                  </w:tcBorders>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r>
            <w:tr w:rsidR="00A33BDB" w:rsidRPr="00A33BDB" w:rsidTr="00107D7A">
              <w:trPr>
                <w:trHeight w:val="168"/>
              </w:trPr>
              <w:tc>
                <w:tcPr>
                  <w:tcW w:w="3200" w:type="dxa"/>
                  <w:tcBorders>
                    <w:top w:val="single" w:sz="8" w:space="0" w:color="4BACC6"/>
                    <w:left w:val="single" w:sz="8" w:space="0" w:color="4BACC6"/>
                    <w:bottom w:val="single" w:sz="8" w:space="0" w:color="4BACC6"/>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PART KO ET PRO KO</w:t>
                  </w:r>
                </w:p>
              </w:tc>
              <w:tc>
                <w:tcPr>
                  <w:tcW w:w="3200" w:type="dxa"/>
                  <w:tcBorders>
                    <w:top w:val="single" w:sz="8" w:space="0" w:color="4BACC6"/>
                    <w:left w:val="nil"/>
                    <w:bottom w:val="single" w:sz="8" w:space="0" w:color="4BACC6"/>
                    <w:right w:val="nil"/>
                  </w:tcBorders>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c>
                <w:tcPr>
                  <w:tcW w:w="3200" w:type="dxa"/>
                  <w:tcBorders>
                    <w:top w:val="single" w:sz="8" w:space="0" w:color="4BACC6"/>
                    <w:left w:val="nil"/>
                    <w:bottom w:val="single" w:sz="8" w:space="0" w:color="4BACC6"/>
                    <w:right w:val="single" w:sz="8" w:space="0" w:color="4BACC6"/>
                  </w:tcBorders>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r>
            <w:tr w:rsidR="00A33BDB" w:rsidRPr="00A33BDB" w:rsidTr="00107D7A">
              <w:trPr>
                <w:trHeight w:val="159"/>
              </w:trPr>
              <w:tc>
                <w:tcPr>
                  <w:tcW w:w="3200" w:type="dxa"/>
                  <w:tcBorders>
                    <w:top w:val="nil"/>
                    <w:left w:val="single" w:sz="8" w:space="0" w:color="4BACC6"/>
                    <w:bottom w:val="nil"/>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PART KO et PRO OK</w:t>
                  </w:r>
                </w:p>
              </w:tc>
              <w:tc>
                <w:tcPr>
                  <w:tcW w:w="3200" w:type="dxa"/>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c>
                <w:tcPr>
                  <w:tcW w:w="3200" w:type="dxa"/>
                  <w:tcBorders>
                    <w:top w:val="nil"/>
                    <w:left w:val="nil"/>
                    <w:bottom w:val="nil"/>
                    <w:right w:val="single" w:sz="8" w:space="0" w:color="4BACC6"/>
                  </w:tcBorders>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r>
            <w:tr w:rsidR="00A33BDB" w:rsidRPr="00A33BDB" w:rsidTr="00107D7A">
              <w:trPr>
                <w:trHeight w:val="151"/>
              </w:trPr>
              <w:tc>
                <w:tcPr>
                  <w:tcW w:w="3200" w:type="dxa"/>
                  <w:tcBorders>
                    <w:top w:val="single" w:sz="8" w:space="0" w:color="4BACC6"/>
                    <w:left w:val="single" w:sz="8" w:space="0" w:color="4BACC6"/>
                    <w:bottom w:val="single" w:sz="8" w:space="0" w:color="4BACC6"/>
                    <w:right w:val="nil"/>
                  </w:tcBorders>
                  <w:shd w:val="clear" w:color="auto" w:fill="B6DDE8"/>
                  <w:tcMar>
                    <w:top w:w="0" w:type="dxa"/>
                    <w:left w:w="108" w:type="dxa"/>
                    <w:bottom w:w="0" w:type="dxa"/>
                    <w:right w:w="108" w:type="dxa"/>
                  </w:tcMar>
                  <w:hideMark/>
                </w:tcPr>
                <w:p w:rsidR="00A33BDB" w:rsidRPr="00A33BDB" w:rsidRDefault="00A33BDB">
                  <w:pPr>
                    <w:ind w:left="176"/>
                    <w:contextualSpacing/>
                    <w:rPr>
                      <w:rFonts w:ascii="Times New Roman" w:hAnsi="Times New Roman" w:cs="Times New Roman"/>
                      <w:sz w:val="20"/>
                      <w:szCs w:val="20"/>
                    </w:rPr>
                  </w:pPr>
                  <w:r w:rsidRPr="00A33BDB">
                    <w:rPr>
                      <w:rFonts w:ascii="Times New Roman" w:hAnsi="Times New Roman" w:cs="Times New Roman"/>
                      <w:b/>
                      <w:bCs/>
                      <w:sz w:val="20"/>
                      <w:szCs w:val="20"/>
                    </w:rPr>
                    <w:t>DRC PART OK et PRO KO</w:t>
                  </w:r>
                </w:p>
              </w:tc>
              <w:tc>
                <w:tcPr>
                  <w:tcW w:w="3200" w:type="dxa"/>
                  <w:tcBorders>
                    <w:top w:val="single" w:sz="8" w:space="0" w:color="4BACC6"/>
                    <w:left w:val="nil"/>
                    <w:bottom w:val="single" w:sz="8" w:space="0" w:color="4BACC6"/>
                    <w:right w:val="nil"/>
                  </w:tcBorders>
                  <w:tcMar>
                    <w:top w:w="0" w:type="dxa"/>
                    <w:left w:w="108" w:type="dxa"/>
                    <w:bottom w:w="0" w:type="dxa"/>
                    <w:right w:w="108" w:type="dxa"/>
                  </w:tcMar>
                  <w:hideMark/>
                </w:tcPr>
                <w:p w:rsidR="00A33BDB" w:rsidRPr="00A33BDB" w:rsidRDefault="00A33BDB">
                  <w:pPr>
                    <w:ind w:left="176"/>
                    <w:contextualSpacing/>
                    <w:jc w:val="center"/>
                    <w:rPr>
                      <w:rFonts w:ascii="Times New Roman" w:hAnsi="Times New Roman" w:cs="Times New Roman"/>
                      <w:sz w:val="20"/>
                      <w:szCs w:val="20"/>
                    </w:rPr>
                  </w:pPr>
                  <w:r w:rsidRPr="00A33BDB">
                    <w:rPr>
                      <w:rFonts w:ascii="Times New Roman" w:hAnsi="Times New Roman" w:cs="Times New Roman"/>
                      <w:b/>
                      <w:bCs/>
                      <w:sz w:val="20"/>
                      <w:szCs w:val="20"/>
                    </w:rPr>
                    <w:t>X</w:t>
                  </w:r>
                </w:p>
              </w:tc>
              <w:tc>
                <w:tcPr>
                  <w:tcW w:w="3200" w:type="dxa"/>
                  <w:tcBorders>
                    <w:top w:val="single" w:sz="8" w:space="0" w:color="4BACC6"/>
                    <w:left w:val="nil"/>
                    <w:bottom w:val="single" w:sz="8" w:space="0" w:color="4BACC6"/>
                    <w:right w:val="single" w:sz="8" w:space="0" w:color="4BACC6"/>
                  </w:tcBorders>
                  <w:tcMar>
                    <w:top w:w="0" w:type="dxa"/>
                    <w:left w:w="108" w:type="dxa"/>
                    <w:bottom w:w="0" w:type="dxa"/>
                    <w:right w:w="108" w:type="dxa"/>
                  </w:tcMar>
                  <w:hideMark/>
                </w:tcPr>
                <w:p w:rsidR="00A33BDB" w:rsidRPr="00A33BDB" w:rsidRDefault="00A33BDB">
                  <w:pPr>
                    <w:rPr>
                      <w:rFonts w:ascii="Times New Roman" w:eastAsia="Times New Roman" w:hAnsi="Times New Roman" w:cs="Times New Roman"/>
                      <w:sz w:val="20"/>
                      <w:szCs w:val="20"/>
                      <w:lang w:eastAsia="fr-FR"/>
                    </w:rPr>
                  </w:pPr>
                </w:p>
              </w:tc>
            </w:tr>
          </w:tbl>
          <w:p w:rsidR="00A33BDB" w:rsidRPr="00A33BDB" w:rsidRDefault="00A33BDB">
            <w:pPr>
              <w:rPr>
                <w:rFonts w:ascii="Times New Roman" w:hAnsi="Times New Roman" w:cs="Times New Roman"/>
                <w:sz w:val="20"/>
                <w:szCs w:val="20"/>
              </w:rPr>
            </w:pPr>
          </w:p>
          <w:p w:rsidR="00A33BDB" w:rsidRPr="00A33BDB" w:rsidRDefault="00A33BDB">
            <w:pPr>
              <w:rPr>
                <w:rFonts w:ascii="Times New Roman" w:hAnsi="Times New Roman" w:cs="Times New Roman"/>
                <w:sz w:val="20"/>
                <w:szCs w:val="20"/>
              </w:rPr>
            </w:pPr>
          </w:p>
          <w:p w:rsidR="00A33BDB" w:rsidRPr="00A33BDB" w:rsidRDefault="00A33BDB">
            <w:pPr>
              <w:rPr>
                <w:rFonts w:ascii="Times New Roman" w:hAnsi="Times New Roman" w:cs="Times New Roman"/>
                <w:sz w:val="20"/>
                <w:szCs w:val="20"/>
              </w:rPr>
            </w:pPr>
          </w:p>
          <w:p w:rsidR="00A33BDB" w:rsidRPr="00A33BDB" w:rsidRDefault="00A33BDB">
            <w:pPr>
              <w:rPr>
                <w:rFonts w:ascii="Times New Roman" w:hAnsi="Times New Roman" w:cs="Times New Roman"/>
                <w:sz w:val="20"/>
                <w:szCs w:val="20"/>
              </w:rPr>
            </w:pPr>
          </w:p>
          <w:p w:rsidR="00A33BDB" w:rsidRPr="00A33BDB" w:rsidRDefault="00A33BDB">
            <w:pPr>
              <w:rPr>
                <w:rFonts w:ascii="Times New Roman" w:hAnsi="Times New Roman" w:cs="Times New Roman"/>
                <w:sz w:val="20"/>
                <w:szCs w:val="20"/>
              </w:rPr>
            </w:pPr>
          </w:p>
          <w:p w:rsidR="00A33BDB" w:rsidRPr="00A33BDB" w:rsidRDefault="00A33BDB">
            <w:pPr>
              <w:rPr>
                <w:rFonts w:ascii="Times New Roman" w:hAnsi="Times New Roman" w:cs="Times New Roman"/>
                <w:sz w:val="20"/>
                <w:szCs w:val="20"/>
              </w:rPr>
            </w:pPr>
          </w:p>
          <w:p w:rsidR="00A33BDB" w:rsidRDefault="00A33BDB">
            <w:pPr>
              <w:rPr>
                <w:rFonts w:ascii="Times New Roman" w:hAnsi="Times New Roman" w:cs="Times New Roman"/>
                <w:sz w:val="20"/>
                <w:szCs w:val="20"/>
              </w:rPr>
            </w:pPr>
          </w:p>
          <w:p w:rsidR="00107D7A" w:rsidRDefault="00107D7A">
            <w:pPr>
              <w:rPr>
                <w:rFonts w:ascii="Times New Roman" w:hAnsi="Times New Roman" w:cs="Times New Roman"/>
                <w:sz w:val="20"/>
                <w:szCs w:val="20"/>
              </w:rPr>
            </w:pPr>
          </w:p>
          <w:p w:rsidR="00107D7A" w:rsidRDefault="00107D7A">
            <w:pPr>
              <w:rPr>
                <w:rFonts w:ascii="Times New Roman" w:hAnsi="Times New Roman" w:cs="Times New Roman"/>
                <w:sz w:val="20"/>
                <w:szCs w:val="20"/>
              </w:rPr>
            </w:pPr>
          </w:p>
          <w:p w:rsidR="00107D7A" w:rsidRDefault="00107D7A">
            <w:pPr>
              <w:rPr>
                <w:rFonts w:ascii="Times New Roman" w:hAnsi="Times New Roman" w:cs="Times New Roman"/>
                <w:sz w:val="20"/>
                <w:szCs w:val="20"/>
              </w:rPr>
            </w:pPr>
          </w:p>
          <w:p w:rsidR="00107D7A" w:rsidRDefault="00107D7A">
            <w:pPr>
              <w:rPr>
                <w:rFonts w:ascii="Times New Roman" w:hAnsi="Times New Roman" w:cs="Times New Roman"/>
                <w:sz w:val="20"/>
                <w:szCs w:val="20"/>
              </w:rPr>
            </w:pPr>
          </w:p>
          <w:p w:rsidR="00E41EB1" w:rsidRDefault="00E41EB1">
            <w:pPr>
              <w:rPr>
                <w:rFonts w:ascii="Times New Roman" w:hAnsi="Times New Roman" w:cs="Times New Roman"/>
                <w:sz w:val="20"/>
                <w:szCs w:val="20"/>
              </w:rPr>
            </w:pPr>
          </w:p>
          <w:p w:rsidR="00E41EB1" w:rsidRPr="00A33BDB" w:rsidRDefault="00E41EB1">
            <w:pPr>
              <w:rPr>
                <w:rFonts w:ascii="Times New Roman" w:hAnsi="Times New Roman" w:cs="Times New Roman"/>
                <w:sz w:val="20"/>
                <w:szCs w:val="20"/>
              </w:rPr>
            </w:pPr>
          </w:p>
          <w:p w:rsidR="00A33BDB" w:rsidRPr="00107D7A" w:rsidRDefault="00A33BDB" w:rsidP="00A33BDB">
            <w:pPr>
              <w:numPr>
                <w:ilvl w:val="0"/>
                <w:numId w:val="35"/>
              </w:numPr>
              <w:ind w:left="176" w:hanging="176"/>
              <w:contextualSpacing/>
              <w:rPr>
                <w:rFonts w:ascii="Times New Roman" w:hAnsi="Times New Roman" w:cs="Times New Roman"/>
                <w:b/>
                <w:sz w:val="20"/>
                <w:szCs w:val="20"/>
                <w:lang w:eastAsia="fr-FR"/>
              </w:rPr>
            </w:pPr>
            <w:r w:rsidRPr="00107D7A">
              <w:rPr>
                <w:rFonts w:ascii="Times New Roman" w:hAnsi="Times New Roman" w:cs="Times New Roman"/>
                <w:b/>
                <w:sz w:val="20"/>
                <w:szCs w:val="20"/>
                <w:lang w:eastAsia="fr-FR"/>
              </w:rPr>
              <w:t xml:space="preserve">Conséquences </w:t>
            </w:r>
            <w:proofErr w:type="gramStart"/>
            <w:r w:rsidRPr="00107D7A">
              <w:rPr>
                <w:rFonts w:ascii="Times New Roman" w:hAnsi="Times New Roman" w:cs="Times New Roman"/>
                <w:b/>
                <w:sz w:val="20"/>
                <w:szCs w:val="20"/>
                <w:lang w:eastAsia="fr-FR"/>
              </w:rPr>
              <w:t>de la</w:t>
            </w:r>
            <w:proofErr w:type="gramEnd"/>
            <w:r w:rsidRPr="00107D7A">
              <w:rPr>
                <w:rFonts w:ascii="Times New Roman" w:hAnsi="Times New Roman" w:cs="Times New Roman"/>
                <w:b/>
                <w:sz w:val="20"/>
                <w:szCs w:val="20"/>
                <w:lang w:eastAsia="fr-FR"/>
              </w:rPr>
              <w:t xml:space="preserve"> non complétude du DRC :</w:t>
            </w:r>
          </w:p>
          <w:tbl>
            <w:tblPr>
              <w:tblW w:w="9600" w:type="dxa"/>
              <w:jc w:val="center"/>
              <w:tblLayout w:type="fixed"/>
              <w:tblCellMar>
                <w:left w:w="0" w:type="dxa"/>
                <w:right w:w="0" w:type="dxa"/>
              </w:tblCellMar>
              <w:tblLook w:val="04A0" w:firstRow="1" w:lastRow="0" w:firstColumn="1" w:lastColumn="0" w:noHBand="0" w:noVBand="1"/>
            </w:tblPr>
            <w:tblGrid>
              <w:gridCol w:w="4800"/>
              <w:gridCol w:w="4800"/>
            </w:tblGrid>
            <w:tr w:rsidR="00A33BDB" w:rsidRPr="00A33BDB" w:rsidTr="00E41EB1">
              <w:trPr>
                <w:trHeight w:val="257"/>
                <w:jc w:val="center"/>
              </w:trPr>
              <w:tc>
                <w:tcPr>
                  <w:tcW w:w="4800" w:type="dxa"/>
                  <w:tcBorders>
                    <w:top w:val="single" w:sz="8" w:space="0" w:color="4BACC6"/>
                    <w:left w:val="single" w:sz="8" w:space="0" w:color="4BACC6"/>
                    <w:bottom w:val="nil"/>
                    <w:right w:val="nil"/>
                  </w:tcBorders>
                  <w:shd w:val="clear" w:color="auto" w:fill="4BACC6"/>
                  <w:tcMar>
                    <w:top w:w="0" w:type="dxa"/>
                    <w:left w:w="108" w:type="dxa"/>
                    <w:bottom w:w="0" w:type="dxa"/>
                    <w:right w:w="108" w:type="dxa"/>
                  </w:tcMar>
                  <w:vAlign w:val="center"/>
                </w:tcPr>
                <w:p w:rsidR="00A33BDB" w:rsidRPr="00A33BDB" w:rsidRDefault="00A33BDB" w:rsidP="00E41EB1">
                  <w:pPr>
                    <w:ind w:left="176"/>
                    <w:contextualSpacing/>
                    <w:jc w:val="center"/>
                    <w:rPr>
                      <w:rFonts w:ascii="Times New Roman" w:hAnsi="Times New Roman" w:cs="Times New Roman"/>
                      <w:b/>
                      <w:bCs/>
                      <w:color w:val="FFFFFF"/>
                      <w:sz w:val="20"/>
                      <w:szCs w:val="20"/>
                      <w:lang w:eastAsia="fr-FR"/>
                    </w:rPr>
                  </w:pPr>
                  <w:r w:rsidRPr="00A33BDB">
                    <w:rPr>
                      <w:rFonts w:ascii="Times New Roman" w:hAnsi="Times New Roman" w:cs="Times New Roman"/>
                      <w:b/>
                      <w:bCs/>
                      <w:color w:val="FFFFFF"/>
                      <w:sz w:val="20"/>
                      <w:szCs w:val="20"/>
                      <w:lang w:eastAsia="fr-FR"/>
                    </w:rPr>
                    <w:t>COTE CLIENT PRO</w:t>
                  </w:r>
                </w:p>
              </w:tc>
              <w:tc>
                <w:tcPr>
                  <w:tcW w:w="4800" w:type="dxa"/>
                  <w:tcBorders>
                    <w:top w:val="single" w:sz="8" w:space="0" w:color="4BACC6"/>
                    <w:left w:val="nil"/>
                    <w:bottom w:val="nil"/>
                    <w:right w:val="single" w:sz="8" w:space="0" w:color="4BACC6"/>
                  </w:tcBorders>
                  <w:shd w:val="clear" w:color="auto" w:fill="4BACC6"/>
                  <w:tcMar>
                    <w:top w:w="0" w:type="dxa"/>
                    <w:left w:w="108" w:type="dxa"/>
                    <w:bottom w:w="0" w:type="dxa"/>
                    <w:right w:w="108" w:type="dxa"/>
                  </w:tcMar>
                  <w:vAlign w:val="center"/>
                </w:tcPr>
                <w:p w:rsidR="00A33BDB" w:rsidRPr="00A33BDB" w:rsidRDefault="00A33BDB" w:rsidP="00E41EB1">
                  <w:pPr>
                    <w:ind w:left="176"/>
                    <w:contextualSpacing/>
                    <w:jc w:val="center"/>
                    <w:rPr>
                      <w:rFonts w:ascii="Times New Roman" w:hAnsi="Times New Roman" w:cs="Times New Roman"/>
                      <w:b/>
                      <w:bCs/>
                      <w:color w:val="FFFFFF"/>
                      <w:sz w:val="20"/>
                      <w:szCs w:val="20"/>
                      <w:lang w:eastAsia="fr-FR"/>
                    </w:rPr>
                  </w:pPr>
                  <w:r w:rsidRPr="00A33BDB">
                    <w:rPr>
                      <w:rFonts w:ascii="Times New Roman" w:hAnsi="Times New Roman" w:cs="Times New Roman"/>
                      <w:b/>
                      <w:bCs/>
                      <w:color w:val="FFFFFF"/>
                      <w:sz w:val="20"/>
                      <w:szCs w:val="20"/>
                      <w:lang w:eastAsia="fr-FR"/>
                    </w:rPr>
                    <w:t>COTE AGENCE</w:t>
                  </w:r>
                </w:p>
              </w:tc>
            </w:tr>
            <w:tr w:rsidR="00A33BDB" w:rsidRPr="00A33BDB" w:rsidTr="00107D7A">
              <w:trPr>
                <w:trHeight w:val="584"/>
                <w:jc w:val="center"/>
              </w:trPr>
              <w:tc>
                <w:tcPr>
                  <w:tcW w:w="4800" w:type="dxa"/>
                  <w:tcBorders>
                    <w:top w:val="single" w:sz="8" w:space="0" w:color="4BACC6"/>
                    <w:left w:val="single" w:sz="8" w:space="0" w:color="4BACC6"/>
                    <w:bottom w:val="single" w:sz="8" w:space="0" w:color="4BACC6"/>
                    <w:right w:val="nil"/>
                  </w:tcBorders>
                  <w:tcMar>
                    <w:top w:w="0" w:type="dxa"/>
                    <w:left w:w="108" w:type="dxa"/>
                    <w:bottom w:w="0" w:type="dxa"/>
                    <w:right w:w="108" w:type="dxa"/>
                  </w:tcMar>
                  <w:hideMark/>
                </w:tcPr>
                <w:p w:rsidR="00A33BDB" w:rsidRPr="00A33BDB" w:rsidRDefault="00A33BDB" w:rsidP="00A33BDB">
                  <w:pPr>
                    <w:numPr>
                      <w:ilvl w:val="0"/>
                      <w:numId w:val="35"/>
                    </w:numPr>
                    <w:spacing w:after="0" w:line="240" w:lineRule="auto"/>
                    <w:ind w:left="176" w:hanging="176"/>
                    <w:contextualSpacing/>
                    <w:rPr>
                      <w:rFonts w:ascii="Times New Roman" w:hAnsi="Times New Roman" w:cs="Times New Roman"/>
                      <w:sz w:val="20"/>
                      <w:szCs w:val="20"/>
                      <w:lang w:eastAsia="fr-FR"/>
                    </w:rPr>
                  </w:pPr>
                  <w:r w:rsidRPr="00A33BDB">
                    <w:rPr>
                      <w:rFonts w:ascii="Times New Roman" w:hAnsi="Times New Roman" w:cs="Times New Roman"/>
                      <w:sz w:val="20"/>
                      <w:szCs w:val="20"/>
                      <w:lang w:eastAsia="fr-FR"/>
                    </w:rPr>
                    <w:t>Blocage virements DEI pro</w:t>
                  </w:r>
                </w:p>
                <w:p w:rsidR="00A33BDB" w:rsidRPr="00A33BDB" w:rsidRDefault="00A33BDB" w:rsidP="00A33BDB">
                  <w:pPr>
                    <w:numPr>
                      <w:ilvl w:val="0"/>
                      <w:numId w:val="35"/>
                    </w:numPr>
                    <w:spacing w:after="0" w:line="240" w:lineRule="auto"/>
                    <w:ind w:left="176" w:hanging="176"/>
                    <w:contextualSpacing/>
                    <w:rPr>
                      <w:rFonts w:ascii="Times New Roman" w:hAnsi="Times New Roman" w:cs="Times New Roman"/>
                      <w:sz w:val="20"/>
                      <w:szCs w:val="20"/>
                      <w:lang w:eastAsia="fr-FR"/>
                    </w:rPr>
                  </w:pPr>
                  <w:r w:rsidRPr="00A33BDB">
                    <w:rPr>
                      <w:rFonts w:ascii="Times New Roman" w:hAnsi="Times New Roman" w:cs="Times New Roman"/>
                      <w:sz w:val="20"/>
                      <w:szCs w:val="20"/>
                      <w:lang w:eastAsia="fr-FR"/>
                    </w:rPr>
                    <w:t xml:space="preserve">Blocage virements </w:t>
                  </w:r>
                  <w:proofErr w:type="spellStart"/>
                  <w:r w:rsidRPr="00A33BDB">
                    <w:rPr>
                      <w:rFonts w:ascii="Times New Roman" w:hAnsi="Times New Roman" w:cs="Times New Roman"/>
                      <w:sz w:val="20"/>
                      <w:szCs w:val="20"/>
                      <w:lang w:eastAsia="fr-FR"/>
                    </w:rPr>
                    <w:t>CeNet</w:t>
                  </w:r>
                  <w:proofErr w:type="spellEnd"/>
                </w:p>
                <w:p w:rsidR="00A33BDB" w:rsidRPr="00A33BDB" w:rsidRDefault="00A33BDB" w:rsidP="00A33BDB">
                  <w:pPr>
                    <w:numPr>
                      <w:ilvl w:val="0"/>
                      <w:numId w:val="35"/>
                    </w:numPr>
                    <w:spacing w:after="0" w:line="240" w:lineRule="auto"/>
                    <w:ind w:left="176" w:hanging="176"/>
                    <w:contextualSpacing/>
                    <w:rPr>
                      <w:rFonts w:ascii="Times New Roman" w:hAnsi="Times New Roman" w:cs="Times New Roman"/>
                      <w:sz w:val="20"/>
                      <w:szCs w:val="20"/>
                      <w:lang w:eastAsia="fr-FR"/>
                    </w:rPr>
                  </w:pPr>
                  <w:r w:rsidRPr="00A33BDB">
                    <w:rPr>
                      <w:rFonts w:ascii="Times New Roman" w:hAnsi="Times New Roman" w:cs="Times New Roman"/>
                      <w:sz w:val="20"/>
                      <w:szCs w:val="20"/>
                      <w:lang w:eastAsia="fr-FR"/>
                    </w:rPr>
                    <w:t>Blocage virements DEI part</w:t>
                  </w:r>
                </w:p>
              </w:tc>
              <w:tc>
                <w:tcPr>
                  <w:tcW w:w="4800" w:type="dxa"/>
                  <w:tcBorders>
                    <w:top w:val="single" w:sz="8" w:space="0" w:color="4BACC6"/>
                    <w:left w:val="nil"/>
                    <w:bottom w:val="single" w:sz="8" w:space="0" w:color="4BACC6"/>
                    <w:right w:val="single" w:sz="8" w:space="0" w:color="4BACC6"/>
                  </w:tcBorders>
                  <w:tcMar>
                    <w:top w:w="0" w:type="dxa"/>
                    <w:left w:w="108" w:type="dxa"/>
                    <w:bottom w:w="0" w:type="dxa"/>
                    <w:right w:w="108" w:type="dxa"/>
                  </w:tcMar>
                  <w:hideMark/>
                </w:tcPr>
                <w:p w:rsidR="00A33BDB" w:rsidRPr="00A33BDB" w:rsidRDefault="00A33BDB" w:rsidP="00A33BDB">
                  <w:pPr>
                    <w:numPr>
                      <w:ilvl w:val="0"/>
                      <w:numId w:val="35"/>
                    </w:numPr>
                    <w:spacing w:after="0" w:line="240" w:lineRule="auto"/>
                    <w:ind w:left="176" w:hanging="176"/>
                    <w:contextualSpacing/>
                    <w:rPr>
                      <w:rFonts w:ascii="Times New Roman" w:hAnsi="Times New Roman" w:cs="Times New Roman"/>
                      <w:sz w:val="20"/>
                      <w:szCs w:val="20"/>
                      <w:lang w:eastAsia="fr-FR"/>
                    </w:rPr>
                  </w:pPr>
                  <w:r w:rsidRPr="00A33BDB">
                    <w:rPr>
                      <w:rFonts w:ascii="Times New Roman" w:hAnsi="Times New Roman" w:cs="Times New Roman"/>
                      <w:sz w:val="20"/>
                      <w:szCs w:val="20"/>
                      <w:lang w:eastAsia="fr-FR"/>
                    </w:rPr>
                    <w:t>Blocage remise des instruments de paiement par mise en place automatique de l’opposition 0819</w:t>
                  </w:r>
                </w:p>
                <w:p w:rsidR="00A33BDB" w:rsidRPr="00A33BDB" w:rsidRDefault="00A33BDB" w:rsidP="00A33BDB">
                  <w:pPr>
                    <w:numPr>
                      <w:ilvl w:val="0"/>
                      <w:numId w:val="35"/>
                    </w:numPr>
                    <w:spacing w:after="0" w:line="240" w:lineRule="auto"/>
                    <w:ind w:left="176" w:hanging="176"/>
                    <w:contextualSpacing/>
                    <w:rPr>
                      <w:rFonts w:ascii="Times New Roman" w:hAnsi="Times New Roman" w:cs="Times New Roman"/>
                      <w:sz w:val="20"/>
                      <w:szCs w:val="20"/>
                      <w:lang w:eastAsia="fr-FR"/>
                    </w:rPr>
                  </w:pPr>
                  <w:r w:rsidRPr="00A33BDB">
                    <w:rPr>
                      <w:rFonts w:ascii="Times New Roman" w:hAnsi="Times New Roman" w:cs="Times New Roman"/>
                      <w:sz w:val="20"/>
                      <w:szCs w:val="20"/>
                      <w:lang w:eastAsia="fr-FR"/>
                    </w:rPr>
                    <w:t>Génération automatique d’un courrier indiquant le blocage et la nécessité de fournir les éléments justificatifs obligatoires du DRC</w:t>
                  </w:r>
                </w:p>
                <w:p w:rsidR="00A33BDB" w:rsidRPr="00A33BDB" w:rsidRDefault="00A33BDB" w:rsidP="00A33BDB">
                  <w:pPr>
                    <w:numPr>
                      <w:ilvl w:val="0"/>
                      <w:numId w:val="35"/>
                    </w:numPr>
                    <w:spacing w:after="0" w:line="240" w:lineRule="auto"/>
                    <w:ind w:left="176" w:hanging="176"/>
                    <w:contextualSpacing/>
                    <w:rPr>
                      <w:rFonts w:ascii="Times New Roman" w:hAnsi="Times New Roman" w:cs="Times New Roman"/>
                      <w:sz w:val="20"/>
                      <w:szCs w:val="20"/>
                      <w:lang w:eastAsia="fr-FR"/>
                    </w:rPr>
                  </w:pPr>
                  <w:r w:rsidRPr="00A33BDB">
                    <w:rPr>
                      <w:rFonts w:ascii="Times New Roman" w:hAnsi="Times New Roman" w:cs="Times New Roman"/>
                      <w:sz w:val="20"/>
                      <w:szCs w:val="20"/>
                      <w:lang w:eastAsia="fr-FR"/>
                    </w:rPr>
                    <w:t>Blocage commande carte/chéquier</w:t>
                  </w:r>
                </w:p>
              </w:tc>
            </w:tr>
          </w:tbl>
          <w:p w:rsidR="00A33BDB" w:rsidRPr="00A33BDB" w:rsidRDefault="00A33BDB">
            <w:pPr>
              <w:rPr>
                <w:rFonts w:ascii="Times New Roman" w:hAnsi="Times New Roman" w:cs="Times New Roman"/>
                <w:sz w:val="20"/>
                <w:szCs w:val="20"/>
              </w:rPr>
            </w:pPr>
          </w:p>
        </w:tc>
      </w:tr>
      <w:tr w:rsidR="000346E4" w:rsidRPr="00E81F6E" w:rsidTr="00AF3BE3">
        <w:trPr>
          <w:trHeight w:val="248"/>
        </w:trPr>
        <w:tc>
          <w:tcPr>
            <w:tcW w:w="1560" w:type="dxa"/>
            <w:tcBorders>
              <w:bottom w:val="single" w:sz="4" w:space="0" w:color="auto"/>
            </w:tcBorders>
          </w:tcPr>
          <w:p w:rsidR="000346E4" w:rsidRDefault="000346E4">
            <w:r w:rsidRPr="007B6E34">
              <w:rPr>
                <w:rFonts w:ascii="Times New Roman" w:hAnsi="Times New Roman" w:cs="Times New Roman"/>
                <w:b/>
                <w:bCs/>
                <w:sz w:val="20"/>
                <w:szCs w:val="20"/>
              </w:rPr>
              <w:lastRenderedPageBreak/>
              <w:t>Com. DMP</w:t>
            </w:r>
          </w:p>
        </w:tc>
        <w:tc>
          <w:tcPr>
            <w:tcW w:w="1843" w:type="dxa"/>
            <w:tcBorders>
              <w:bottom w:val="single" w:sz="4" w:space="0" w:color="auto"/>
            </w:tcBorders>
          </w:tcPr>
          <w:p w:rsidR="000346E4" w:rsidRPr="000346E4" w:rsidRDefault="000346E4">
            <w:pPr>
              <w:rPr>
                <w:rFonts w:ascii="Times New Roman" w:hAnsi="Times New Roman" w:cs="Times New Roman"/>
                <w:b/>
                <w:bCs/>
                <w:sz w:val="20"/>
                <w:szCs w:val="20"/>
              </w:rPr>
            </w:pPr>
            <w:r w:rsidRPr="000346E4">
              <w:rPr>
                <w:rFonts w:ascii="Times New Roman" w:hAnsi="Times New Roman" w:cs="Times New Roman"/>
                <w:b/>
                <w:bCs/>
                <w:sz w:val="20"/>
                <w:szCs w:val="20"/>
              </w:rPr>
              <w:t>Process de contractualisation CE NET – mise à jour des fiches de liaison</w:t>
            </w:r>
          </w:p>
        </w:tc>
        <w:tc>
          <w:tcPr>
            <w:tcW w:w="12332" w:type="dxa"/>
            <w:tcBorders>
              <w:bottom w:val="single" w:sz="4" w:space="0" w:color="auto"/>
            </w:tcBorders>
            <w:shd w:val="clear" w:color="auto" w:fill="auto"/>
          </w:tcPr>
          <w:p w:rsidR="000346E4" w:rsidRPr="000346E4" w:rsidRDefault="000346E4"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 xml:space="preserve">Depuis le 19 février, </w:t>
            </w:r>
            <w:r w:rsidRPr="000346E4">
              <w:rPr>
                <w:rFonts w:ascii="Times New Roman" w:hAnsi="Times New Roman" w:cs="Times New Roman"/>
                <w:b/>
                <w:bCs/>
                <w:color w:val="000000"/>
                <w:sz w:val="20"/>
                <w:szCs w:val="20"/>
                <w:lang w:eastAsia="fr-FR"/>
              </w:rPr>
              <w:t>les créations</w:t>
            </w:r>
            <w:r w:rsidRPr="000346E4">
              <w:rPr>
                <w:rFonts w:ascii="Times New Roman" w:hAnsi="Times New Roman" w:cs="Times New Roman"/>
                <w:color w:val="000000"/>
                <w:sz w:val="20"/>
                <w:szCs w:val="20"/>
                <w:lang w:eastAsia="fr-FR"/>
              </w:rPr>
              <w:t xml:space="preserve"> </w:t>
            </w:r>
            <w:r w:rsidRPr="000346E4">
              <w:rPr>
                <w:rFonts w:ascii="Times New Roman" w:hAnsi="Times New Roman" w:cs="Times New Roman"/>
                <w:b/>
                <w:bCs/>
                <w:color w:val="000000"/>
                <w:sz w:val="20"/>
                <w:szCs w:val="20"/>
                <w:lang w:eastAsia="fr-FR"/>
              </w:rPr>
              <w:t>d’un abonnement EDI</w:t>
            </w:r>
            <w:r w:rsidRPr="000346E4">
              <w:rPr>
                <w:rFonts w:ascii="Times New Roman" w:hAnsi="Times New Roman" w:cs="Times New Roman"/>
                <w:color w:val="000000"/>
                <w:sz w:val="20"/>
                <w:szCs w:val="20"/>
                <w:lang w:eastAsia="fr-FR"/>
              </w:rPr>
              <w:t xml:space="preserve"> s’effectuent selon le nouveau process Ce net-Remises et Ce net EDI (EBICS T ou EBICS TS). Les fiches de liaison adaptées à Ce net sont désormais</w:t>
            </w:r>
            <w:r>
              <w:rPr>
                <w:rFonts w:ascii="Times New Roman" w:hAnsi="Times New Roman" w:cs="Times New Roman"/>
                <w:color w:val="000000"/>
                <w:sz w:val="20"/>
                <w:szCs w:val="20"/>
                <w:lang w:eastAsia="fr-FR"/>
              </w:rPr>
              <w:t xml:space="preserve"> insérées dans les prestations Sage BO</w:t>
            </w:r>
            <w:r w:rsidRPr="000346E4">
              <w:rPr>
                <w:rFonts w:ascii="Times New Roman" w:hAnsi="Times New Roman" w:cs="Times New Roman"/>
                <w:color w:val="000000"/>
                <w:sz w:val="20"/>
                <w:szCs w:val="20"/>
                <w:lang w:eastAsia="fr-FR"/>
              </w:rPr>
              <w:t xml:space="preserve"> et sont disponibles sous AGIL.</w:t>
            </w:r>
          </w:p>
          <w:p w:rsidR="000346E4" w:rsidRPr="000346E4" w:rsidRDefault="000346E4" w:rsidP="000346E4">
            <w:pPr>
              <w:jc w:val="both"/>
              <w:rPr>
                <w:rFonts w:ascii="Times New Roman" w:hAnsi="Times New Roman" w:cs="Times New Roman"/>
                <w:sz w:val="20"/>
                <w:szCs w:val="20"/>
              </w:rPr>
            </w:pPr>
            <w:r w:rsidRPr="000346E4">
              <w:rPr>
                <w:rFonts w:ascii="Times New Roman" w:hAnsi="Times New Roman" w:cs="Times New Roman"/>
                <w:sz w:val="20"/>
                <w:szCs w:val="20"/>
                <w:lang w:eastAsia="fr-FR"/>
              </w:rPr>
              <w:fldChar w:fldCharType="begin"/>
            </w:r>
            <w:r w:rsidRPr="000346E4">
              <w:rPr>
                <w:rFonts w:ascii="Times New Roman" w:hAnsi="Times New Roman" w:cs="Times New Roman"/>
                <w:sz w:val="20"/>
                <w:szCs w:val="20"/>
                <w:lang w:eastAsia="fr-FR"/>
              </w:rPr>
              <w:instrText xml:space="preserve"> INCLUDEPICTURE  "cid:image001.png@01D3BC40.569A54C0" \* MERGEFORMATINET </w:instrText>
            </w:r>
            <w:r w:rsidRPr="000346E4">
              <w:rPr>
                <w:rFonts w:ascii="Times New Roman" w:hAnsi="Times New Roman" w:cs="Times New Roman"/>
                <w:sz w:val="20"/>
                <w:szCs w:val="20"/>
                <w:lang w:eastAsia="fr-FR"/>
              </w:rPr>
              <w:fldChar w:fldCharType="separate"/>
            </w:r>
            <w:r w:rsidR="00464508">
              <w:rPr>
                <w:rFonts w:ascii="Times New Roman" w:hAnsi="Times New Roman" w:cs="Times New Roman"/>
                <w:sz w:val="20"/>
                <w:szCs w:val="20"/>
                <w:lang w:eastAsia="fr-FR"/>
              </w:rPr>
              <w:fldChar w:fldCharType="begin"/>
            </w:r>
            <w:r w:rsidR="00464508">
              <w:rPr>
                <w:rFonts w:ascii="Times New Roman" w:hAnsi="Times New Roman" w:cs="Times New Roman"/>
                <w:sz w:val="20"/>
                <w:szCs w:val="20"/>
                <w:lang w:eastAsia="fr-FR"/>
              </w:rPr>
              <w:instrText xml:space="preserve"> INCLUDEPICTURE  "cid:image001.png@01D3BC40.569A54C0" \* MERGEFORMATINET </w:instrText>
            </w:r>
            <w:r w:rsidR="00464508">
              <w:rPr>
                <w:rFonts w:ascii="Times New Roman" w:hAnsi="Times New Roman" w:cs="Times New Roman"/>
                <w:sz w:val="20"/>
                <w:szCs w:val="20"/>
                <w:lang w:eastAsia="fr-FR"/>
              </w:rPr>
              <w:fldChar w:fldCharType="separate"/>
            </w:r>
            <w:r w:rsidR="00E95130">
              <w:rPr>
                <w:rFonts w:ascii="Times New Roman" w:hAnsi="Times New Roman" w:cs="Times New Roman"/>
                <w:sz w:val="20"/>
                <w:szCs w:val="20"/>
                <w:lang w:eastAsia="fr-FR"/>
              </w:rPr>
              <w:fldChar w:fldCharType="begin"/>
            </w:r>
            <w:r w:rsidR="00E95130">
              <w:rPr>
                <w:rFonts w:ascii="Times New Roman" w:hAnsi="Times New Roman" w:cs="Times New Roman"/>
                <w:sz w:val="20"/>
                <w:szCs w:val="20"/>
                <w:lang w:eastAsia="fr-FR"/>
              </w:rPr>
              <w:instrText xml:space="preserve"> INCLUDEPICTURE  "cid:image001.png@01D3BC40.569A54C0" \* MERGEFORMATINET </w:instrText>
            </w:r>
            <w:r w:rsidR="00E95130">
              <w:rPr>
                <w:rFonts w:ascii="Times New Roman" w:hAnsi="Times New Roman" w:cs="Times New Roman"/>
                <w:sz w:val="20"/>
                <w:szCs w:val="20"/>
                <w:lang w:eastAsia="fr-FR"/>
              </w:rPr>
              <w:fldChar w:fldCharType="separate"/>
            </w:r>
            <w:r w:rsidR="0033324C">
              <w:rPr>
                <w:rFonts w:ascii="Times New Roman" w:hAnsi="Times New Roman" w:cs="Times New Roman"/>
                <w:sz w:val="20"/>
                <w:szCs w:val="20"/>
                <w:lang w:eastAsia="fr-FR"/>
              </w:rPr>
              <w:fldChar w:fldCharType="begin"/>
            </w:r>
            <w:r w:rsidR="0033324C">
              <w:rPr>
                <w:rFonts w:ascii="Times New Roman" w:hAnsi="Times New Roman" w:cs="Times New Roman"/>
                <w:sz w:val="20"/>
                <w:szCs w:val="20"/>
                <w:lang w:eastAsia="fr-FR"/>
              </w:rPr>
              <w:instrText xml:space="preserve"> </w:instrText>
            </w:r>
            <w:r w:rsidR="0033324C">
              <w:rPr>
                <w:rFonts w:ascii="Times New Roman" w:hAnsi="Times New Roman" w:cs="Times New Roman"/>
                <w:sz w:val="20"/>
                <w:szCs w:val="20"/>
                <w:lang w:eastAsia="fr-FR"/>
              </w:rPr>
              <w:instrText>INCLUDEPICTURE  "cid:image001.png@01D3BC40.569A54C0" \* MERGEFORMATINET</w:instrText>
            </w:r>
            <w:r w:rsidR="0033324C">
              <w:rPr>
                <w:rFonts w:ascii="Times New Roman" w:hAnsi="Times New Roman" w:cs="Times New Roman"/>
                <w:sz w:val="20"/>
                <w:szCs w:val="20"/>
                <w:lang w:eastAsia="fr-FR"/>
              </w:rPr>
              <w:instrText xml:space="preserve"> </w:instrText>
            </w:r>
            <w:r w:rsidR="0033324C">
              <w:rPr>
                <w:rFonts w:ascii="Times New Roman" w:hAnsi="Times New Roman" w:cs="Times New Roman"/>
                <w:sz w:val="20"/>
                <w:szCs w:val="20"/>
                <w:lang w:eastAsia="fr-FR"/>
              </w:rPr>
              <w:fldChar w:fldCharType="separate"/>
            </w:r>
            <w:r w:rsidR="00B15426">
              <w:rPr>
                <w:rFonts w:ascii="Times New Roman" w:hAnsi="Times New Roman" w:cs="Times New Roman"/>
                <w:sz w:val="20"/>
                <w:szCs w:val="20"/>
                <w:lang w:eastAsia="fr-FR"/>
              </w:rPr>
              <w:pict w14:anchorId="1B0ABE49">
                <v:shape id="Image 1" o:spid="_x0000_i1025" type="#_x0000_t75" alt="cid:image001.png@01D3BC40.569A54C0" style="width:451pt;height:42.1pt">
                  <v:imagedata r:id="rId26" r:href="rId27"/>
                </v:shape>
              </w:pict>
            </w:r>
            <w:r w:rsidR="0033324C">
              <w:rPr>
                <w:rFonts w:ascii="Times New Roman" w:hAnsi="Times New Roman" w:cs="Times New Roman"/>
                <w:sz w:val="20"/>
                <w:szCs w:val="20"/>
                <w:lang w:eastAsia="fr-FR"/>
              </w:rPr>
              <w:fldChar w:fldCharType="end"/>
            </w:r>
            <w:r w:rsidR="00E95130">
              <w:rPr>
                <w:rFonts w:ascii="Times New Roman" w:hAnsi="Times New Roman" w:cs="Times New Roman"/>
                <w:sz w:val="20"/>
                <w:szCs w:val="20"/>
                <w:lang w:eastAsia="fr-FR"/>
              </w:rPr>
              <w:fldChar w:fldCharType="end"/>
            </w:r>
            <w:r w:rsidR="00464508">
              <w:rPr>
                <w:rFonts w:ascii="Times New Roman" w:hAnsi="Times New Roman" w:cs="Times New Roman"/>
                <w:sz w:val="20"/>
                <w:szCs w:val="20"/>
                <w:lang w:eastAsia="fr-FR"/>
              </w:rPr>
              <w:fldChar w:fldCharType="end"/>
            </w:r>
            <w:r w:rsidRPr="000346E4">
              <w:rPr>
                <w:rFonts w:ascii="Times New Roman" w:hAnsi="Times New Roman" w:cs="Times New Roman"/>
                <w:sz w:val="20"/>
                <w:szCs w:val="20"/>
                <w:lang w:eastAsia="fr-FR"/>
              </w:rPr>
              <w:fldChar w:fldCharType="end"/>
            </w:r>
          </w:p>
          <w:p w:rsidR="000346E4" w:rsidRPr="000346E4" w:rsidRDefault="000346E4"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 xml:space="preserve">La migration du stock contrats EDI étant fixée au 8 avril, </w:t>
            </w:r>
            <w:r w:rsidRPr="000346E4">
              <w:rPr>
                <w:rFonts w:ascii="Times New Roman" w:hAnsi="Times New Roman" w:cs="Times New Roman"/>
                <w:b/>
                <w:bCs/>
                <w:color w:val="000000"/>
                <w:sz w:val="20"/>
                <w:szCs w:val="20"/>
                <w:lang w:eastAsia="fr-FR"/>
              </w:rPr>
              <w:t>les demandes de modification d’un abonnement EDI</w:t>
            </w:r>
            <w:r w:rsidRPr="000346E4">
              <w:rPr>
                <w:rFonts w:ascii="Times New Roman" w:hAnsi="Times New Roman" w:cs="Times New Roman"/>
                <w:color w:val="000000"/>
                <w:sz w:val="20"/>
                <w:szCs w:val="20"/>
                <w:lang w:eastAsia="fr-FR"/>
              </w:rPr>
              <w:t xml:space="preserve"> continuent à s’effectuer selon l’ancien process EDI. Les fiches de liaison EDI correspondantes seront donc supprimées dans sage </w:t>
            </w:r>
            <w:proofErr w:type="spellStart"/>
            <w:r w:rsidRPr="000346E4">
              <w:rPr>
                <w:rFonts w:ascii="Times New Roman" w:hAnsi="Times New Roman" w:cs="Times New Roman"/>
                <w:color w:val="000000"/>
                <w:sz w:val="20"/>
                <w:szCs w:val="20"/>
                <w:lang w:eastAsia="fr-FR"/>
              </w:rPr>
              <w:t>bo</w:t>
            </w:r>
            <w:proofErr w:type="spellEnd"/>
            <w:r w:rsidRPr="000346E4">
              <w:rPr>
                <w:rFonts w:ascii="Times New Roman" w:hAnsi="Times New Roman" w:cs="Times New Roman"/>
                <w:color w:val="000000"/>
                <w:sz w:val="20"/>
                <w:szCs w:val="20"/>
                <w:lang w:eastAsia="fr-FR"/>
              </w:rPr>
              <w:t xml:space="preserve"> à compter </w:t>
            </w:r>
            <w:r w:rsidRPr="000346E4">
              <w:rPr>
                <w:rFonts w:ascii="Times New Roman" w:hAnsi="Times New Roman" w:cs="Times New Roman"/>
                <w:sz w:val="20"/>
                <w:szCs w:val="20"/>
                <w:lang w:eastAsia="fr-FR"/>
              </w:rPr>
              <w:t>du 08 avril.</w:t>
            </w:r>
          </w:p>
          <w:p w:rsidR="000346E4" w:rsidRPr="000346E4" w:rsidRDefault="000346E4"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L’unité EDI &amp; Relations Prestataires reste à votre entière disposition pour de plus amples renseignements si nécessaire et vous aider pour la saisie des fiches de liaison.</w:t>
            </w:r>
          </w:p>
          <w:p w:rsidR="000346E4" w:rsidRPr="000346E4" w:rsidRDefault="000346E4" w:rsidP="000346E4">
            <w:pPr>
              <w:numPr>
                <w:ilvl w:val="0"/>
                <w:numId w:val="35"/>
              </w:numPr>
              <w:ind w:left="176" w:hanging="176"/>
              <w:contextualSpacing/>
              <w:jc w:val="both"/>
              <w:rPr>
                <w:rFonts w:ascii="Times New Roman" w:hAnsi="Times New Roman" w:cs="Times New Roman"/>
                <w:color w:val="000000"/>
                <w:sz w:val="20"/>
                <w:szCs w:val="20"/>
                <w:lang w:eastAsia="fr-FR"/>
              </w:rPr>
            </w:pPr>
            <w:r w:rsidRPr="000346E4">
              <w:rPr>
                <w:rFonts w:ascii="Times New Roman" w:hAnsi="Times New Roman" w:cs="Times New Roman"/>
                <w:color w:val="000000"/>
                <w:sz w:val="20"/>
                <w:szCs w:val="20"/>
                <w:lang w:eastAsia="fr-FR"/>
              </w:rPr>
              <w:t>Pour les joindre :</w:t>
            </w:r>
            <w:r w:rsidRPr="000346E4">
              <w:rPr>
                <w:rFonts w:ascii="Times New Roman" w:hAnsi="Times New Roman" w:cs="Times New Roman"/>
                <w:sz w:val="20"/>
                <w:szCs w:val="20"/>
              </w:rPr>
              <w:t xml:space="preserve"> </w:t>
            </w:r>
            <w:hyperlink r:id="rId28" w:history="1">
              <w:r w:rsidRPr="000346E4">
                <w:rPr>
                  <w:rStyle w:val="Lienhypertexte"/>
                  <w:rFonts w:ascii="Times New Roman" w:hAnsi="Times New Roman" w:cs="Times New Roman"/>
                  <w:sz w:val="20"/>
                  <w:szCs w:val="20"/>
                </w:rPr>
                <w:t>celca-b-dsb-production-flux@celca-epargne.fr</w:t>
              </w:r>
            </w:hyperlink>
            <w:r w:rsidRPr="000346E4">
              <w:rPr>
                <w:rFonts w:ascii="Times New Roman" w:hAnsi="Times New Roman" w:cs="Times New Roman"/>
                <w:sz w:val="20"/>
                <w:szCs w:val="20"/>
              </w:rPr>
              <w:t xml:space="preserve"> ou Assistance Téléphonique Flux au </w:t>
            </w:r>
            <w:r w:rsidRPr="000346E4">
              <w:rPr>
                <w:rFonts w:ascii="Times New Roman" w:hAnsi="Times New Roman" w:cs="Times New Roman"/>
                <w:color w:val="000000"/>
                <w:sz w:val="20"/>
                <w:szCs w:val="20"/>
              </w:rPr>
              <w:t>03.26.79.79.50</w:t>
            </w:r>
          </w:p>
        </w:tc>
      </w:tr>
      <w:tr w:rsidR="003D5BAA" w:rsidRPr="00E81F6E" w:rsidTr="003D5BAA">
        <w:trPr>
          <w:trHeight w:val="248"/>
        </w:trPr>
        <w:tc>
          <w:tcPr>
            <w:tcW w:w="15735" w:type="dxa"/>
            <w:gridSpan w:val="3"/>
            <w:tcBorders>
              <w:bottom w:val="single" w:sz="4" w:space="0" w:color="auto"/>
            </w:tcBorders>
            <w:shd w:val="clear" w:color="auto" w:fill="BFBFBF" w:themeFill="background1" w:themeFillShade="BF"/>
          </w:tcPr>
          <w:p w:rsidR="003D5BAA" w:rsidRPr="003D5BAA" w:rsidRDefault="003D5BAA" w:rsidP="003D5BAA">
            <w:pPr>
              <w:contextualSpacing/>
              <w:jc w:val="center"/>
              <w:rPr>
                <w:rFonts w:ascii="Times New Roman" w:hAnsi="Times New Roman" w:cs="Times New Roman"/>
                <w:b/>
                <w:color w:val="000000"/>
                <w:sz w:val="20"/>
                <w:szCs w:val="20"/>
                <w:lang w:eastAsia="fr-FR"/>
              </w:rPr>
            </w:pPr>
            <w:bookmarkStart w:id="0" w:name="_GoBack"/>
            <w:bookmarkEnd w:id="0"/>
            <w:r w:rsidRPr="003D5BAA">
              <w:rPr>
                <w:rFonts w:ascii="Times New Roman" w:hAnsi="Times New Roman" w:cs="Times New Roman"/>
                <w:b/>
                <w:color w:val="000000"/>
                <w:sz w:val="20"/>
                <w:szCs w:val="20"/>
                <w:lang w:eastAsia="fr-FR"/>
              </w:rPr>
              <w:t>Multicanal</w:t>
            </w:r>
          </w:p>
        </w:tc>
      </w:tr>
      <w:tr w:rsidR="00E15D23" w:rsidRPr="00E81F6E" w:rsidTr="00AF3BE3">
        <w:trPr>
          <w:trHeight w:val="248"/>
        </w:trPr>
        <w:tc>
          <w:tcPr>
            <w:tcW w:w="1560" w:type="dxa"/>
            <w:tcBorders>
              <w:bottom w:val="single" w:sz="4" w:space="0" w:color="auto"/>
            </w:tcBorders>
          </w:tcPr>
          <w:p w:rsidR="00E15D23" w:rsidRDefault="00E15D23">
            <w:r w:rsidRPr="006C727B">
              <w:rPr>
                <w:rFonts w:ascii="Times New Roman" w:hAnsi="Times New Roman" w:cs="Times New Roman"/>
                <w:b/>
                <w:bCs/>
                <w:sz w:val="20"/>
                <w:szCs w:val="20"/>
              </w:rPr>
              <w:t>Com. DMA</w:t>
            </w:r>
          </w:p>
        </w:tc>
        <w:tc>
          <w:tcPr>
            <w:tcW w:w="1843" w:type="dxa"/>
            <w:tcBorders>
              <w:bottom w:val="single" w:sz="4" w:space="0" w:color="auto"/>
            </w:tcBorders>
          </w:tcPr>
          <w:p w:rsidR="00E15D23" w:rsidRPr="00E15D23" w:rsidRDefault="00E15D23" w:rsidP="008E299A">
            <w:pPr>
              <w:rPr>
                <w:rFonts w:ascii="Times New Roman" w:hAnsi="Times New Roman" w:cs="Times New Roman"/>
                <w:b/>
                <w:sz w:val="20"/>
                <w:szCs w:val="20"/>
              </w:rPr>
            </w:pPr>
            <w:r>
              <w:rPr>
                <w:rFonts w:ascii="Times New Roman" w:hAnsi="Times New Roman" w:cs="Times New Roman"/>
                <w:b/>
                <w:sz w:val="20"/>
                <w:szCs w:val="20"/>
              </w:rPr>
              <w:t>C</w:t>
            </w:r>
            <w:r w:rsidRPr="00E15D23">
              <w:rPr>
                <w:rFonts w:ascii="Times New Roman" w:hAnsi="Times New Roman" w:cs="Times New Roman"/>
                <w:b/>
                <w:sz w:val="20"/>
                <w:szCs w:val="20"/>
              </w:rPr>
              <w:t xml:space="preserve">ollecte des coordonnées N° de portables, email et </w:t>
            </w:r>
            <w:proofErr w:type="spellStart"/>
            <w:r w:rsidRPr="00E15D23">
              <w:rPr>
                <w:rFonts w:ascii="Times New Roman" w:hAnsi="Times New Roman" w:cs="Times New Roman"/>
                <w:b/>
                <w:sz w:val="20"/>
                <w:szCs w:val="20"/>
              </w:rPr>
              <w:t>opt</w:t>
            </w:r>
            <w:proofErr w:type="spellEnd"/>
            <w:r w:rsidRPr="00E15D23">
              <w:rPr>
                <w:rFonts w:ascii="Times New Roman" w:hAnsi="Times New Roman" w:cs="Times New Roman"/>
                <w:b/>
                <w:sz w:val="20"/>
                <w:szCs w:val="20"/>
              </w:rPr>
              <w:t xml:space="preserve"> in</w:t>
            </w:r>
          </w:p>
          <w:p w:rsidR="00E15D23" w:rsidRPr="00E15D23" w:rsidRDefault="00E15D23" w:rsidP="008E299A">
            <w:pPr>
              <w:rPr>
                <w:rFonts w:ascii="Times New Roman" w:hAnsi="Times New Roman" w:cs="Times New Roman"/>
                <w:b/>
                <w:sz w:val="20"/>
                <w:szCs w:val="20"/>
              </w:rPr>
            </w:pPr>
          </w:p>
          <w:p w:rsidR="00E15D23" w:rsidRPr="00E15D23" w:rsidRDefault="00E15D23" w:rsidP="008E299A">
            <w:pPr>
              <w:rPr>
                <w:rFonts w:ascii="Times New Roman" w:hAnsi="Times New Roman" w:cs="Times New Roman"/>
                <w:sz w:val="20"/>
                <w:szCs w:val="20"/>
              </w:rPr>
            </w:pPr>
          </w:p>
        </w:tc>
        <w:tc>
          <w:tcPr>
            <w:tcW w:w="12332" w:type="dxa"/>
            <w:tcBorders>
              <w:bottom w:val="single" w:sz="4" w:space="0" w:color="auto"/>
            </w:tcBorders>
            <w:shd w:val="clear" w:color="auto" w:fill="auto"/>
          </w:tcPr>
          <w:p w:rsidR="00E15D23" w:rsidRPr="00E15D23" w:rsidRDefault="00E15D23" w:rsidP="00E15D23">
            <w:pPr>
              <w:pStyle w:val="wordsection1"/>
              <w:numPr>
                <w:ilvl w:val="0"/>
                <w:numId w:val="23"/>
              </w:numPr>
              <w:spacing w:before="0" w:beforeAutospacing="0" w:after="0" w:afterAutospacing="0"/>
              <w:ind w:left="187" w:hanging="187"/>
              <w:jc w:val="both"/>
              <w:rPr>
                <w:sz w:val="20"/>
                <w:szCs w:val="20"/>
              </w:rPr>
            </w:pPr>
            <w:r w:rsidRPr="00E15D23">
              <w:rPr>
                <w:sz w:val="20"/>
                <w:szCs w:val="20"/>
              </w:rPr>
              <w:t xml:space="preserve">La collecte et la fiabilisation de ces données sont des priorités pour notre entreprise, afin de </w:t>
            </w:r>
            <w:r w:rsidRPr="00E15D23">
              <w:rPr>
                <w:color w:val="000000"/>
                <w:sz w:val="20"/>
                <w:szCs w:val="20"/>
              </w:rPr>
              <w:t>nous permettre d’être une entreprise numérique de 1</w:t>
            </w:r>
            <w:r w:rsidRPr="00E15D23">
              <w:rPr>
                <w:color w:val="000000"/>
                <w:sz w:val="20"/>
                <w:szCs w:val="20"/>
                <w:vertAlign w:val="superscript"/>
              </w:rPr>
              <w:t>er</w:t>
            </w:r>
            <w:r w:rsidRPr="00E15D23">
              <w:rPr>
                <w:color w:val="000000"/>
                <w:sz w:val="20"/>
                <w:szCs w:val="20"/>
              </w:rPr>
              <w:t xml:space="preserve"> ordre, en connexion avec les usages de nos clients</w:t>
            </w:r>
            <w:r w:rsidRPr="00E15D23">
              <w:rPr>
                <w:sz w:val="20"/>
                <w:szCs w:val="20"/>
              </w:rPr>
              <w:t>.</w:t>
            </w:r>
            <w:r w:rsidR="000346E4">
              <w:rPr>
                <w:sz w:val="20"/>
                <w:szCs w:val="20"/>
              </w:rPr>
              <w:t xml:space="preserve"> </w:t>
            </w:r>
          </w:p>
          <w:p w:rsidR="00E15D23" w:rsidRPr="00E15D23" w:rsidRDefault="00E15D23" w:rsidP="00E15D23">
            <w:pPr>
              <w:pStyle w:val="wordsection1"/>
              <w:numPr>
                <w:ilvl w:val="0"/>
                <w:numId w:val="23"/>
              </w:numPr>
              <w:spacing w:before="0" w:beforeAutospacing="0" w:after="0" w:afterAutospacing="0"/>
              <w:ind w:left="187" w:hanging="187"/>
              <w:jc w:val="both"/>
              <w:rPr>
                <w:b/>
                <w:color w:val="000000"/>
                <w:sz w:val="20"/>
                <w:szCs w:val="20"/>
                <w:u w:val="single"/>
              </w:rPr>
            </w:pPr>
            <w:r w:rsidRPr="00E15D23">
              <w:rPr>
                <w:b/>
                <w:color w:val="000000"/>
                <w:sz w:val="20"/>
                <w:szCs w:val="20"/>
                <w:u w:val="single"/>
              </w:rPr>
              <w:t>Rappel de 2 points essentiels :</w:t>
            </w:r>
          </w:p>
          <w:p w:rsidR="00E15D23" w:rsidRPr="00E15D23" w:rsidRDefault="00E15D23" w:rsidP="00E15D23">
            <w:pPr>
              <w:pStyle w:val="Paragraphedeliste"/>
              <w:numPr>
                <w:ilvl w:val="0"/>
                <w:numId w:val="32"/>
              </w:numPr>
              <w:autoSpaceDE w:val="0"/>
              <w:autoSpaceDN w:val="0"/>
              <w:ind w:left="360"/>
              <w:contextualSpacing w:val="0"/>
              <w:jc w:val="both"/>
              <w:rPr>
                <w:rFonts w:ascii="Times New Roman" w:hAnsi="Times New Roman" w:cs="Times New Roman"/>
                <w:sz w:val="20"/>
                <w:szCs w:val="20"/>
              </w:rPr>
            </w:pPr>
            <w:r w:rsidRPr="00E15D23">
              <w:rPr>
                <w:rFonts w:ascii="Times New Roman" w:hAnsi="Times New Roman" w:cs="Times New Roman"/>
                <w:b/>
                <w:bCs/>
                <w:sz w:val="20"/>
                <w:szCs w:val="20"/>
              </w:rPr>
              <w:t xml:space="preserve">Le numéro de téléphone portable </w:t>
            </w:r>
            <w:r w:rsidRPr="00E15D23">
              <w:rPr>
                <w:rFonts w:ascii="Times New Roman" w:hAnsi="Times New Roman" w:cs="Times New Roman"/>
                <w:color w:val="000000"/>
                <w:sz w:val="20"/>
                <w:szCs w:val="20"/>
              </w:rPr>
              <w:t xml:space="preserve">appartient juridiquement à une et une seule personne. </w:t>
            </w:r>
            <w:r w:rsidRPr="00E15D23">
              <w:rPr>
                <w:rFonts w:ascii="Times New Roman" w:hAnsi="Times New Roman" w:cs="Times New Roman"/>
                <w:b/>
                <w:sz w:val="20"/>
                <w:szCs w:val="20"/>
              </w:rPr>
              <w:t>Il est interdit de dupliquer la saisie d’un numéro de téléphone portable sur d'autres personnes (même s'il s'agit d'une autre personne de la relation bancaire).</w:t>
            </w:r>
          </w:p>
          <w:p w:rsidR="00E15D23" w:rsidRPr="00E15D23" w:rsidRDefault="00E15D23" w:rsidP="00E15D23">
            <w:pPr>
              <w:pStyle w:val="Paragraphedeliste"/>
              <w:autoSpaceDE w:val="0"/>
              <w:autoSpaceDN w:val="0"/>
              <w:ind w:left="360"/>
              <w:jc w:val="both"/>
              <w:rPr>
                <w:rFonts w:ascii="Times New Roman" w:hAnsi="Times New Roman" w:cs="Times New Roman"/>
                <w:sz w:val="20"/>
                <w:szCs w:val="20"/>
              </w:rPr>
            </w:pPr>
            <w:r w:rsidRPr="00E15D23">
              <w:rPr>
                <w:rFonts w:ascii="Times New Roman" w:hAnsi="Times New Roman" w:cs="Times New Roman"/>
                <w:sz w:val="20"/>
                <w:szCs w:val="20"/>
              </w:rPr>
              <w:t>En ce qui concerne les enfants il convient de ne pas saisir de numéro de téléphone portable appartenant à l’un des parents sur la synthèse des enfants.</w:t>
            </w:r>
          </w:p>
          <w:p w:rsidR="00E15D23" w:rsidRPr="00E15D23" w:rsidRDefault="00E15D23" w:rsidP="00E15D23">
            <w:pPr>
              <w:pStyle w:val="Paragraphedeliste"/>
              <w:numPr>
                <w:ilvl w:val="0"/>
                <w:numId w:val="32"/>
              </w:numPr>
              <w:autoSpaceDE w:val="0"/>
              <w:autoSpaceDN w:val="0"/>
              <w:ind w:left="360"/>
              <w:contextualSpacing w:val="0"/>
              <w:jc w:val="both"/>
              <w:rPr>
                <w:rFonts w:ascii="Times New Roman" w:hAnsi="Times New Roman" w:cs="Times New Roman"/>
                <w:sz w:val="20"/>
                <w:szCs w:val="20"/>
              </w:rPr>
            </w:pPr>
            <w:r w:rsidRPr="00E15D23">
              <w:rPr>
                <w:rFonts w:ascii="Times New Roman" w:hAnsi="Times New Roman" w:cs="Times New Roman"/>
                <w:b/>
                <w:bCs/>
                <w:sz w:val="20"/>
                <w:szCs w:val="20"/>
              </w:rPr>
              <w:t xml:space="preserve">L’adresse mail </w:t>
            </w:r>
            <w:r w:rsidRPr="00E15D23">
              <w:rPr>
                <w:rFonts w:ascii="Times New Roman" w:hAnsi="Times New Roman" w:cs="Times New Roman"/>
                <w:sz w:val="20"/>
                <w:szCs w:val="20"/>
              </w:rPr>
              <w:t xml:space="preserve">est généralement personnelle mais peut éventuellement être commune à plusieurs membres de la famille. Afin de nous permettre d'avoir un fichier commercial le plus réel et fidèle possible, Il est demandé de saisir l'adresse mail utilisée réellement par notre client et surtout de </w:t>
            </w:r>
            <w:r w:rsidRPr="00E15D23">
              <w:rPr>
                <w:rFonts w:ascii="Times New Roman" w:hAnsi="Times New Roman" w:cs="Times New Roman"/>
                <w:b/>
                <w:sz w:val="20"/>
                <w:szCs w:val="20"/>
              </w:rPr>
              <w:t>ne pas dupliquer "industriellement" une adresse mail</w:t>
            </w:r>
            <w:r w:rsidRPr="00E15D23">
              <w:rPr>
                <w:rFonts w:ascii="Times New Roman" w:hAnsi="Times New Roman" w:cs="Times New Roman"/>
                <w:sz w:val="20"/>
                <w:szCs w:val="20"/>
              </w:rPr>
              <w:t xml:space="preserve"> communiquée par un des membres de la relation bancaire sur tous les autres membres de la relation. </w:t>
            </w:r>
          </w:p>
          <w:p w:rsidR="00E15D23" w:rsidRPr="00E15D23" w:rsidRDefault="00E15D23" w:rsidP="00E15D23">
            <w:pPr>
              <w:pStyle w:val="wordsection1"/>
              <w:numPr>
                <w:ilvl w:val="0"/>
                <w:numId w:val="23"/>
              </w:numPr>
              <w:spacing w:before="0" w:beforeAutospacing="0" w:after="0" w:afterAutospacing="0"/>
              <w:ind w:left="187" w:hanging="187"/>
              <w:jc w:val="both"/>
              <w:rPr>
                <w:color w:val="1F497D"/>
                <w:sz w:val="20"/>
                <w:szCs w:val="20"/>
              </w:rPr>
            </w:pPr>
            <w:r w:rsidRPr="00E15D23">
              <w:rPr>
                <w:color w:val="000000"/>
                <w:sz w:val="20"/>
                <w:szCs w:val="20"/>
              </w:rPr>
              <w:t>A défaut nous ne réussirons pas à communiquer de manière efficace avec nos clients puisque les messages envoyés ne seront jamais délivrés aux destinataires initialement ciblés.</w:t>
            </w:r>
          </w:p>
        </w:tc>
      </w:tr>
      <w:tr w:rsidR="00E15D23" w:rsidRPr="00E81F6E" w:rsidTr="00AF3BE3">
        <w:trPr>
          <w:trHeight w:val="248"/>
        </w:trPr>
        <w:tc>
          <w:tcPr>
            <w:tcW w:w="1560" w:type="dxa"/>
            <w:tcBorders>
              <w:bottom w:val="single" w:sz="4" w:space="0" w:color="auto"/>
            </w:tcBorders>
          </w:tcPr>
          <w:p w:rsidR="00E15D23" w:rsidRDefault="00E15D23">
            <w:r w:rsidRPr="006C727B">
              <w:rPr>
                <w:rFonts w:ascii="Times New Roman" w:hAnsi="Times New Roman" w:cs="Times New Roman"/>
                <w:b/>
                <w:bCs/>
                <w:sz w:val="20"/>
                <w:szCs w:val="20"/>
              </w:rPr>
              <w:t>Com. DMA</w:t>
            </w:r>
          </w:p>
        </w:tc>
        <w:tc>
          <w:tcPr>
            <w:tcW w:w="1843" w:type="dxa"/>
            <w:tcBorders>
              <w:bottom w:val="single" w:sz="4" w:space="0" w:color="auto"/>
            </w:tcBorders>
          </w:tcPr>
          <w:p w:rsidR="00E15D23" w:rsidRPr="00E15D23" w:rsidRDefault="00E15D23" w:rsidP="00E15D23">
            <w:pPr>
              <w:rPr>
                <w:rFonts w:ascii="Times New Roman" w:hAnsi="Times New Roman" w:cs="Times New Roman"/>
                <w:sz w:val="20"/>
                <w:szCs w:val="20"/>
              </w:rPr>
            </w:pPr>
            <w:r w:rsidRPr="00E15D23">
              <w:rPr>
                <w:rFonts w:ascii="Times New Roman" w:hAnsi="Times New Roman" w:cs="Times New Roman"/>
                <w:b/>
                <w:sz w:val="20"/>
                <w:szCs w:val="20"/>
              </w:rPr>
              <w:t>Service BOURSE sur MOBILE</w:t>
            </w:r>
          </w:p>
        </w:tc>
        <w:tc>
          <w:tcPr>
            <w:tcW w:w="12332" w:type="dxa"/>
            <w:tcBorders>
              <w:bottom w:val="single" w:sz="4" w:space="0" w:color="auto"/>
            </w:tcBorders>
            <w:shd w:val="clear" w:color="auto" w:fill="auto"/>
          </w:tcPr>
          <w:p w:rsidR="00E15D23" w:rsidRDefault="00E15D23" w:rsidP="00E15D23">
            <w:pPr>
              <w:pStyle w:val="wordsection1"/>
              <w:numPr>
                <w:ilvl w:val="0"/>
                <w:numId w:val="23"/>
              </w:numPr>
              <w:spacing w:before="0" w:beforeAutospacing="0" w:after="0" w:afterAutospacing="0"/>
              <w:ind w:left="187" w:hanging="187"/>
              <w:jc w:val="both"/>
              <w:rPr>
                <w:sz w:val="20"/>
                <w:szCs w:val="20"/>
              </w:rPr>
            </w:pPr>
            <w:r w:rsidRPr="00E15D23">
              <w:rPr>
                <w:b/>
                <w:sz w:val="20"/>
                <w:szCs w:val="20"/>
              </w:rPr>
              <w:t>A compter de jeudi 22 mars</w:t>
            </w:r>
            <w:r w:rsidRPr="00E15D23">
              <w:rPr>
                <w:sz w:val="20"/>
                <w:szCs w:val="20"/>
              </w:rPr>
              <w:t>, 2 nouvelles fonctionnalités viennent compléter notre service bourse disponible sur MOBILE.</w:t>
            </w:r>
            <w:r w:rsidR="000346E4">
              <w:rPr>
                <w:sz w:val="20"/>
                <w:szCs w:val="20"/>
              </w:rPr>
              <w:t xml:space="preserve"> </w:t>
            </w:r>
            <w:r w:rsidRPr="00E15D23">
              <w:rPr>
                <w:sz w:val="20"/>
                <w:szCs w:val="20"/>
              </w:rPr>
              <w:t xml:space="preserve">Nos clients détenteurs d’un compte titres et utilisateurs de nos applications MOBILE, pourront désormais réaliser leur gestion d’options de réinvestissement de leurs OPC et répondre aux Introductions boursières directement à partir de leur Smartphone. Retrouvez la note DMA INF 16.039 mise à jour disponible sur </w:t>
            </w:r>
            <w:proofErr w:type="spellStart"/>
            <w:r w:rsidRPr="00E15D23">
              <w:rPr>
                <w:sz w:val="20"/>
                <w:szCs w:val="20"/>
              </w:rPr>
              <w:t>easynet</w:t>
            </w:r>
            <w:proofErr w:type="spellEnd"/>
            <w:r w:rsidRPr="00E15D23">
              <w:rPr>
                <w:sz w:val="20"/>
                <w:szCs w:val="20"/>
              </w:rPr>
              <w:t xml:space="preserve"> (mot clé « bourse »). </w:t>
            </w:r>
          </w:p>
          <w:p w:rsidR="00E41EB1" w:rsidRPr="00E15D23" w:rsidRDefault="00E41EB1" w:rsidP="00E41EB1">
            <w:pPr>
              <w:pStyle w:val="wordsection1"/>
              <w:spacing w:before="0" w:beforeAutospacing="0" w:after="0" w:afterAutospacing="0"/>
              <w:ind w:left="187"/>
              <w:jc w:val="both"/>
              <w:rPr>
                <w:sz w:val="20"/>
                <w:szCs w:val="20"/>
              </w:rPr>
            </w:pPr>
          </w:p>
        </w:tc>
      </w:tr>
      <w:tr w:rsidR="00E15D23" w:rsidRPr="00E81F6E" w:rsidTr="00AF3BE3">
        <w:trPr>
          <w:trHeight w:val="248"/>
        </w:trPr>
        <w:tc>
          <w:tcPr>
            <w:tcW w:w="1560" w:type="dxa"/>
            <w:tcBorders>
              <w:bottom w:val="single" w:sz="4" w:space="0" w:color="auto"/>
            </w:tcBorders>
          </w:tcPr>
          <w:p w:rsidR="00E15D23" w:rsidRDefault="00E15D23">
            <w:r w:rsidRPr="001450A9">
              <w:rPr>
                <w:rFonts w:ascii="Times New Roman" w:hAnsi="Times New Roman" w:cs="Times New Roman"/>
                <w:b/>
                <w:bCs/>
                <w:sz w:val="20"/>
                <w:szCs w:val="20"/>
              </w:rPr>
              <w:t>Com. DMA</w:t>
            </w:r>
          </w:p>
        </w:tc>
        <w:tc>
          <w:tcPr>
            <w:tcW w:w="1843" w:type="dxa"/>
            <w:tcBorders>
              <w:bottom w:val="single" w:sz="4" w:space="0" w:color="auto"/>
            </w:tcBorders>
          </w:tcPr>
          <w:p w:rsidR="00E15D23" w:rsidRPr="00E15D23" w:rsidRDefault="00E15D23" w:rsidP="00E15D23">
            <w:pPr>
              <w:rPr>
                <w:rFonts w:ascii="Times New Roman" w:hAnsi="Times New Roman" w:cs="Times New Roman"/>
                <w:b/>
                <w:bCs/>
                <w:sz w:val="20"/>
                <w:szCs w:val="20"/>
              </w:rPr>
            </w:pPr>
            <w:r>
              <w:rPr>
                <w:rFonts w:ascii="Times New Roman" w:hAnsi="Times New Roman" w:cs="Times New Roman"/>
                <w:b/>
                <w:bCs/>
                <w:sz w:val="20"/>
                <w:szCs w:val="20"/>
              </w:rPr>
              <w:t>CAMPAGNE TELEMARKG.</w:t>
            </w:r>
            <w:r w:rsidRPr="00E15D23">
              <w:rPr>
                <w:rFonts w:ascii="Times New Roman" w:hAnsi="Times New Roman" w:cs="Times New Roman"/>
                <w:b/>
                <w:bCs/>
                <w:sz w:val="20"/>
                <w:szCs w:val="20"/>
              </w:rPr>
              <w:t xml:space="preserve"> </w:t>
            </w:r>
          </w:p>
        </w:tc>
        <w:tc>
          <w:tcPr>
            <w:tcW w:w="12332" w:type="dxa"/>
            <w:tcBorders>
              <w:bottom w:val="single" w:sz="4" w:space="0" w:color="auto"/>
            </w:tcBorders>
            <w:shd w:val="clear" w:color="auto" w:fill="auto"/>
          </w:tcPr>
          <w:p w:rsidR="00E15D23" w:rsidRPr="00E15D23" w:rsidRDefault="00E15D23" w:rsidP="00E15D23">
            <w:pPr>
              <w:pStyle w:val="wordsection1"/>
              <w:numPr>
                <w:ilvl w:val="0"/>
                <w:numId w:val="23"/>
              </w:numPr>
              <w:spacing w:before="0" w:beforeAutospacing="0" w:after="0" w:afterAutospacing="0"/>
              <w:ind w:left="187" w:hanging="187"/>
              <w:jc w:val="both"/>
              <w:rPr>
                <w:sz w:val="20"/>
                <w:szCs w:val="20"/>
              </w:rPr>
            </w:pPr>
            <w:r w:rsidRPr="00E15D23">
              <w:rPr>
                <w:sz w:val="20"/>
                <w:szCs w:val="20"/>
              </w:rPr>
              <w:t>Phone Action Conseil débute le 19 mars une campagne de prise de rendez-vous auprès de certains de nos clients. Cette campagne est orientée BANCA IARD avec une cible composée de clients distanciés (en portefeuille) :</w:t>
            </w:r>
          </w:p>
          <w:p w:rsidR="00E15D23" w:rsidRPr="00E15D23" w:rsidRDefault="00E15D23" w:rsidP="00E15D23">
            <w:pPr>
              <w:pStyle w:val="Paragraphedeliste"/>
              <w:numPr>
                <w:ilvl w:val="0"/>
                <w:numId w:val="33"/>
              </w:numPr>
              <w:spacing w:before="60" w:after="60"/>
              <w:jc w:val="both"/>
              <w:rPr>
                <w:rFonts w:ascii="Times New Roman" w:hAnsi="Times New Roman" w:cs="Times New Roman"/>
                <w:sz w:val="20"/>
                <w:szCs w:val="20"/>
              </w:rPr>
            </w:pPr>
            <w:r w:rsidRPr="00E15D23">
              <w:rPr>
                <w:rFonts w:ascii="Times New Roman" w:hAnsi="Times New Roman" w:cs="Times New Roman"/>
                <w:sz w:val="20"/>
                <w:szCs w:val="20"/>
              </w:rPr>
              <w:t xml:space="preserve">avec téléphone et </w:t>
            </w:r>
            <w:proofErr w:type="spellStart"/>
            <w:r w:rsidRPr="00E15D23">
              <w:rPr>
                <w:rFonts w:ascii="Times New Roman" w:hAnsi="Times New Roman" w:cs="Times New Roman"/>
                <w:sz w:val="20"/>
                <w:szCs w:val="20"/>
              </w:rPr>
              <w:t>opt</w:t>
            </w:r>
            <w:proofErr w:type="spellEnd"/>
            <w:r w:rsidRPr="00E15D23">
              <w:rPr>
                <w:rFonts w:ascii="Times New Roman" w:hAnsi="Times New Roman" w:cs="Times New Roman"/>
                <w:sz w:val="20"/>
                <w:szCs w:val="20"/>
              </w:rPr>
              <w:t xml:space="preserve"> in,</w:t>
            </w:r>
          </w:p>
          <w:p w:rsidR="00E15D23" w:rsidRPr="00E15D23" w:rsidRDefault="00E15D23" w:rsidP="00E15D23">
            <w:pPr>
              <w:pStyle w:val="Paragraphedeliste"/>
              <w:numPr>
                <w:ilvl w:val="0"/>
                <w:numId w:val="33"/>
              </w:numPr>
              <w:spacing w:before="60" w:after="60"/>
              <w:jc w:val="both"/>
              <w:rPr>
                <w:rFonts w:ascii="Times New Roman" w:hAnsi="Times New Roman" w:cs="Times New Roman"/>
                <w:sz w:val="20"/>
                <w:szCs w:val="20"/>
              </w:rPr>
            </w:pPr>
            <w:r w:rsidRPr="00E15D23">
              <w:rPr>
                <w:rFonts w:ascii="Times New Roman" w:hAnsi="Times New Roman" w:cs="Times New Roman"/>
                <w:sz w:val="20"/>
                <w:szCs w:val="20"/>
              </w:rPr>
              <w:t>détenteurs d’un CDD sans carte, et sans produit IARD</w:t>
            </w:r>
          </w:p>
          <w:p w:rsidR="00E15D23" w:rsidRPr="00E15D23" w:rsidRDefault="00E15D23" w:rsidP="00E15D23">
            <w:pPr>
              <w:pStyle w:val="Paragraphedeliste"/>
              <w:numPr>
                <w:ilvl w:val="0"/>
                <w:numId w:val="33"/>
              </w:numPr>
              <w:spacing w:before="60" w:after="60"/>
              <w:jc w:val="both"/>
              <w:rPr>
                <w:rFonts w:ascii="Times New Roman" w:hAnsi="Times New Roman" w:cs="Times New Roman"/>
                <w:sz w:val="20"/>
                <w:szCs w:val="20"/>
              </w:rPr>
            </w:pPr>
            <w:r w:rsidRPr="00E15D23">
              <w:rPr>
                <w:rFonts w:ascii="Times New Roman" w:hAnsi="Times New Roman" w:cs="Times New Roman"/>
                <w:sz w:val="20"/>
                <w:szCs w:val="20"/>
              </w:rPr>
              <w:lastRenderedPageBreak/>
              <w:t>Agés de 25 à 65 ans</w:t>
            </w:r>
          </w:p>
          <w:p w:rsidR="00E15D23" w:rsidRPr="00E15D23" w:rsidRDefault="00E15D23" w:rsidP="00E15D23">
            <w:pPr>
              <w:pStyle w:val="Paragraphedeliste"/>
              <w:numPr>
                <w:ilvl w:val="0"/>
                <w:numId w:val="33"/>
              </w:numPr>
              <w:spacing w:before="60" w:after="60"/>
              <w:jc w:val="both"/>
              <w:rPr>
                <w:rFonts w:ascii="Times New Roman" w:hAnsi="Times New Roman" w:cs="Times New Roman"/>
                <w:sz w:val="20"/>
                <w:szCs w:val="20"/>
              </w:rPr>
            </w:pPr>
            <w:r w:rsidRPr="00E15D23">
              <w:rPr>
                <w:rFonts w:ascii="Times New Roman" w:hAnsi="Times New Roman" w:cs="Times New Roman"/>
                <w:sz w:val="20"/>
                <w:szCs w:val="20"/>
              </w:rPr>
              <w:t xml:space="preserve">Note </w:t>
            </w:r>
            <w:proofErr w:type="spellStart"/>
            <w:r w:rsidRPr="00E15D23">
              <w:rPr>
                <w:rFonts w:ascii="Times New Roman" w:hAnsi="Times New Roman" w:cs="Times New Roman"/>
                <w:sz w:val="20"/>
                <w:szCs w:val="20"/>
              </w:rPr>
              <w:t>bâle</w:t>
            </w:r>
            <w:proofErr w:type="spellEnd"/>
            <w:r w:rsidRPr="00E15D23">
              <w:rPr>
                <w:rFonts w:ascii="Times New Roman" w:hAnsi="Times New Roman" w:cs="Times New Roman"/>
                <w:sz w:val="20"/>
                <w:szCs w:val="20"/>
              </w:rPr>
              <w:t xml:space="preserve"> 2 &lt;=7</w:t>
            </w:r>
          </w:p>
          <w:p w:rsidR="00E15D23" w:rsidRPr="00E15D23" w:rsidRDefault="00E15D23" w:rsidP="00E15D23">
            <w:pPr>
              <w:pStyle w:val="wordsection1"/>
              <w:numPr>
                <w:ilvl w:val="0"/>
                <w:numId w:val="23"/>
              </w:numPr>
              <w:spacing w:before="0" w:beforeAutospacing="0" w:after="0" w:afterAutospacing="0"/>
              <w:ind w:left="187" w:hanging="187"/>
              <w:jc w:val="both"/>
              <w:rPr>
                <w:bCs/>
                <w:iCs/>
                <w:sz w:val="20"/>
                <w:szCs w:val="20"/>
              </w:rPr>
            </w:pPr>
            <w:r w:rsidRPr="00E15D23">
              <w:rPr>
                <w:b/>
                <w:bCs/>
                <w:iCs/>
                <w:sz w:val="20"/>
                <w:szCs w:val="20"/>
              </w:rPr>
              <w:t xml:space="preserve">Point d’attention « Fiches de liaison » : </w:t>
            </w:r>
            <w:r w:rsidRPr="00E15D23">
              <w:rPr>
                <w:bCs/>
                <w:iCs/>
                <w:sz w:val="20"/>
                <w:szCs w:val="20"/>
              </w:rPr>
              <w:t xml:space="preserve">si besoin, Phone Action Conseil envoie pour traitement au gestionnaire commercial en charge de la relation (ou à défaut à l’agence), des fiches de liaison, lorsqu’un événement empêche la prise de rendez-vous immédiate par téléphone. </w:t>
            </w:r>
          </w:p>
          <w:p w:rsidR="00E15D23" w:rsidRPr="00E15D23" w:rsidRDefault="00E15D23" w:rsidP="00E15D23">
            <w:pPr>
              <w:spacing w:line="276" w:lineRule="auto"/>
              <w:jc w:val="both"/>
              <w:rPr>
                <w:rFonts w:ascii="Times New Roman" w:hAnsi="Times New Roman" w:cs="Times New Roman"/>
                <w:bCs/>
                <w:iCs/>
                <w:sz w:val="20"/>
                <w:szCs w:val="20"/>
              </w:rPr>
            </w:pPr>
            <w:r w:rsidRPr="00E15D23">
              <w:rPr>
                <w:rFonts w:ascii="Times New Roman" w:hAnsi="Times New Roman" w:cs="Times New Roman"/>
                <w:bCs/>
                <w:iCs/>
                <w:sz w:val="20"/>
                <w:szCs w:val="20"/>
              </w:rPr>
              <w:t xml:space="preserve">Merci d’y apporter l’attention nécessaire et de recontacter le client lorsque cela s’avère nécessaire. </w:t>
            </w:r>
          </w:p>
          <w:p w:rsidR="00E15D23" w:rsidRPr="00E15D23" w:rsidRDefault="00E15D23" w:rsidP="00E15D23">
            <w:pPr>
              <w:pStyle w:val="wordsection1"/>
              <w:numPr>
                <w:ilvl w:val="0"/>
                <w:numId w:val="23"/>
              </w:numPr>
              <w:spacing w:before="0" w:beforeAutospacing="0" w:after="0" w:afterAutospacing="0"/>
              <w:ind w:left="187" w:hanging="187"/>
              <w:jc w:val="both"/>
              <w:rPr>
                <w:sz w:val="20"/>
                <w:szCs w:val="20"/>
              </w:rPr>
            </w:pPr>
            <w:r w:rsidRPr="00E15D23">
              <w:rPr>
                <w:b/>
                <w:bCs/>
                <w:iCs/>
                <w:sz w:val="20"/>
                <w:szCs w:val="20"/>
              </w:rPr>
              <w:t>Ces fiches sont envoyées automatiquement</w:t>
            </w:r>
            <w:r w:rsidRPr="00E15D23">
              <w:rPr>
                <w:bCs/>
                <w:iCs/>
                <w:sz w:val="20"/>
                <w:szCs w:val="20"/>
              </w:rPr>
              <w:t xml:space="preserve">. Merci de ne pas y répondre. </w:t>
            </w:r>
          </w:p>
          <w:p w:rsidR="00E15D23" w:rsidRPr="00E15D23" w:rsidRDefault="00E15D23" w:rsidP="00E15D23">
            <w:pPr>
              <w:pStyle w:val="wordsection1"/>
              <w:numPr>
                <w:ilvl w:val="0"/>
                <w:numId w:val="23"/>
              </w:numPr>
              <w:spacing w:before="0" w:beforeAutospacing="0" w:after="0" w:afterAutospacing="0"/>
              <w:ind w:left="187" w:hanging="187"/>
              <w:jc w:val="both"/>
              <w:rPr>
                <w:sz w:val="20"/>
                <w:szCs w:val="20"/>
              </w:rPr>
            </w:pPr>
            <w:r w:rsidRPr="00E15D23">
              <w:rPr>
                <w:bCs/>
                <w:iCs/>
                <w:sz w:val="20"/>
                <w:szCs w:val="20"/>
              </w:rPr>
              <w:t>En cas de besoin les contacts CELCA sur ces opérations sont : Joëlle PAILLEREAU pour la gestion de la relation avec PHONE ACTION CONSEIL / Hélène DOLT ou François DI-MARTINO pour la gestion marketing de la campagne.</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lastRenderedPageBreak/>
              <w:t>LES SUIVIS ET LES RAPPORTS</w:t>
            </w:r>
          </w:p>
        </w:tc>
      </w:tr>
      <w:tr w:rsidR="00D77957"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70645E" w:rsidRDefault="00D77957" w:rsidP="0036331E">
            <w:pPr>
              <w:rPr>
                <w:rFonts w:ascii="Times New Roman" w:hAnsi="Times New Roman" w:cs="Times New Roman"/>
                <w:b/>
                <w:bCs/>
                <w:sz w:val="20"/>
                <w:szCs w:val="20"/>
              </w:rPr>
            </w:pPr>
            <w:r w:rsidRPr="0070645E">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D77957" w:rsidRPr="0070645E" w:rsidRDefault="00D77957" w:rsidP="00A57700">
            <w:pPr>
              <w:rPr>
                <w:rFonts w:ascii="Times New Roman" w:hAnsi="Times New Roman" w:cs="Times New Roman"/>
                <w:b/>
                <w:bCs/>
                <w:color w:val="000000"/>
                <w:sz w:val="20"/>
                <w:szCs w:val="20"/>
              </w:rPr>
            </w:pPr>
            <w:r w:rsidRPr="0070645E">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D77957" w:rsidRPr="0070645E" w:rsidRDefault="00D77957" w:rsidP="00141E98">
            <w:pPr>
              <w:pStyle w:val="Paragraphedeliste"/>
              <w:numPr>
                <w:ilvl w:val="0"/>
                <w:numId w:val="2"/>
              </w:numPr>
              <w:ind w:left="176" w:hanging="176"/>
              <w:jc w:val="both"/>
              <w:rPr>
                <w:rFonts w:ascii="Times New Roman" w:hAnsi="Times New Roman" w:cs="Times New Roman"/>
                <w:bCs/>
                <w:sz w:val="20"/>
                <w:szCs w:val="20"/>
                <w:lang w:eastAsia="fr-FR"/>
              </w:rPr>
            </w:pPr>
            <w:r w:rsidRPr="0070645E">
              <w:rPr>
                <w:rFonts w:ascii="Times New Roman" w:hAnsi="Times New Roman" w:cs="Times New Roman"/>
                <w:sz w:val="20"/>
                <w:szCs w:val="20"/>
              </w:rPr>
              <w:t xml:space="preserve">Vous trouverez </w:t>
            </w:r>
            <w:hyperlink r:id="rId29" w:history="1">
              <w:r w:rsidRPr="0070645E">
                <w:rPr>
                  <w:rStyle w:val="Lienhypertexte"/>
                  <w:rFonts w:ascii="Times New Roman" w:hAnsi="Times New Roman" w:cs="Times New Roman"/>
                  <w:sz w:val="20"/>
                  <w:szCs w:val="20"/>
                </w:rPr>
                <w:t xml:space="preserve">en </w:t>
              </w:r>
              <w:r w:rsidR="00141E98" w:rsidRPr="0070645E">
                <w:rPr>
                  <w:rStyle w:val="Lienhypertexte"/>
                  <w:rFonts w:ascii="Times New Roman" w:hAnsi="Times New Roman" w:cs="Times New Roman"/>
                  <w:sz w:val="20"/>
                  <w:szCs w:val="20"/>
                </w:rPr>
                <w:t>cliquant ici</w:t>
              </w:r>
            </w:hyperlink>
            <w:r w:rsidRPr="0070645E">
              <w:rPr>
                <w:rFonts w:ascii="Times New Roman" w:hAnsi="Times New Roman" w:cs="Times New Roman"/>
                <w:sz w:val="20"/>
                <w:szCs w:val="20"/>
              </w:rPr>
              <w:t xml:space="preserve"> </w:t>
            </w:r>
            <w:r w:rsidRPr="0070645E">
              <w:rPr>
                <w:rFonts w:ascii="Times New Roman" w:hAnsi="Times New Roman" w:cs="Times New Roman"/>
                <w:b/>
                <w:sz w:val="20"/>
                <w:szCs w:val="20"/>
              </w:rPr>
              <w:t>la</w:t>
            </w:r>
            <w:r w:rsidR="0070645E">
              <w:rPr>
                <w:rFonts w:ascii="Times New Roman" w:hAnsi="Times New Roman" w:cs="Times New Roman"/>
                <w:b/>
                <w:sz w:val="20"/>
                <w:szCs w:val="20"/>
              </w:rPr>
              <w:t xml:space="preserve"> météo des crédits arrêtée au 16/03</w:t>
            </w:r>
            <w:r w:rsidRPr="0070645E">
              <w:rPr>
                <w:rFonts w:ascii="Times New Roman" w:hAnsi="Times New Roman" w:cs="Times New Roman"/>
                <w:b/>
                <w:sz w:val="20"/>
                <w:szCs w:val="20"/>
              </w:rPr>
              <w:t>/2017.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0"/>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24C" w:rsidRDefault="0033324C" w:rsidP="0035465A">
      <w:pPr>
        <w:spacing w:after="0" w:line="240" w:lineRule="auto"/>
      </w:pPr>
      <w:r>
        <w:separator/>
      </w:r>
    </w:p>
  </w:endnote>
  <w:endnote w:type="continuationSeparator" w:id="0">
    <w:p w:rsidR="0033324C" w:rsidRDefault="0033324C"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24C" w:rsidRDefault="0033324C" w:rsidP="0035465A">
      <w:pPr>
        <w:spacing w:after="0" w:line="240" w:lineRule="auto"/>
      </w:pPr>
      <w:r>
        <w:separator/>
      </w:r>
    </w:p>
  </w:footnote>
  <w:footnote w:type="continuationSeparator" w:id="0">
    <w:p w:rsidR="0033324C" w:rsidRDefault="0033324C"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986FD4"/>
    <w:multiLevelType w:val="hybridMultilevel"/>
    <w:tmpl w:val="C6844BEC"/>
    <w:lvl w:ilvl="0" w:tplc="0A9C6C24">
      <w:start w:val="1"/>
      <w:numFmt w:val="bullet"/>
      <w:lvlText w:val="■"/>
      <w:lvlJc w:val="left"/>
      <w:pPr>
        <w:tabs>
          <w:tab w:val="num" w:pos="720"/>
        </w:tabs>
        <w:ind w:left="720" w:hanging="360"/>
      </w:pPr>
      <w:rPr>
        <w:rFonts w:ascii="Arial Narrow" w:hAnsi="Arial Narrow" w:hint="default"/>
      </w:rPr>
    </w:lvl>
    <w:lvl w:ilvl="1" w:tplc="335E15FA" w:tentative="1">
      <w:start w:val="1"/>
      <w:numFmt w:val="bullet"/>
      <w:lvlText w:val="■"/>
      <w:lvlJc w:val="left"/>
      <w:pPr>
        <w:tabs>
          <w:tab w:val="num" w:pos="1440"/>
        </w:tabs>
        <w:ind w:left="1440" w:hanging="360"/>
      </w:pPr>
      <w:rPr>
        <w:rFonts w:ascii="Arial Narrow" w:hAnsi="Arial Narrow" w:hint="default"/>
      </w:rPr>
    </w:lvl>
    <w:lvl w:ilvl="2" w:tplc="86D89770" w:tentative="1">
      <w:start w:val="1"/>
      <w:numFmt w:val="bullet"/>
      <w:lvlText w:val="■"/>
      <w:lvlJc w:val="left"/>
      <w:pPr>
        <w:tabs>
          <w:tab w:val="num" w:pos="2160"/>
        </w:tabs>
        <w:ind w:left="2160" w:hanging="360"/>
      </w:pPr>
      <w:rPr>
        <w:rFonts w:ascii="Arial Narrow" w:hAnsi="Arial Narrow" w:hint="default"/>
      </w:rPr>
    </w:lvl>
    <w:lvl w:ilvl="3" w:tplc="37E80936" w:tentative="1">
      <w:start w:val="1"/>
      <w:numFmt w:val="bullet"/>
      <w:lvlText w:val="■"/>
      <w:lvlJc w:val="left"/>
      <w:pPr>
        <w:tabs>
          <w:tab w:val="num" w:pos="2880"/>
        </w:tabs>
        <w:ind w:left="2880" w:hanging="360"/>
      </w:pPr>
      <w:rPr>
        <w:rFonts w:ascii="Arial Narrow" w:hAnsi="Arial Narrow" w:hint="default"/>
      </w:rPr>
    </w:lvl>
    <w:lvl w:ilvl="4" w:tplc="DD9AFAC6" w:tentative="1">
      <w:start w:val="1"/>
      <w:numFmt w:val="bullet"/>
      <w:lvlText w:val="■"/>
      <w:lvlJc w:val="left"/>
      <w:pPr>
        <w:tabs>
          <w:tab w:val="num" w:pos="3600"/>
        </w:tabs>
        <w:ind w:left="3600" w:hanging="360"/>
      </w:pPr>
      <w:rPr>
        <w:rFonts w:ascii="Arial Narrow" w:hAnsi="Arial Narrow" w:hint="default"/>
      </w:rPr>
    </w:lvl>
    <w:lvl w:ilvl="5" w:tplc="131C5D6C" w:tentative="1">
      <w:start w:val="1"/>
      <w:numFmt w:val="bullet"/>
      <w:lvlText w:val="■"/>
      <w:lvlJc w:val="left"/>
      <w:pPr>
        <w:tabs>
          <w:tab w:val="num" w:pos="4320"/>
        </w:tabs>
        <w:ind w:left="4320" w:hanging="360"/>
      </w:pPr>
      <w:rPr>
        <w:rFonts w:ascii="Arial Narrow" w:hAnsi="Arial Narrow" w:hint="default"/>
      </w:rPr>
    </w:lvl>
    <w:lvl w:ilvl="6" w:tplc="890024F8" w:tentative="1">
      <w:start w:val="1"/>
      <w:numFmt w:val="bullet"/>
      <w:lvlText w:val="■"/>
      <w:lvlJc w:val="left"/>
      <w:pPr>
        <w:tabs>
          <w:tab w:val="num" w:pos="5040"/>
        </w:tabs>
        <w:ind w:left="5040" w:hanging="360"/>
      </w:pPr>
      <w:rPr>
        <w:rFonts w:ascii="Arial Narrow" w:hAnsi="Arial Narrow" w:hint="default"/>
      </w:rPr>
    </w:lvl>
    <w:lvl w:ilvl="7" w:tplc="B6F67E56" w:tentative="1">
      <w:start w:val="1"/>
      <w:numFmt w:val="bullet"/>
      <w:lvlText w:val="■"/>
      <w:lvlJc w:val="left"/>
      <w:pPr>
        <w:tabs>
          <w:tab w:val="num" w:pos="5760"/>
        </w:tabs>
        <w:ind w:left="5760" w:hanging="360"/>
      </w:pPr>
      <w:rPr>
        <w:rFonts w:ascii="Arial Narrow" w:hAnsi="Arial Narrow" w:hint="default"/>
      </w:rPr>
    </w:lvl>
    <w:lvl w:ilvl="8" w:tplc="116A78E4" w:tentative="1">
      <w:start w:val="1"/>
      <w:numFmt w:val="bullet"/>
      <w:lvlText w:val="■"/>
      <w:lvlJc w:val="left"/>
      <w:pPr>
        <w:tabs>
          <w:tab w:val="num" w:pos="6480"/>
        </w:tabs>
        <w:ind w:left="6480" w:hanging="360"/>
      </w:pPr>
      <w:rPr>
        <w:rFonts w:ascii="Arial Narrow" w:hAnsi="Arial Narrow" w:hint="default"/>
      </w:rPr>
    </w:lvl>
  </w:abstractNum>
  <w:abstractNum w:abstractNumId="2">
    <w:nsid w:val="091B0861"/>
    <w:multiLevelType w:val="hybridMultilevel"/>
    <w:tmpl w:val="5B484872"/>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10843DF3"/>
    <w:multiLevelType w:val="hybridMultilevel"/>
    <w:tmpl w:val="AB428DE8"/>
    <w:lvl w:ilvl="0" w:tplc="60B20E6E">
      <w:start w:val="1"/>
      <w:numFmt w:val="bullet"/>
      <w:lvlText w:val=""/>
      <w:lvlJc w:val="left"/>
      <w:pPr>
        <w:tabs>
          <w:tab w:val="num" w:pos="360"/>
        </w:tabs>
        <w:ind w:left="360" w:hanging="360"/>
      </w:pPr>
      <w:rPr>
        <w:rFonts w:ascii="Wingdings" w:hAnsi="Wingdings" w:hint="default"/>
      </w:rPr>
    </w:lvl>
    <w:lvl w:ilvl="1" w:tplc="15C4645A">
      <w:start w:val="1"/>
      <w:numFmt w:val="bullet"/>
      <w:lvlText w:val=""/>
      <w:lvlJc w:val="left"/>
      <w:pPr>
        <w:tabs>
          <w:tab w:val="num" w:pos="1080"/>
        </w:tabs>
        <w:ind w:left="1080" w:hanging="360"/>
      </w:pPr>
      <w:rPr>
        <w:rFonts w:ascii="Wingdings" w:hAnsi="Wingdings" w:hint="default"/>
      </w:rPr>
    </w:lvl>
    <w:lvl w:ilvl="2" w:tplc="29840E6E">
      <w:start w:val="3415"/>
      <w:numFmt w:val="bullet"/>
      <w:lvlText w:val=""/>
      <w:lvlJc w:val="left"/>
      <w:pPr>
        <w:tabs>
          <w:tab w:val="num" w:pos="1800"/>
        </w:tabs>
        <w:ind w:left="1800" w:hanging="360"/>
      </w:pPr>
      <w:rPr>
        <w:rFonts w:ascii="Wingdings" w:hAnsi="Wingdings" w:hint="default"/>
      </w:rPr>
    </w:lvl>
    <w:lvl w:ilvl="3" w:tplc="FCE8E24A" w:tentative="1">
      <w:start w:val="1"/>
      <w:numFmt w:val="bullet"/>
      <w:lvlText w:val=""/>
      <w:lvlJc w:val="left"/>
      <w:pPr>
        <w:tabs>
          <w:tab w:val="num" w:pos="2520"/>
        </w:tabs>
        <w:ind w:left="2520" w:hanging="360"/>
      </w:pPr>
      <w:rPr>
        <w:rFonts w:ascii="Wingdings" w:hAnsi="Wingdings" w:hint="default"/>
      </w:rPr>
    </w:lvl>
    <w:lvl w:ilvl="4" w:tplc="B69C2502" w:tentative="1">
      <w:start w:val="1"/>
      <w:numFmt w:val="bullet"/>
      <w:lvlText w:val=""/>
      <w:lvlJc w:val="left"/>
      <w:pPr>
        <w:tabs>
          <w:tab w:val="num" w:pos="3240"/>
        </w:tabs>
        <w:ind w:left="3240" w:hanging="360"/>
      </w:pPr>
      <w:rPr>
        <w:rFonts w:ascii="Wingdings" w:hAnsi="Wingdings" w:hint="default"/>
      </w:rPr>
    </w:lvl>
    <w:lvl w:ilvl="5" w:tplc="19BC931E" w:tentative="1">
      <w:start w:val="1"/>
      <w:numFmt w:val="bullet"/>
      <w:lvlText w:val=""/>
      <w:lvlJc w:val="left"/>
      <w:pPr>
        <w:tabs>
          <w:tab w:val="num" w:pos="3960"/>
        </w:tabs>
        <w:ind w:left="3960" w:hanging="360"/>
      </w:pPr>
      <w:rPr>
        <w:rFonts w:ascii="Wingdings" w:hAnsi="Wingdings" w:hint="default"/>
      </w:rPr>
    </w:lvl>
    <w:lvl w:ilvl="6" w:tplc="8268773E" w:tentative="1">
      <w:start w:val="1"/>
      <w:numFmt w:val="bullet"/>
      <w:lvlText w:val=""/>
      <w:lvlJc w:val="left"/>
      <w:pPr>
        <w:tabs>
          <w:tab w:val="num" w:pos="4680"/>
        </w:tabs>
        <w:ind w:left="4680" w:hanging="360"/>
      </w:pPr>
      <w:rPr>
        <w:rFonts w:ascii="Wingdings" w:hAnsi="Wingdings" w:hint="default"/>
      </w:rPr>
    </w:lvl>
    <w:lvl w:ilvl="7" w:tplc="22824D06" w:tentative="1">
      <w:start w:val="1"/>
      <w:numFmt w:val="bullet"/>
      <w:lvlText w:val=""/>
      <w:lvlJc w:val="left"/>
      <w:pPr>
        <w:tabs>
          <w:tab w:val="num" w:pos="5400"/>
        </w:tabs>
        <w:ind w:left="5400" w:hanging="360"/>
      </w:pPr>
      <w:rPr>
        <w:rFonts w:ascii="Wingdings" w:hAnsi="Wingdings" w:hint="default"/>
      </w:rPr>
    </w:lvl>
    <w:lvl w:ilvl="8" w:tplc="589CC4C0" w:tentative="1">
      <w:start w:val="1"/>
      <w:numFmt w:val="bullet"/>
      <w:lvlText w:val=""/>
      <w:lvlJc w:val="left"/>
      <w:pPr>
        <w:tabs>
          <w:tab w:val="num" w:pos="6120"/>
        </w:tabs>
        <w:ind w:left="6120" w:hanging="360"/>
      </w:pPr>
      <w:rPr>
        <w:rFonts w:ascii="Wingdings" w:hAnsi="Wingdings" w:hint="default"/>
      </w:rPr>
    </w:lvl>
  </w:abstractNum>
  <w:abstractNum w:abstractNumId="5">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17984F88"/>
    <w:multiLevelType w:val="hybridMultilevel"/>
    <w:tmpl w:val="31EA35EC"/>
    <w:lvl w:ilvl="0" w:tplc="6A280500">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8">
    <w:nsid w:val="1E4D301A"/>
    <w:multiLevelType w:val="hybridMultilevel"/>
    <w:tmpl w:val="02003AB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nsid w:val="21310437"/>
    <w:multiLevelType w:val="hybridMultilevel"/>
    <w:tmpl w:val="B6DEED3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nsid w:val="21625D41"/>
    <w:multiLevelType w:val="hybridMultilevel"/>
    <w:tmpl w:val="B0A09592"/>
    <w:lvl w:ilvl="0" w:tplc="4E28C0B6">
      <w:start w:val="1"/>
      <w:numFmt w:val="decimal"/>
      <w:lvlText w:val="%1."/>
      <w:lvlJc w:val="left"/>
      <w:pPr>
        <w:ind w:left="2484" w:hanging="360"/>
      </w:pPr>
    </w:lvl>
    <w:lvl w:ilvl="1" w:tplc="040C0019">
      <w:start w:val="1"/>
      <w:numFmt w:val="lowerLetter"/>
      <w:lvlText w:val="%2."/>
      <w:lvlJc w:val="left"/>
      <w:pPr>
        <w:ind w:left="3204" w:hanging="360"/>
      </w:pPr>
    </w:lvl>
    <w:lvl w:ilvl="2" w:tplc="040C001B">
      <w:start w:val="1"/>
      <w:numFmt w:val="lowerRoman"/>
      <w:lvlText w:val="%3."/>
      <w:lvlJc w:val="right"/>
      <w:pPr>
        <w:ind w:left="3924" w:hanging="180"/>
      </w:pPr>
    </w:lvl>
    <w:lvl w:ilvl="3" w:tplc="040C000F">
      <w:start w:val="1"/>
      <w:numFmt w:val="decimal"/>
      <w:lvlText w:val="%4."/>
      <w:lvlJc w:val="left"/>
      <w:pPr>
        <w:ind w:left="4644" w:hanging="360"/>
      </w:pPr>
    </w:lvl>
    <w:lvl w:ilvl="4" w:tplc="040C0019">
      <w:start w:val="1"/>
      <w:numFmt w:val="lowerLetter"/>
      <w:lvlText w:val="%5."/>
      <w:lvlJc w:val="left"/>
      <w:pPr>
        <w:ind w:left="5364" w:hanging="360"/>
      </w:pPr>
    </w:lvl>
    <w:lvl w:ilvl="5" w:tplc="040C001B">
      <w:start w:val="1"/>
      <w:numFmt w:val="lowerRoman"/>
      <w:lvlText w:val="%6."/>
      <w:lvlJc w:val="right"/>
      <w:pPr>
        <w:ind w:left="6084" w:hanging="180"/>
      </w:pPr>
    </w:lvl>
    <w:lvl w:ilvl="6" w:tplc="040C000F">
      <w:start w:val="1"/>
      <w:numFmt w:val="decimal"/>
      <w:lvlText w:val="%7."/>
      <w:lvlJc w:val="left"/>
      <w:pPr>
        <w:ind w:left="6804" w:hanging="360"/>
      </w:pPr>
    </w:lvl>
    <w:lvl w:ilvl="7" w:tplc="040C0019">
      <w:start w:val="1"/>
      <w:numFmt w:val="lowerLetter"/>
      <w:lvlText w:val="%8."/>
      <w:lvlJc w:val="left"/>
      <w:pPr>
        <w:ind w:left="7524" w:hanging="360"/>
      </w:pPr>
    </w:lvl>
    <w:lvl w:ilvl="8" w:tplc="040C001B">
      <w:start w:val="1"/>
      <w:numFmt w:val="lowerRoman"/>
      <w:lvlText w:val="%9."/>
      <w:lvlJc w:val="right"/>
      <w:pPr>
        <w:ind w:left="8244" w:hanging="180"/>
      </w:pPr>
    </w:lvl>
  </w:abstractNum>
  <w:abstractNum w:abstractNumId="12">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4">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3C890298"/>
    <w:multiLevelType w:val="hybridMultilevel"/>
    <w:tmpl w:val="024C68D0"/>
    <w:lvl w:ilvl="0" w:tplc="574200BE">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8">
    <w:nsid w:val="76CA7592"/>
    <w:multiLevelType w:val="hybridMultilevel"/>
    <w:tmpl w:val="585416CE"/>
    <w:lvl w:ilvl="0" w:tplc="F32EC7B2">
      <w:numFmt w:val="bullet"/>
      <w:lvlText w:val="­"/>
      <w:lvlJc w:val="left"/>
      <w:pPr>
        <w:ind w:left="432"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040C0003" w:tentative="1">
      <w:start w:val="1"/>
      <w:numFmt w:val="bullet"/>
      <w:lvlText w:val="o"/>
      <w:lvlJc w:val="left"/>
      <w:pPr>
        <w:ind w:left="1685" w:hanging="360"/>
      </w:pPr>
      <w:rPr>
        <w:rFonts w:ascii="Courier New" w:hAnsi="Courier New" w:cs="Courier New" w:hint="default"/>
      </w:rPr>
    </w:lvl>
    <w:lvl w:ilvl="2" w:tplc="040C0005" w:tentative="1">
      <w:start w:val="1"/>
      <w:numFmt w:val="bullet"/>
      <w:lvlText w:val=""/>
      <w:lvlJc w:val="left"/>
      <w:pPr>
        <w:ind w:left="2405" w:hanging="360"/>
      </w:pPr>
      <w:rPr>
        <w:rFonts w:ascii="Wingdings" w:hAnsi="Wingdings" w:hint="default"/>
      </w:rPr>
    </w:lvl>
    <w:lvl w:ilvl="3" w:tplc="040C0001" w:tentative="1">
      <w:start w:val="1"/>
      <w:numFmt w:val="bullet"/>
      <w:lvlText w:val=""/>
      <w:lvlJc w:val="left"/>
      <w:pPr>
        <w:ind w:left="3125" w:hanging="360"/>
      </w:pPr>
      <w:rPr>
        <w:rFonts w:ascii="Symbol" w:hAnsi="Symbol" w:hint="default"/>
      </w:rPr>
    </w:lvl>
    <w:lvl w:ilvl="4" w:tplc="040C0003" w:tentative="1">
      <w:start w:val="1"/>
      <w:numFmt w:val="bullet"/>
      <w:lvlText w:val="o"/>
      <w:lvlJc w:val="left"/>
      <w:pPr>
        <w:ind w:left="3845" w:hanging="360"/>
      </w:pPr>
      <w:rPr>
        <w:rFonts w:ascii="Courier New" w:hAnsi="Courier New" w:cs="Courier New" w:hint="default"/>
      </w:rPr>
    </w:lvl>
    <w:lvl w:ilvl="5" w:tplc="040C0005" w:tentative="1">
      <w:start w:val="1"/>
      <w:numFmt w:val="bullet"/>
      <w:lvlText w:val=""/>
      <w:lvlJc w:val="left"/>
      <w:pPr>
        <w:ind w:left="4565" w:hanging="360"/>
      </w:pPr>
      <w:rPr>
        <w:rFonts w:ascii="Wingdings" w:hAnsi="Wingdings" w:hint="default"/>
      </w:rPr>
    </w:lvl>
    <w:lvl w:ilvl="6" w:tplc="040C0001" w:tentative="1">
      <w:start w:val="1"/>
      <w:numFmt w:val="bullet"/>
      <w:lvlText w:val=""/>
      <w:lvlJc w:val="left"/>
      <w:pPr>
        <w:ind w:left="5285" w:hanging="360"/>
      </w:pPr>
      <w:rPr>
        <w:rFonts w:ascii="Symbol" w:hAnsi="Symbol" w:hint="default"/>
      </w:rPr>
    </w:lvl>
    <w:lvl w:ilvl="7" w:tplc="040C0003" w:tentative="1">
      <w:start w:val="1"/>
      <w:numFmt w:val="bullet"/>
      <w:lvlText w:val="o"/>
      <w:lvlJc w:val="left"/>
      <w:pPr>
        <w:ind w:left="6005" w:hanging="360"/>
      </w:pPr>
      <w:rPr>
        <w:rFonts w:ascii="Courier New" w:hAnsi="Courier New" w:cs="Courier New" w:hint="default"/>
      </w:rPr>
    </w:lvl>
    <w:lvl w:ilvl="8" w:tplc="040C0005" w:tentative="1">
      <w:start w:val="1"/>
      <w:numFmt w:val="bullet"/>
      <w:lvlText w:val=""/>
      <w:lvlJc w:val="left"/>
      <w:pPr>
        <w:ind w:left="6725" w:hanging="360"/>
      </w:pPr>
      <w:rPr>
        <w:rFonts w:ascii="Wingdings" w:hAnsi="Wingdings" w:hint="default"/>
      </w:rPr>
    </w:lvl>
  </w:abstractNum>
  <w:num w:numId="1">
    <w:abstractNumId w:val="13"/>
  </w:num>
  <w:num w:numId="2">
    <w:abstractNumId w:val="1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0"/>
  </w:num>
  <w:num w:numId="6">
    <w:abstractNumId w:val="3"/>
  </w:num>
  <w:num w:numId="7">
    <w:abstractNumId w:val="16"/>
  </w:num>
  <w:num w:numId="8">
    <w:abstractNumId w:val="9"/>
  </w:num>
  <w:num w:numId="9">
    <w:abstractNumId w:val="14"/>
  </w:num>
  <w:num w:numId="10">
    <w:abstractNumId w:val="16"/>
  </w:num>
  <w:num w:numId="11">
    <w:abstractNumId w:val="17"/>
  </w:num>
  <w:num w:numId="12">
    <w:abstractNumId w:val="16"/>
  </w:num>
  <w:num w:numId="13">
    <w:abstractNumId w:val="4"/>
  </w:num>
  <w:num w:numId="14">
    <w:abstractNumId w:val="16"/>
  </w:num>
  <w:num w:numId="15">
    <w:abstractNumId w:val="14"/>
  </w:num>
  <w:num w:numId="16">
    <w:abstractNumId w:val="16"/>
  </w:num>
  <w:num w:numId="17">
    <w:abstractNumId w:val="16"/>
  </w:num>
  <w:num w:numId="18">
    <w:abstractNumId w:val="14"/>
  </w:num>
  <w:num w:numId="19">
    <w:abstractNumId w:val="16"/>
  </w:num>
  <w:num w:numId="20">
    <w:abstractNumId w:val="16"/>
  </w:num>
  <w:num w:numId="21">
    <w:abstractNumId w:val="14"/>
  </w:num>
  <w:num w:numId="22">
    <w:abstractNumId w:val="14"/>
  </w:num>
  <w:num w:numId="23">
    <w:abstractNumId w:val="16"/>
  </w:num>
  <w:num w:numId="24">
    <w:abstractNumId w:val="8"/>
  </w:num>
  <w:num w:numId="25">
    <w:abstractNumId w:val="1"/>
  </w:num>
  <w:num w:numId="26">
    <w:abstractNumId w:val="12"/>
  </w:num>
  <w:num w:numId="27">
    <w:abstractNumId w:val="16"/>
  </w:num>
  <w:num w:numId="28">
    <w:abstractNumId w:val="2"/>
  </w:num>
  <w:num w:numId="29">
    <w:abstractNumId w:val="10"/>
  </w:num>
  <w:num w:numId="30">
    <w:abstractNumId w:val="2"/>
  </w:num>
  <w:num w:numId="31">
    <w:abstractNumId w:val="18"/>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16"/>
  </w:num>
  <w:num w:numId="35">
    <w:abstractNumId w:val="14"/>
  </w:num>
  <w:num w:numId="36">
    <w:abstractNumId w:val="17"/>
  </w:num>
  <w:num w:numId="37">
    <w:abstractNumId w:val="16"/>
  </w:num>
  <w:num w:numId="38">
    <w:abstractNumId w:val="14"/>
  </w:num>
  <w:num w:numId="39">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4C"/>
    <w:rsid w:val="003332AA"/>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531B"/>
    <w:rsid w:val="003758B7"/>
    <w:rsid w:val="00375CBD"/>
    <w:rsid w:val="0037642E"/>
    <w:rsid w:val="0037647F"/>
    <w:rsid w:val="00376CC9"/>
    <w:rsid w:val="003770EE"/>
    <w:rsid w:val="0037789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18F"/>
    <w:rsid w:val="00631AA3"/>
    <w:rsid w:val="00632B65"/>
    <w:rsid w:val="00632DCE"/>
    <w:rsid w:val="00633140"/>
    <w:rsid w:val="00634673"/>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45E"/>
    <w:rsid w:val="00706743"/>
    <w:rsid w:val="00707070"/>
    <w:rsid w:val="00707213"/>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5426"/>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10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hyperlink" Target="http://commerciaux.celca.caisse-epargne.fr/download/236/oav/7448/suivi-mb-isilis-banque-darrivee-fev18.xls" TargetMode="Externa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http://wnsgprw1.celca.caisse-epargne.fr/app/bci/INF/DMA_INF_N020_18.pdf" TargetMode="Externa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http://commerciaux.celca.caisse-epargne.fr/download/1157/fichiers-a-traiter/4147/mb_dossiers-domilis-a-saisir-mode-operatoire.docx" TargetMode="External"/><Relationship Id="rId25" Type="http://schemas.openxmlformats.org/officeDocument/2006/relationships/image" Target="cid:image002.png@01D3BD2B.67017AF0" TargetMode="External"/><Relationship Id="rId2" Type="http://schemas.openxmlformats.org/officeDocument/2006/relationships/numbering" Target="numbering.xml"/><Relationship Id="rId16" Type="http://schemas.openxmlformats.org/officeDocument/2006/relationships/hyperlink" Target="http://commerciaux.celca.caisse-epargne.fr/download/1157/fichiers-a-traiter/4960/mb_dossiers-domilis-a-saisir.xls" TargetMode="External"/><Relationship Id="rId20" Type="http://schemas.openxmlformats.org/officeDocument/2006/relationships/hyperlink" Target="http://commerciaux.celca.caisse-epargne.fr/download/1293/iris/7488/suivi-commercialisation-iris.xlsx" TargetMode="External"/><Relationship Id="rId29" Type="http://schemas.openxmlformats.org/officeDocument/2006/relationships/hyperlink" Target="http://commerciaux.celca.caisse-epargne.fr/download/1176/documents-hors-arbo-2/5429/delai-de-traitement-bdd-dircred-2017.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image" Target="media/image1.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commerciaux.celca.caisse-epargne.fr/download/1078/izivente-izicarte-oav/3541/fichier-izicartes-en-instance-3.xlsx" TargetMode="External"/><Relationship Id="rId23" Type="http://schemas.openxmlformats.org/officeDocument/2006/relationships/hyperlink" Target="http://commerciaux.celca.caisse-epargne.fr/particuliers/epargne-2/loi-de-finances-218/loi-de-finances-2018/" TargetMode="External"/><Relationship Id="rId28" Type="http://schemas.openxmlformats.org/officeDocument/2006/relationships/hyperlink" Target="mailto:celca-b-dsb-production-flux@celca-epargne.fr" TargetMode="External"/><Relationship Id="rId10" Type="http://schemas.openxmlformats.org/officeDocument/2006/relationships/hyperlink" Target="http://commerciaux.celca.caisse-epargne.fr/download/329/lutte-anti-resiliation/7491/lutte-anti-resiliation.xlsx" TargetMode="External"/><Relationship Id="rId19" Type="http://schemas.openxmlformats.org/officeDocument/2006/relationships/hyperlink" Target="http://commerciaux.celca.caisse-epargne.fr/download/1273/helios-avril-2028/7487/suivi-commercialisation-helios.xlsx"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commerciaux.celca.caisse-epargne.fr/download/267/pel-en-non-respect/7489/pel-potentiellement-en-non-respect.xlsx" TargetMode="External"/><Relationship Id="rId14" Type="http://schemas.openxmlformats.org/officeDocument/2006/relationships/hyperlink" Target="http://commerciaux.celca.caisse-epargne.fr/download/267/pel-en-non-respect/7489/pel-potentiellement-en-non-respect.xlsx" TargetMode="External"/><Relationship Id="rId22" Type="http://schemas.openxmlformats.org/officeDocument/2006/relationships/hyperlink" Target="https://prismic-io.s3.amazonaws.com/espaceopcvm%2Ff29a1033-e97d-4d87-b2ba-ba5ebbfd5c99_avis+financiers+caisse+d+epargne.pdf" TargetMode="External"/><Relationship Id="rId27" Type="http://schemas.openxmlformats.org/officeDocument/2006/relationships/image" Target="cid:image001.png@01D3BC40.569A54C0" TargetMode="External"/><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64789-764E-4FE9-A94D-F107920A1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1590</TotalTime>
  <Pages>1</Pages>
  <Words>2219</Words>
  <Characters>12209</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150</cp:revision>
  <dcterms:created xsi:type="dcterms:W3CDTF">2018-01-22T16:25:00Z</dcterms:created>
  <dcterms:modified xsi:type="dcterms:W3CDTF">2018-03-19T16:34:00Z</dcterms:modified>
</cp:coreProperties>
</file>