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4D6530">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BRIEFING</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AUDIO</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201</w:t>
            </w:r>
            <w:r w:rsidR="00B47989">
              <w:rPr>
                <w:rFonts w:ascii="Times New Roman" w:hAnsi="Times New Roman" w:cs="Times New Roman"/>
                <w:b/>
                <w:sz w:val="32"/>
                <w:szCs w:val="40"/>
              </w:rPr>
              <w:t>8</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2F4398">
              <w:rPr>
                <w:rFonts w:ascii="Times New Roman" w:hAnsi="Times New Roman" w:cs="Times New Roman"/>
                <w:b/>
                <w:sz w:val="32"/>
                <w:szCs w:val="40"/>
              </w:rPr>
              <w:t>13</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2F4398">
        <w:trPr>
          <w:trHeight w:val="393"/>
        </w:trPr>
        <w:tc>
          <w:tcPr>
            <w:tcW w:w="15735" w:type="dxa"/>
            <w:gridSpan w:val="3"/>
            <w:tcBorders>
              <w:bottom w:val="single" w:sz="4" w:space="0" w:color="auto"/>
            </w:tcBorders>
            <w:shd w:val="clear" w:color="auto" w:fill="548DD4" w:themeFill="text2" w:themeFillTint="99"/>
            <w:vAlign w:val="center"/>
          </w:tcPr>
          <w:p w:rsidR="0051254F" w:rsidRPr="00E81F6E" w:rsidRDefault="005D7D64" w:rsidP="002F4398">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715066" w:rsidRPr="00E81F6E" w:rsidTr="00AF3BE3">
        <w:trPr>
          <w:trHeight w:val="169"/>
        </w:trPr>
        <w:tc>
          <w:tcPr>
            <w:tcW w:w="1560" w:type="dxa"/>
            <w:tcBorders>
              <w:bottom w:val="single" w:sz="4" w:space="0" w:color="auto"/>
            </w:tcBorders>
            <w:shd w:val="clear" w:color="auto" w:fill="FFFFFF" w:themeFill="background1"/>
          </w:tcPr>
          <w:p w:rsidR="00715066" w:rsidRPr="009650E2" w:rsidRDefault="00715066">
            <w:pPr>
              <w:rPr>
                <w:rFonts w:ascii="Times New Roman" w:hAnsi="Times New Roman" w:cs="Times New Roman"/>
                <w:color w:val="000000"/>
                <w:sz w:val="20"/>
                <w:szCs w:val="20"/>
              </w:rPr>
            </w:pPr>
            <w:r w:rsidRPr="009650E2">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715066" w:rsidRPr="009650E2" w:rsidRDefault="00715066">
            <w:pPr>
              <w:rPr>
                <w:rFonts w:ascii="Times New Roman" w:hAnsi="Times New Roman" w:cs="Times New Roman"/>
                <w:b/>
                <w:bCs/>
                <w:color w:val="000000"/>
                <w:sz w:val="20"/>
                <w:szCs w:val="20"/>
              </w:rPr>
            </w:pPr>
            <w:r w:rsidRPr="009650E2">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715066" w:rsidRPr="009650E2" w:rsidRDefault="00472815" w:rsidP="00715066">
            <w:pPr>
              <w:numPr>
                <w:ilvl w:val="0"/>
                <w:numId w:val="47"/>
              </w:numPr>
              <w:ind w:left="176" w:hanging="176"/>
              <w:contextualSpacing/>
              <w:jc w:val="both"/>
              <w:rPr>
                <w:rFonts w:ascii="Times New Roman" w:hAnsi="Times New Roman" w:cs="Times New Roman"/>
                <w:b/>
                <w:bCs/>
                <w:color w:val="000000"/>
                <w:sz w:val="20"/>
                <w:szCs w:val="20"/>
              </w:rPr>
            </w:pPr>
            <w:hyperlink r:id="rId9" w:history="1">
              <w:r w:rsidR="00715066" w:rsidRPr="009650E2">
                <w:rPr>
                  <w:rStyle w:val="Lienhypertexte"/>
                  <w:rFonts w:ascii="Times New Roman" w:hAnsi="Times New Roman" w:cs="Times New Roman"/>
                  <w:sz w:val="20"/>
                  <w:szCs w:val="20"/>
                  <w:lang w:eastAsia="fr-FR"/>
                </w:rPr>
                <w:t>CLIQUEZ ICI</w:t>
              </w:r>
            </w:hyperlink>
            <w:r w:rsidR="00715066" w:rsidRPr="009650E2">
              <w:rPr>
                <w:rFonts w:ascii="Times New Roman" w:hAnsi="Times New Roman" w:cs="Times New Roman"/>
                <w:color w:val="000000"/>
                <w:sz w:val="20"/>
                <w:szCs w:val="20"/>
                <w:lang w:eastAsia="fr-FR"/>
              </w:rPr>
              <w:t xml:space="preserve"> pour accéder à la liste des PEL potentiellement en non-respect arrêté au 26 mars 2018 qui seront clôturés à J+1 de la date anniversaire</w:t>
            </w:r>
            <w:r w:rsidR="00715066" w:rsidRPr="009650E2">
              <w:rPr>
                <w:rFonts w:ascii="Times New Roman" w:hAnsi="Times New Roman" w:cs="Times New Roman"/>
                <w:color w:val="1F497D"/>
                <w:sz w:val="20"/>
                <w:szCs w:val="20"/>
                <w:lang w:eastAsia="fr-FR"/>
              </w:rPr>
              <w:t xml:space="preserve"> </w:t>
            </w:r>
            <w:r w:rsidR="00715066" w:rsidRPr="009650E2">
              <w:rPr>
                <w:rFonts w:ascii="Times New Roman" w:hAnsi="Times New Roman" w:cs="Times New Roman"/>
                <w:color w:val="000000"/>
                <w:sz w:val="20"/>
                <w:szCs w:val="20"/>
                <w:lang w:eastAsia="fr-FR"/>
              </w:rPr>
              <w:t>(volumétrie 366 clients).</w:t>
            </w:r>
          </w:p>
        </w:tc>
      </w:tr>
      <w:tr w:rsidR="00715066" w:rsidRPr="00E81F6E" w:rsidTr="00AF3BE3">
        <w:trPr>
          <w:trHeight w:val="334"/>
        </w:trPr>
        <w:tc>
          <w:tcPr>
            <w:tcW w:w="1560" w:type="dxa"/>
            <w:tcBorders>
              <w:bottom w:val="single" w:sz="4" w:space="0" w:color="auto"/>
            </w:tcBorders>
            <w:shd w:val="clear" w:color="auto" w:fill="FFFFFF" w:themeFill="background1"/>
          </w:tcPr>
          <w:p w:rsidR="00715066" w:rsidRPr="009650E2" w:rsidRDefault="00715066">
            <w:pPr>
              <w:rPr>
                <w:rFonts w:ascii="Times New Roman" w:hAnsi="Times New Roman" w:cs="Times New Roman"/>
                <w:color w:val="000000"/>
                <w:sz w:val="20"/>
                <w:szCs w:val="20"/>
              </w:rPr>
            </w:pPr>
            <w:r w:rsidRPr="009650E2">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715066" w:rsidRPr="009650E2" w:rsidRDefault="00715066">
            <w:pPr>
              <w:rPr>
                <w:rFonts w:ascii="Times New Roman" w:hAnsi="Times New Roman" w:cs="Times New Roman"/>
                <w:b/>
                <w:bCs/>
                <w:color w:val="000000"/>
                <w:sz w:val="20"/>
                <w:szCs w:val="20"/>
              </w:rPr>
            </w:pPr>
            <w:r w:rsidRPr="009650E2">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715066" w:rsidRPr="009650E2" w:rsidRDefault="00472815" w:rsidP="00715066">
            <w:pPr>
              <w:numPr>
                <w:ilvl w:val="0"/>
                <w:numId w:val="47"/>
              </w:numPr>
              <w:ind w:left="176" w:hanging="176"/>
              <w:contextualSpacing/>
              <w:jc w:val="both"/>
              <w:rPr>
                <w:rFonts w:ascii="Times New Roman" w:hAnsi="Times New Roman" w:cs="Times New Roman"/>
                <w:color w:val="000000"/>
                <w:sz w:val="20"/>
                <w:szCs w:val="20"/>
                <w:lang w:eastAsia="fr-FR"/>
              </w:rPr>
            </w:pPr>
            <w:hyperlink r:id="rId10" w:history="1">
              <w:r w:rsidR="00715066" w:rsidRPr="009650E2">
                <w:rPr>
                  <w:rStyle w:val="Lienhypertexte"/>
                  <w:rFonts w:ascii="Times New Roman" w:hAnsi="Times New Roman" w:cs="Times New Roman"/>
                  <w:sz w:val="20"/>
                  <w:szCs w:val="20"/>
                  <w:lang w:eastAsia="fr-FR"/>
                </w:rPr>
                <w:t>CLIQUEZ ICI</w:t>
              </w:r>
            </w:hyperlink>
            <w:r w:rsidR="00715066" w:rsidRPr="009650E2">
              <w:rPr>
                <w:rFonts w:ascii="Times New Roman" w:hAnsi="Times New Roman" w:cs="Times New Roman"/>
                <w:color w:val="000000"/>
                <w:sz w:val="20"/>
                <w:szCs w:val="20"/>
                <w:lang w:eastAsia="fr-FR"/>
              </w:rPr>
              <w:t xml:space="preserve"> pour accéder au fichier Lutte anti-résiliation IARD arrêté au 26 mars 2018 (volumétrie 267 clients). </w:t>
            </w:r>
          </w:p>
        </w:tc>
      </w:tr>
      <w:tr w:rsidR="00715066" w:rsidRPr="00E81F6E" w:rsidTr="00AF3BE3">
        <w:trPr>
          <w:trHeight w:val="365"/>
        </w:trPr>
        <w:tc>
          <w:tcPr>
            <w:tcW w:w="1560" w:type="dxa"/>
            <w:tcBorders>
              <w:bottom w:val="single" w:sz="4" w:space="0" w:color="auto"/>
            </w:tcBorders>
            <w:shd w:val="clear" w:color="auto" w:fill="FFFFFF" w:themeFill="background1"/>
          </w:tcPr>
          <w:p w:rsidR="00715066" w:rsidRPr="009650E2" w:rsidRDefault="00715066">
            <w:pPr>
              <w:rPr>
                <w:rFonts w:ascii="Times New Roman" w:hAnsi="Times New Roman" w:cs="Times New Roman"/>
                <w:b/>
                <w:bCs/>
                <w:color w:val="000000"/>
                <w:sz w:val="20"/>
                <w:szCs w:val="20"/>
              </w:rPr>
            </w:pPr>
            <w:r w:rsidRPr="009650E2">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715066" w:rsidRPr="009650E2" w:rsidRDefault="00715066">
            <w:pPr>
              <w:rPr>
                <w:rFonts w:ascii="Times New Roman" w:hAnsi="Times New Roman" w:cs="Times New Roman"/>
                <w:b/>
                <w:bCs/>
                <w:color w:val="000000"/>
                <w:sz w:val="20"/>
                <w:szCs w:val="20"/>
              </w:rPr>
            </w:pPr>
            <w:r w:rsidRPr="009650E2">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715066" w:rsidRPr="009650E2" w:rsidRDefault="00472815" w:rsidP="00715066">
            <w:pPr>
              <w:numPr>
                <w:ilvl w:val="0"/>
                <w:numId w:val="47"/>
              </w:numPr>
              <w:ind w:left="176" w:hanging="176"/>
              <w:contextualSpacing/>
              <w:jc w:val="both"/>
              <w:rPr>
                <w:rFonts w:ascii="Times New Roman" w:hAnsi="Times New Roman" w:cs="Times New Roman"/>
                <w:color w:val="000000"/>
                <w:sz w:val="20"/>
                <w:szCs w:val="20"/>
                <w:lang w:eastAsia="fr-FR"/>
              </w:rPr>
            </w:pPr>
            <w:hyperlink r:id="rId11" w:history="1">
              <w:r w:rsidR="00715066" w:rsidRPr="009650E2">
                <w:rPr>
                  <w:rStyle w:val="Lienhypertexte"/>
                  <w:rFonts w:ascii="Times New Roman" w:hAnsi="Times New Roman" w:cs="Times New Roman"/>
                  <w:color w:val="000000"/>
                  <w:sz w:val="20"/>
                  <w:szCs w:val="20"/>
                  <w:lang w:eastAsia="fr-FR"/>
                </w:rPr>
                <w:t>CLIQUEZ ICI</w:t>
              </w:r>
            </w:hyperlink>
            <w:r w:rsidR="00715066" w:rsidRPr="009650E2">
              <w:rPr>
                <w:rFonts w:ascii="Times New Roman" w:hAnsi="Times New Roman" w:cs="Times New Roman"/>
                <w:color w:val="000000"/>
                <w:sz w:val="20"/>
                <w:szCs w:val="20"/>
                <w:lang w:eastAsia="fr-FR"/>
              </w:rPr>
              <w:t xml:space="preserve"> pour accéder au fichier de surveillance IARD du mois de mai 2018 (volumétrie 91 clients).</w:t>
            </w:r>
          </w:p>
        </w:tc>
      </w:tr>
      <w:tr w:rsidR="00715066" w:rsidRPr="00E81F6E" w:rsidTr="00AF3BE3">
        <w:trPr>
          <w:trHeight w:val="169"/>
        </w:trPr>
        <w:tc>
          <w:tcPr>
            <w:tcW w:w="1560" w:type="dxa"/>
            <w:tcBorders>
              <w:bottom w:val="single" w:sz="4" w:space="0" w:color="auto"/>
            </w:tcBorders>
            <w:shd w:val="clear" w:color="auto" w:fill="FFFFFF" w:themeFill="background1"/>
          </w:tcPr>
          <w:p w:rsidR="00715066" w:rsidRPr="009650E2" w:rsidRDefault="00715066">
            <w:pPr>
              <w:rPr>
                <w:rFonts w:ascii="Times New Roman" w:hAnsi="Times New Roman" w:cs="Times New Roman"/>
                <w:b/>
                <w:bCs/>
                <w:color w:val="000000"/>
                <w:sz w:val="20"/>
                <w:szCs w:val="20"/>
              </w:rPr>
            </w:pPr>
            <w:r w:rsidRPr="009650E2">
              <w:rPr>
                <w:rFonts w:ascii="Times New Roman" w:hAnsi="Times New Roman" w:cs="Times New Roman"/>
                <w:b/>
                <w:bCs/>
                <w:color w:val="000000"/>
                <w:sz w:val="20"/>
                <w:szCs w:val="20"/>
              </w:rPr>
              <w:t>Com. DSB</w:t>
            </w:r>
          </w:p>
        </w:tc>
        <w:tc>
          <w:tcPr>
            <w:tcW w:w="1843" w:type="dxa"/>
            <w:tcBorders>
              <w:bottom w:val="single" w:sz="4" w:space="0" w:color="auto"/>
            </w:tcBorders>
            <w:shd w:val="clear" w:color="auto" w:fill="FFFFFF" w:themeFill="background1"/>
          </w:tcPr>
          <w:p w:rsidR="00715066" w:rsidRPr="009650E2" w:rsidRDefault="00715066">
            <w:pPr>
              <w:rPr>
                <w:rFonts w:ascii="Times New Roman" w:hAnsi="Times New Roman" w:cs="Times New Roman"/>
                <w:b/>
                <w:bCs/>
                <w:color w:val="000000"/>
                <w:sz w:val="20"/>
                <w:szCs w:val="20"/>
              </w:rPr>
            </w:pPr>
            <w:r w:rsidRPr="009650E2">
              <w:rPr>
                <w:rFonts w:ascii="Times New Roman" w:hAnsi="Times New Roman" w:cs="Times New Roman"/>
                <w:b/>
                <w:bCs/>
                <w:color w:val="000000"/>
                <w:sz w:val="20"/>
                <w:szCs w:val="20"/>
              </w:rPr>
              <w:t>Livret A</w:t>
            </w:r>
          </w:p>
        </w:tc>
        <w:tc>
          <w:tcPr>
            <w:tcW w:w="12332" w:type="dxa"/>
            <w:tcBorders>
              <w:bottom w:val="single" w:sz="4" w:space="0" w:color="auto"/>
            </w:tcBorders>
            <w:shd w:val="clear" w:color="auto" w:fill="FFFFFF" w:themeFill="background1"/>
          </w:tcPr>
          <w:p w:rsidR="00715066" w:rsidRPr="009650E2" w:rsidRDefault="00715066" w:rsidP="00715066">
            <w:pPr>
              <w:numPr>
                <w:ilvl w:val="0"/>
                <w:numId w:val="47"/>
              </w:numPr>
              <w:ind w:left="176" w:hanging="176"/>
              <w:contextualSpacing/>
              <w:jc w:val="both"/>
              <w:rPr>
                <w:rFonts w:ascii="Times New Roman" w:hAnsi="Times New Roman" w:cs="Times New Roman"/>
                <w:color w:val="000000"/>
                <w:sz w:val="20"/>
                <w:szCs w:val="20"/>
              </w:rPr>
            </w:pPr>
            <w:r w:rsidRPr="009650E2">
              <w:rPr>
                <w:rFonts w:ascii="Times New Roman" w:hAnsi="Times New Roman" w:cs="Times New Roman"/>
                <w:color w:val="000000"/>
                <w:sz w:val="20"/>
                <w:szCs w:val="20"/>
                <w:lang w:eastAsia="fr-FR"/>
              </w:rPr>
              <w:t xml:space="preserve">Comme indiqué dans la note </w:t>
            </w:r>
            <w:hyperlink r:id="rId12" w:history="1">
              <w:r w:rsidRPr="009650E2">
                <w:rPr>
                  <w:rStyle w:val="Lienhypertexte"/>
                  <w:rFonts w:ascii="Times New Roman" w:hAnsi="Times New Roman" w:cs="Times New Roman"/>
                  <w:color w:val="000000"/>
                  <w:sz w:val="20"/>
                  <w:szCs w:val="20"/>
                  <w:lang w:eastAsia="fr-FR"/>
                </w:rPr>
                <w:t>DSB INF17/05</w:t>
              </w:r>
            </w:hyperlink>
            <w:r w:rsidRPr="009650E2">
              <w:rPr>
                <w:rFonts w:ascii="Times New Roman" w:hAnsi="Times New Roman" w:cs="Times New Roman"/>
                <w:color w:val="000000"/>
                <w:sz w:val="20"/>
                <w:szCs w:val="20"/>
                <w:lang w:eastAsia="fr-FR"/>
              </w:rPr>
              <w:t xml:space="preserve">, vous trouverez la liste des Livrets A ouverts en février suite à clôture à la concurrence en </w:t>
            </w:r>
            <w:hyperlink r:id="rId13" w:history="1">
              <w:r w:rsidRPr="009650E2">
                <w:rPr>
                  <w:rStyle w:val="Lienhypertexte"/>
                  <w:rFonts w:ascii="Times New Roman" w:hAnsi="Times New Roman" w:cs="Times New Roman"/>
                  <w:color w:val="000000"/>
                  <w:sz w:val="20"/>
                  <w:szCs w:val="20"/>
                  <w:lang w:eastAsia="fr-FR"/>
                </w:rPr>
                <w:t>cliquant ici</w:t>
              </w:r>
            </w:hyperlink>
            <w:r w:rsidRPr="009650E2">
              <w:rPr>
                <w:rFonts w:ascii="Times New Roman" w:hAnsi="Times New Roman" w:cs="Times New Roman"/>
                <w:color w:val="000000"/>
                <w:sz w:val="20"/>
                <w:szCs w:val="20"/>
                <w:lang w:eastAsia="fr-FR"/>
              </w:rPr>
              <w:t xml:space="preserve"> (215 clients).</w:t>
            </w:r>
          </w:p>
        </w:tc>
      </w:tr>
      <w:tr w:rsidR="00715066" w:rsidRPr="00E81F6E" w:rsidTr="00AF3BE3">
        <w:trPr>
          <w:trHeight w:val="515"/>
        </w:trPr>
        <w:tc>
          <w:tcPr>
            <w:tcW w:w="1560" w:type="dxa"/>
            <w:tcBorders>
              <w:bottom w:val="single" w:sz="4" w:space="0" w:color="auto"/>
            </w:tcBorders>
            <w:shd w:val="clear" w:color="auto" w:fill="FFFFFF" w:themeFill="background1"/>
          </w:tcPr>
          <w:p w:rsidR="00715066" w:rsidRPr="009650E2" w:rsidRDefault="00715066">
            <w:pPr>
              <w:rPr>
                <w:rFonts w:ascii="Times New Roman" w:hAnsi="Times New Roman" w:cs="Times New Roman"/>
                <w:b/>
                <w:bCs/>
                <w:sz w:val="20"/>
                <w:szCs w:val="20"/>
              </w:rPr>
            </w:pPr>
            <w:r w:rsidRPr="009650E2">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715066" w:rsidRPr="009650E2" w:rsidRDefault="00715066" w:rsidP="00E41EB1">
            <w:pPr>
              <w:rPr>
                <w:rFonts w:ascii="Times New Roman" w:hAnsi="Times New Roman" w:cs="Times New Roman"/>
                <w:b/>
                <w:bCs/>
                <w:sz w:val="20"/>
                <w:szCs w:val="20"/>
              </w:rPr>
            </w:pPr>
            <w:r w:rsidRPr="009650E2">
              <w:rPr>
                <w:rFonts w:ascii="Times New Roman" w:hAnsi="Times New Roman" w:cs="Times New Roman"/>
                <w:b/>
                <w:bCs/>
                <w:sz w:val="20"/>
                <w:szCs w:val="20"/>
              </w:rPr>
              <w:t>IZICARTE</w:t>
            </w:r>
          </w:p>
        </w:tc>
        <w:tc>
          <w:tcPr>
            <w:tcW w:w="12332" w:type="dxa"/>
            <w:tcBorders>
              <w:bottom w:val="single" w:sz="4" w:space="0" w:color="auto"/>
            </w:tcBorders>
            <w:shd w:val="clear" w:color="auto" w:fill="FFFFFF" w:themeFill="background1"/>
          </w:tcPr>
          <w:p w:rsidR="00715066" w:rsidRPr="009650E2" w:rsidRDefault="00472815" w:rsidP="00715066">
            <w:pPr>
              <w:numPr>
                <w:ilvl w:val="0"/>
                <w:numId w:val="47"/>
              </w:numPr>
              <w:ind w:left="176" w:hanging="176"/>
              <w:contextualSpacing/>
              <w:jc w:val="both"/>
              <w:rPr>
                <w:rFonts w:ascii="Times New Roman" w:hAnsi="Times New Roman" w:cs="Times New Roman"/>
                <w:b/>
                <w:bCs/>
                <w:color w:val="000000"/>
                <w:sz w:val="20"/>
                <w:szCs w:val="20"/>
              </w:rPr>
            </w:pPr>
            <w:hyperlink r:id="rId14" w:history="1">
              <w:r w:rsidR="00715066" w:rsidRPr="009650E2">
                <w:rPr>
                  <w:rStyle w:val="Lienhypertexte"/>
                  <w:rFonts w:ascii="Times New Roman" w:hAnsi="Times New Roman" w:cs="Times New Roman"/>
                  <w:sz w:val="20"/>
                  <w:szCs w:val="20"/>
                  <w:lang w:eastAsia="fr-FR"/>
                </w:rPr>
                <w:t>CLIQUEZ ICI</w:t>
              </w:r>
            </w:hyperlink>
            <w:r w:rsidR="00715066" w:rsidRPr="009650E2">
              <w:rPr>
                <w:rFonts w:ascii="Times New Roman" w:hAnsi="Times New Roman" w:cs="Times New Roman"/>
                <w:color w:val="000000"/>
                <w:sz w:val="20"/>
                <w:szCs w:val="20"/>
                <w:lang w:eastAsia="fr-FR"/>
              </w:rPr>
              <w:t xml:space="preserve"> pour accéder à la liste des PEL potentiellement en non-respect arrêté au 26 mars 2018 qui seront clôturés à J+1 de la date anniversaire</w:t>
            </w:r>
            <w:r w:rsidR="00715066" w:rsidRPr="009650E2">
              <w:rPr>
                <w:rFonts w:ascii="Times New Roman" w:hAnsi="Times New Roman" w:cs="Times New Roman"/>
                <w:color w:val="1F497D"/>
                <w:sz w:val="20"/>
                <w:szCs w:val="20"/>
                <w:lang w:eastAsia="fr-FR"/>
              </w:rPr>
              <w:t xml:space="preserve"> </w:t>
            </w:r>
            <w:r w:rsidR="00715066" w:rsidRPr="009650E2">
              <w:rPr>
                <w:rFonts w:ascii="Times New Roman" w:hAnsi="Times New Roman" w:cs="Times New Roman"/>
                <w:color w:val="000000"/>
                <w:sz w:val="20"/>
                <w:szCs w:val="20"/>
                <w:lang w:eastAsia="fr-FR"/>
              </w:rPr>
              <w:t>(volumétrie 366 clients).</w:t>
            </w:r>
          </w:p>
        </w:tc>
      </w:tr>
      <w:tr w:rsidR="004C1A2A" w:rsidRPr="00E81F6E" w:rsidTr="004C1A2A">
        <w:trPr>
          <w:trHeight w:val="487"/>
        </w:trPr>
        <w:tc>
          <w:tcPr>
            <w:tcW w:w="1560" w:type="dxa"/>
            <w:tcBorders>
              <w:bottom w:val="single" w:sz="4" w:space="0" w:color="auto"/>
            </w:tcBorders>
            <w:shd w:val="clear" w:color="auto" w:fill="FFFFFF" w:themeFill="background1"/>
          </w:tcPr>
          <w:p w:rsidR="004C1A2A" w:rsidRPr="009650E2" w:rsidRDefault="004C1A2A">
            <w:pPr>
              <w:rPr>
                <w:rFonts w:ascii="Times New Roman" w:hAnsi="Times New Roman" w:cs="Times New Roman"/>
                <w:b/>
                <w:bCs/>
                <w:sz w:val="20"/>
                <w:szCs w:val="20"/>
              </w:rPr>
            </w:pPr>
            <w:r w:rsidRPr="009650E2">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4C1A2A" w:rsidRPr="009650E2" w:rsidRDefault="004C1A2A" w:rsidP="004C1A2A">
            <w:pPr>
              <w:rPr>
                <w:rFonts w:ascii="Times New Roman" w:hAnsi="Times New Roman" w:cs="Times New Roman"/>
                <w:b/>
                <w:bCs/>
                <w:sz w:val="20"/>
                <w:szCs w:val="20"/>
              </w:rPr>
            </w:pPr>
            <w:r w:rsidRPr="009650E2">
              <w:rPr>
                <w:rFonts w:ascii="Times New Roman" w:hAnsi="Times New Roman" w:cs="Times New Roman"/>
                <w:b/>
                <w:bCs/>
                <w:sz w:val="20"/>
                <w:szCs w:val="20"/>
              </w:rPr>
              <w:t>MOBILITE BANCAIRE</w:t>
            </w:r>
          </w:p>
        </w:tc>
        <w:tc>
          <w:tcPr>
            <w:tcW w:w="12332" w:type="dxa"/>
            <w:tcBorders>
              <w:bottom w:val="single" w:sz="4" w:space="0" w:color="auto"/>
            </w:tcBorders>
            <w:shd w:val="clear" w:color="auto" w:fill="FFFFFF" w:themeFill="background1"/>
          </w:tcPr>
          <w:p w:rsidR="004C1A2A" w:rsidRPr="009650E2" w:rsidRDefault="00472815" w:rsidP="004C1A2A">
            <w:pPr>
              <w:numPr>
                <w:ilvl w:val="0"/>
                <w:numId w:val="49"/>
              </w:numPr>
              <w:ind w:left="176" w:hanging="176"/>
              <w:contextualSpacing/>
              <w:jc w:val="both"/>
              <w:rPr>
                <w:rFonts w:ascii="Times New Roman" w:hAnsi="Times New Roman" w:cs="Times New Roman"/>
                <w:sz w:val="20"/>
                <w:szCs w:val="20"/>
                <w:lang w:eastAsia="fr-FR"/>
              </w:rPr>
            </w:pPr>
            <w:hyperlink r:id="rId15" w:history="1">
              <w:r w:rsidR="004C1A2A" w:rsidRPr="009650E2">
                <w:rPr>
                  <w:rStyle w:val="Lienhypertexte"/>
                  <w:rFonts w:ascii="Times New Roman" w:hAnsi="Times New Roman" w:cs="Times New Roman"/>
                  <w:sz w:val="20"/>
                  <w:szCs w:val="20"/>
                  <w:lang w:eastAsia="fr-FR"/>
                </w:rPr>
                <w:t>CLIQUEZ ICI</w:t>
              </w:r>
            </w:hyperlink>
            <w:r w:rsidR="004C1A2A" w:rsidRPr="009650E2">
              <w:rPr>
                <w:rStyle w:val="Lienhypertexte"/>
                <w:rFonts w:ascii="Times New Roman" w:hAnsi="Times New Roman" w:cs="Times New Roman"/>
                <w:sz w:val="20"/>
                <w:szCs w:val="20"/>
                <w:lang w:eastAsia="fr-FR"/>
              </w:rPr>
              <w:t xml:space="preserve"> </w:t>
            </w:r>
            <w:r w:rsidR="004C1A2A" w:rsidRPr="009650E2">
              <w:rPr>
                <w:rFonts w:ascii="Times New Roman" w:hAnsi="Times New Roman" w:cs="Times New Roman"/>
                <w:sz w:val="20"/>
                <w:szCs w:val="20"/>
                <w:lang w:eastAsia="fr-FR"/>
              </w:rPr>
              <w:t xml:space="preserve">pour trouver la liste des dossiers Domilis à initier, qui sont pour l’heure en échec suite au rejet des mandats (volumétrie : 486 mandats au 26 mars 2018) </w:t>
            </w:r>
            <w:hyperlink r:id="rId16" w:history="1">
              <w:r w:rsidR="004C1A2A" w:rsidRPr="009650E2">
                <w:rPr>
                  <w:rStyle w:val="Lienhypertexte"/>
                  <w:rFonts w:ascii="Times New Roman" w:hAnsi="Times New Roman" w:cs="Times New Roman"/>
                  <w:sz w:val="20"/>
                  <w:szCs w:val="20"/>
                  <w:lang w:eastAsia="fr-FR"/>
                </w:rPr>
                <w:t>CLIQUEZ ICI</w:t>
              </w:r>
            </w:hyperlink>
            <w:r w:rsidR="004C1A2A" w:rsidRPr="009650E2">
              <w:rPr>
                <w:rFonts w:ascii="Times New Roman" w:hAnsi="Times New Roman" w:cs="Times New Roman"/>
                <w:sz w:val="20"/>
                <w:szCs w:val="20"/>
                <w:lang w:eastAsia="fr-FR"/>
              </w:rPr>
              <w:t xml:space="preserve"> pour accéder au mode opératoire.</w:t>
            </w:r>
          </w:p>
        </w:tc>
      </w:tr>
      <w:tr w:rsidR="00A62E1D" w:rsidRPr="00E81F6E" w:rsidTr="002F4398">
        <w:trPr>
          <w:trHeight w:val="39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AF3BE3" w:rsidRPr="00E81F6E" w:rsidTr="00AF3BE3">
        <w:trPr>
          <w:trHeight w:val="248"/>
        </w:trPr>
        <w:tc>
          <w:tcPr>
            <w:tcW w:w="15735" w:type="dxa"/>
            <w:gridSpan w:val="3"/>
            <w:tcBorders>
              <w:bottom w:val="single" w:sz="4" w:space="0" w:color="auto"/>
            </w:tcBorders>
            <w:shd w:val="pct20" w:color="auto" w:fill="auto"/>
          </w:tcPr>
          <w:p w:rsidR="00AF3BE3" w:rsidRPr="00AF3BE3" w:rsidRDefault="00AF3BE3" w:rsidP="00AF3BE3">
            <w:pPr>
              <w:pStyle w:val="wordsection1"/>
              <w:spacing w:before="0" w:beforeAutospacing="0" w:after="0" w:afterAutospacing="0"/>
              <w:jc w:val="center"/>
              <w:rPr>
                <w:b/>
                <w:sz w:val="20"/>
                <w:szCs w:val="20"/>
                <w:lang w:eastAsia="en-US"/>
              </w:rPr>
            </w:pPr>
            <w:r w:rsidRPr="00AF3BE3">
              <w:rPr>
                <w:b/>
                <w:sz w:val="20"/>
                <w:szCs w:val="20"/>
                <w:lang w:eastAsia="en-US"/>
              </w:rPr>
              <w:t>Epargne</w:t>
            </w:r>
          </w:p>
        </w:tc>
      </w:tr>
      <w:tr w:rsidR="00250B54" w:rsidRPr="00E81F6E" w:rsidTr="00AF3BE3">
        <w:trPr>
          <w:trHeight w:val="248"/>
        </w:trPr>
        <w:tc>
          <w:tcPr>
            <w:tcW w:w="1560" w:type="dxa"/>
            <w:tcBorders>
              <w:bottom w:val="single" w:sz="4" w:space="0" w:color="auto"/>
            </w:tcBorders>
          </w:tcPr>
          <w:p w:rsidR="00250B54" w:rsidRPr="003139DE" w:rsidRDefault="00250B54">
            <w:pPr>
              <w:rPr>
                <w:rFonts w:ascii="Times New Roman" w:hAnsi="Times New Roman" w:cs="Times New Roman"/>
                <w:b/>
                <w:bCs/>
                <w:sz w:val="20"/>
                <w:szCs w:val="20"/>
              </w:rPr>
            </w:pPr>
            <w:r w:rsidRPr="003139DE">
              <w:rPr>
                <w:rFonts w:ascii="Times New Roman" w:hAnsi="Times New Roman" w:cs="Times New Roman"/>
                <w:b/>
                <w:bCs/>
                <w:sz w:val="20"/>
                <w:szCs w:val="20"/>
              </w:rPr>
              <w:t>Com. DMA</w:t>
            </w:r>
          </w:p>
        </w:tc>
        <w:tc>
          <w:tcPr>
            <w:tcW w:w="1843" w:type="dxa"/>
            <w:tcBorders>
              <w:bottom w:val="single" w:sz="4" w:space="0" w:color="auto"/>
            </w:tcBorders>
          </w:tcPr>
          <w:p w:rsidR="00250B54" w:rsidRPr="00495EE9" w:rsidRDefault="00250B54" w:rsidP="002B5790">
            <w:pPr>
              <w:rPr>
                <w:rFonts w:ascii="Calibri" w:hAnsi="Calibri" w:cs="Calibri"/>
                <w:sz w:val="20"/>
                <w:szCs w:val="20"/>
              </w:rPr>
            </w:pPr>
            <w:r>
              <w:rPr>
                <w:rFonts w:ascii="Times New Roman" w:hAnsi="Times New Roman" w:cs="Times New Roman"/>
                <w:b/>
                <w:bCs/>
                <w:sz w:val="20"/>
                <w:szCs w:val="20"/>
              </w:rPr>
              <w:t xml:space="preserve">Fin du jeu bicentenaire </w:t>
            </w:r>
          </w:p>
        </w:tc>
        <w:tc>
          <w:tcPr>
            <w:tcW w:w="12332" w:type="dxa"/>
            <w:tcBorders>
              <w:bottom w:val="single" w:sz="4" w:space="0" w:color="auto"/>
            </w:tcBorders>
            <w:shd w:val="clear" w:color="auto" w:fill="auto"/>
          </w:tcPr>
          <w:p w:rsidR="00250B54" w:rsidRPr="00454B86" w:rsidRDefault="00250B54" w:rsidP="004A2945">
            <w:pPr>
              <w:pStyle w:val="Paragraphedeliste"/>
              <w:numPr>
                <w:ilvl w:val="0"/>
                <w:numId w:val="39"/>
              </w:numPr>
              <w:ind w:left="194" w:hanging="194"/>
              <w:jc w:val="both"/>
              <w:rPr>
                <w:rFonts w:ascii="Times New Roman" w:hAnsi="Times New Roman" w:cs="Times New Roman"/>
                <w:sz w:val="20"/>
                <w:szCs w:val="20"/>
              </w:rPr>
            </w:pPr>
            <w:r>
              <w:rPr>
                <w:rFonts w:ascii="Times New Roman" w:hAnsi="Times New Roman" w:cs="Times New Roman"/>
                <w:sz w:val="20"/>
                <w:szCs w:val="20"/>
              </w:rPr>
              <w:t>Pour rappel, le Grand Jeu du Bicentenaire prendra fin le 31 mars prochain. Afin de pouvoir procéder au tirage au sort</w:t>
            </w:r>
            <w:r w:rsidRPr="00250B54">
              <w:rPr>
                <w:rFonts w:ascii="Times New Roman" w:hAnsi="Times New Roman" w:cs="Times New Roman"/>
                <w:b/>
                <w:sz w:val="20"/>
                <w:szCs w:val="20"/>
              </w:rPr>
              <w:t xml:space="preserve">, nous vous demandons de bien vouloir nous retourner les coupons complétés par les clients </w:t>
            </w:r>
            <w:r w:rsidRPr="00BB28C0">
              <w:rPr>
                <w:rFonts w:ascii="Times New Roman" w:hAnsi="Times New Roman" w:cs="Times New Roman"/>
                <w:b/>
                <w:sz w:val="20"/>
                <w:szCs w:val="20"/>
                <w:u w:val="single"/>
              </w:rPr>
              <w:t>avant le jeudi 12 avril</w:t>
            </w:r>
            <w:r>
              <w:rPr>
                <w:rFonts w:ascii="Times New Roman" w:hAnsi="Times New Roman" w:cs="Times New Roman"/>
                <w:sz w:val="20"/>
                <w:szCs w:val="20"/>
              </w:rPr>
              <w:t xml:space="preserve"> par navette interne à l’attention de : Direction Marketing – Département Marchés et Communication. </w:t>
            </w:r>
          </w:p>
        </w:tc>
      </w:tr>
      <w:tr w:rsidR="004A2945" w:rsidRPr="00E81F6E" w:rsidTr="00AF3BE3">
        <w:trPr>
          <w:trHeight w:val="248"/>
        </w:trPr>
        <w:tc>
          <w:tcPr>
            <w:tcW w:w="1560" w:type="dxa"/>
            <w:tcBorders>
              <w:bottom w:val="single" w:sz="4" w:space="0" w:color="auto"/>
            </w:tcBorders>
          </w:tcPr>
          <w:p w:rsidR="004A2945" w:rsidRPr="003139DE" w:rsidRDefault="004A2945">
            <w:pPr>
              <w:rPr>
                <w:rFonts w:ascii="Times New Roman" w:hAnsi="Times New Roman" w:cs="Times New Roman"/>
                <w:b/>
                <w:bCs/>
                <w:sz w:val="20"/>
                <w:szCs w:val="20"/>
              </w:rPr>
            </w:pPr>
            <w:r w:rsidRPr="003139DE">
              <w:rPr>
                <w:rFonts w:ascii="Times New Roman" w:hAnsi="Times New Roman" w:cs="Times New Roman"/>
                <w:b/>
                <w:bCs/>
                <w:sz w:val="20"/>
                <w:szCs w:val="20"/>
              </w:rPr>
              <w:t>Com. DMA</w:t>
            </w:r>
          </w:p>
        </w:tc>
        <w:tc>
          <w:tcPr>
            <w:tcW w:w="1843" w:type="dxa"/>
            <w:tcBorders>
              <w:bottom w:val="single" w:sz="4" w:space="0" w:color="auto"/>
            </w:tcBorders>
          </w:tcPr>
          <w:p w:rsidR="004A2945" w:rsidRDefault="004A2945">
            <w:pPr>
              <w:pStyle w:val="wordsection1"/>
              <w:rPr>
                <w:b/>
                <w:bCs/>
                <w:sz w:val="20"/>
                <w:szCs w:val="20"/>
                <w:lang w:val="en-US" w:eastAsia="en-US"/>
              </w:rPr>
            </w:pPr>
            <w:r>
              <w:rPr>
                <w:b/>
                <w:bCs/>
                <w:sz w:val="20"/>
                <w:szCs w:val="20"/>
                <w:lang w:val="en-US" w:eastAsia="en-US"/>
              </w:rPr>
              <w:t>CTO / PEA - DORVAL Conviction PEA</w:t>
            </w:r>
          </w:p>
        </w:tc>
        <w:tc>
          <w:tcPr>
            <w:tcW w:w="12332" w:type="dxa"/>
            <w:tcBorders>
              <w:bottom w:val="single" w:sz="4" w:space="0" w:color="auto"/>
            </w:tcBorders>
            <w:shd w:val="clear" w:color="auto" w:fill="auto"/>
          </w:tcPr>
          <w:p w:rsidR="004A2945" w:rsidRPr="004A2945" w:rsidRDefault="0066373C" w:rsidP="004A2945">
            <w:pPr>
              <w:pStyle w:val="wordsection1"/>
              <w:numPr>
                <w:ilvl w:val="0"/>
                <w:numId w:val="40"/>
              </w:numPr>
              <w:spacing w:before="0" w:beforeAutospacing="0" w:after="0" w:afterAutospacing="0"/>
              <w:ind w:left="187" w:hanging="187"/>
              <w:jc w:val="both"/>
              <w:rPr>
                <w:rFonts w:ascii="Calibri" w:hAnsi="Calibri" w:cs="Calibri"/>
                <w:color w:val="1F497D"/>
                <w:sz w:val="22"/>
                <w:szCs w:val="22"/>
              </w:rPr>
            </w:pPr>
            <w:r>
              <w:rPr>
                <w:b/>
                <w:sz w:val="20"/>
                <w:szCs w:val="20"/>
              </w:rPr>
              <w:t>Depuis le</w:t>
            </w:r>
            <w:r w:rsidR="004A2945" w:rsidRPr="004A2945">
              <w:rPr>
                <w:b/>
                <w:sz w:val="20"/>
                <w:szCs w:val="20"/>
              </w:rPr>
              <w:t xml:space="preserve"> 14 mars 2018, les Sélections Essentielle, Patrimoniale et Gestion Privée s’enrichissent avec l’intégration d’un nouveau Fonds dans la famille des produits d’allocation : Dorval Convictions PEA.</w:t>
            </w:r>
            <w:r w:rsidR="004A2945">
              <w:rPr>
                <w:sz w:val="20"/>
                <w:szCs w:val="20"/>
              </w:rPr>
              <w:t xml:space="preserve"> </w:t>
            </w:r>
            <w:r w:rsidR="004A2945" w:rsidRPr="004A2945">
              <w:rPr>
                <w:sz w:val="20"/>
                <w:szCs w:val="20"/>
              </w:rPr>
              <w:t>Ce fond</w:t>
            </w:r>
            <w:bookmarkStart w:id="0" w:name="_GoBack"/>
            <w:bookmarkEnd w:id="0"/>
            <w:r w:rsidR="004A2945" w:rsidRPr="004A2945">
              <w:rPr>
                <w:sz w:val="20"/>
                <w:szCs w:val="20"/>
              </w:rPr>
              <w:t>s est éligible au CTO et au cadre fiscal avantageux du PEA.</w:t>
            </w:r>
          </w:p>
          <w:p w:rsidR="004A2945" w:rsidRDefault="004A2945" w:rsidP="004A2945">
            <w:pPr>
              <w:pStyle w:val="wordsection1"/>
              <w:numPr>
                <w:ilvl w:val="0"/>
                <w:numId w:val="40"/>
              </w:numPr>
              <w:spacing w:before="0" w:beforeAutospacing="0" w:after="0" w:afterAutospacing="0"/>
              <w:ind w:left="187" w:hanging="187"/>
              <w:jc w:val="both"/>
              <w:rPr>
                <w:rFonts w:ascii="Calibri" w:hAnsi="Calibri" w:cs="Calibri"/>
                <w:color w:val="1F497D"/>
                <w:sz w:val="22"/>
                <w:szCs w:val="22"/>
              </w:rPr>
            </w:pPr>
            <w:r>
              <w:rPr>
                <w:sz w:val="20"/>
                <w:szCs w:val="20"/>
              </w:rPr>
              <w:t xml:space="preserve">Les notes d’informations des Sélections Essentielle, Patrimoniale et Gestion Privée seront prochainement mises à jour. Vous pouvez retrouver les informations dans la rubrique des commerciaux en cliquant </w:t>
            </w:r>
            <w:hyperlink r:id="rId17" w:history="1">
              <w:r>
                <w:rPr>
                  <w:rStyle w:val="Lienhypertexte"/>
                  <w:sz w:val="20"/>
                  <w:szCs w:val="20"/>
                </w:rPr>
                <w:t>ICI</w:t>
              </w:r>
            </w:hyperlink>
            <w:r>
              <w:rPr>
                <w:sz w:val="20"/>
                <w:szCs w:val="20"/>
              </w:rPr>
              <w:t>.</w:t>
            </w:r>
          </w:p>
        </w:tc>
      </w:tr>
      <w:tr w:rsidR="004A2945" w:rsidRPr="00E81F6E" w:rsidTr="00AF3BE3">
        <w:trPr>
          <w:trHeight w:val="248"/>
        </w:trPr>
        <w:tc>
          <w:tcPr>
            <w:tcW w:w="1560" w:type="dxa"/>
            <w:tcBorders>
              <w:bottom w:val="single" w:sz="4" w:space="0" w:color="auto"/>
            </w:tcBorders>
          </w:tcPr>
          <w:p w:rsidR="004A2945" w:rsidRDefault="004A2945">
            <w:r w:rsidRPr="003139DE">
              <w:rPr>
                <w:rFonts w:ascii="Times New Roman" w:hAnsi="Times New Roman" w:cs="Times New Roman"/>
                <w:b/>
                <w:bCs/>
                <w:sz w:val="20"/>
                <w:szCs w:val="20"/>
              </w:rPr>
              <w:t>Com. DMA</w:t>
            </w:r>
          </w:p>
        </w:tc>
        <w:tc>
          <w:tcPr>
            <w:tcW w:w="1843" w:type="dxa"/>
            <w:tcBorders>
              <w:bottom w:val="single" w:sz="4" w:space="0" w:color="auto"/>
            </w:tcBorders>
          </w:tcPr>
          <w:p w:rsidR="004A2945" w:rsidRDefault="004A2945">
            <w:pPr>
              <w:pStyle w:val="wordsection1"/>
              <w:rPr>
                <w:b/>
                <w:bCs/>
                <w:sz w:val="20"/>
                <w:szCs w:val="20"/>
                <w:lang w:eastAsia="en-US"/>
              </w:rPr>
            </w:pPr>
            <w:r>
              <w:rPr>
                <w:b/>
                <w:bCs/>
                <w:sz w:val="20"/>
                <w:szCs w:val="20"/>
                <w:lang w:eastAsia="en-US"/>
              </w:rPr>
              <w:t>Assurance-vie – Outil d’aide à la vente à la « Pierre Papier »</w:t>
            </w:r>
          </w:p>
        </w:tc>
        <w:tc>
          <w:tcPr>
            <w:tcW w:w="12332" w:type="dxa"/>
            <w:tcBorders>
              <w:bottom w:val="single" w:sz="4" w:space="0" w:color="auto"/>
            </w:tcBorders>
            <w:shd w:val="clear" w:color="auto" w:fill="auto"/>
          </w:tcPr>
          <w:p w:rsidR="004A2945" w:rsidRDefault="004A2945" w:rsidP="004A2945">
            <w:pPr>
              <w:pStyle w:val="wordsection1"/>
              <w:numPr>
                <w:ilvl w:val="0"/>
                <w:numId w:val="40"/>
              </w:numPr>
              <w:spacing w:before="0" w:beforeAutospacing="0" w:after="0" w:afterAutospacing="0"/>
              <w:ind w:left="187" w:hanging="187"/>
              <w:jc w:val="both"/>
              <w:rPr>
                <w:rFonts w:ascii="Calibri" w:hAnsi="Calibri" w:cs="Calibri"/>
                <w:color w:val="1F497D"/>
                <w:sz w:val="22"/>
                <w:szCs w:val="22"/>
              </w:rPr>
            </w:pPr>
            <w:r w:rsidRPr="004A2945">
              <w:rPr>
                <w:b/>
                <w:sz w:val="20"/>
                <w:szCs w:val="20"/>
              </w:rPr>
              <w:t>Un nouvel outil d’aide à la vente Pierre Papier en Assurance vie (OPCI et SCPI) est à votre disposition dans la rubrique des commerciaux.</w:t>
            </w:r>
            <w:r>
              <w:rPr>
                <w:sz w:val="20"/>
                <w:szCs w:val="20"/>
              </w:rPr>
              <w:t xml:space="preserve"> Cliquez </w:t>
            </w:r>
            <w:hyperlink r:id="rId18" w:history="1">
              <w:r>
                <w:rPr>
                  <w:rStyle w:val="Lienhypertexte"/>
                  <w:sz w:val="20"/>
                  <w:szCs w:val="20"/>
                </w:rPr>
                <w:t>ICI</w:t>
              </w:r>
            </w:hyperlink>
            <w:r>
              <w:rPr>
                <w:color w:val="1F497D"/>
                <w:sz w:val="20"/>
                <w:szCs w:val="20"/>
              </w:rPr>
              <w:t xml:space="preserve"> </w:t>
            </w:r>
            <w:r>
              <w:rPr>
                <w:sz w:val="20"/>
                <w:szCs w:val="20"/>
              </w:rPr>
              <w:t>pour y accéder. Vous pourrez retrouver toutes les caractéristiques concernant ces offres afin d’apporter des réponses aux besoins de diversification de vos clients. Des exemplaires papier seront prochainement distribués en agence.</w:t>
            </w:r>
          </w:p>
        </w:tc>
      </w:tr>
      <w:tr w:rsidR="002950F3" w:rsidRPr="00E81F6E" w:rsidTr="00AF3BE3">
        <w:trPr>
          <w:trHeight w:val="248"/>
        </w:trPr>
        <w:tc>
          <w:tcPr>
            <w:tcW w:w="1560" w:type="dxa"/>
            <w:tcBorders>
              <w:bottom w:val="single" w:sz="4" w:space="0" w:color="auto"/>
            </w:tcBorders>
          </w:tcPr>
          <w:p w:rsidR="002950F3" w:rsidRDefault="002950F3">
            <w:r w:rsidRPr="00B04F01">
              <w:rPr>
                <w:rFonts w:ascii="Times New Roman" w:hAnsi="Times New Roman" w:cs="Times New Roman"/>
                <w:b/>
                <w:bCs/>
                <w:sz w:val="20"/>
                <w:szCs w:val="20"/>
              </w:rPr>
              <w:t>Com. DMA</w:t>
            </w:r>
          </w:p>
        </w:tc>
        <w:tc>
          <w:tcPr>
            <w:tcW w:w="1843" w:type="dxa"/>
            <w:tcBorders>
              <w:bottom w:val="single" w:sz="4" w:space="0" w:color="auto"/>
            </w:tcBorders>
          </w:tcPr>
          <w:p w:rsidR="002950F3" w:rsidRPr="002950F3" w:rsidRDefault="002950F3" w:rsidP="009650E2">
            <w:pPr>
              <w:pStyle w:val="wordsection1"/>
              <w:spacing w:before="0" w:beforeAutospacing="0" w:after="0" w:afterAutospacing="0"/>
              <w:rPr>
                <w:b/>
                <w:bCs/>
                <w:sz w:val="20"/>
                <w:szCs w:val="20"/>
              </w:rPr>
            </w:pPr>
            <w:r w:rsidRPr="002950F3">
              <w:rPr>
                <w:b/>
                <w:bCs/>
                <w:sz w:val="20"/>
                <w:szCs w:val="20"/>
              </w:rPr>
              <w:t>Conditions d’éligibilité LEP 2018</w:t>
            </w:r>
          </w:p>
        </w:tc>
        <w:tc>
          <w:tcPr>
            <w:tcW w:w="12332" w:type="dxa"/>
            <w:tcBorders>
              <w:bottom w:val="single" w:sz="4" w:space="0" w:color="auto"/>
            </w:tcBorders>
            <w:shd w:val="clear" w:color="auto" w:fill="auto"/>
          </w:tcPr>
          <w:p w:rsidR="002950F3" w:rsidRPr="002950F3" w:rsidRDefault="002950F3" w:rsidP="009650E2">
            <w:pPr>
              <w:pStyle w:val="wordsection1"/>
              <w:numPr>
                <w:ilvl w:val="0"/>
                <w:numId w:val="43"/>
              </w:numPr>
              <w:spacing w:before="0" w:beforeAutospacing="0" w:after="0" w:afterAutospacing="0"/>
              <w:ind w:left="187" w:hanging="187"/>
              <w:rPr>
                <w:sz w:val="20"/>
                <w:szCs w:val="20"/>
              </w:rPr>
            </w:pPr>
            <w:r w:rsidRPr="002950F3">
              <w:rPr>
                <w:sz w:val="20"/>
                <w:szCs w:val="20"/>
              </w:rPr>
              <w:t>Les plafonds d’éligibilité au LEP évoluent permettant ainsi à certains clients de bénéficier de ce produit défiscalisé.</w:t>
            </w:r>
          </w:p>
          <w:p w:rsidR="002950F3" w:rsidRPr="002950F3" w:rsidRDefault="002950F3" w:rsidP="009650E2">
            <w:pPr>
              <w:pStyle w:val="wordsection1"/>
              <w:numPr>
                <w:ilvl w:val="0"/>
                <w:numId w:val="43"/>
              </w:numPr>
              <w:spacing w:before="0" w:beforeAutospacing="0" w:after="0" w:afterAutospacing="0"/>
              <w:ind w:left="187" w:hanging="187"/>
              <w:rPr>
                <w:sz w:val="20"/>
                <w:szCs w:val="20"/>
              </w:rPr>
            </w:pPr>
            <w:r w:rsidRPr="002950F3">
              <w:rPr>
                <w:sz w:val="20"/>
                <w:szCs w:val="20"/>
              </w:rPr>
              <w:t>Pour information, les justificatifs autorisés pour l’année 2018 sont</w:t>
            </w:r>
            <w:r w:rsidRPr="002950F3">
              <w:rPr>
                <w:color w:val="1F497D"/>
                <w:sz w:val="20"/>
                <w:szCs w:val="20"/>
              </w:rPr>
              <w:t xml:space="preserve"> </w:t>
            </w:r>
            <w:r w:rsidRPr="002950F3">
              <w:rPr>
                <w:sz w:val="20"/>
                <w:szCs w:val="20"/>
              </w:rPr>
              <w:t>:</w:t>
            </w:r>
          </w:p>
          <w:p w:rsidR="002950F3" w:rsidRPr="002950F3" w:rsidRDefault="002950F3" w:rsidP="009650E2">
            <w:pPr>
              <w:pStyle w:val="wordsection1"/>
              <w:numPr>
                <w:ilvl w:val="1"/>
                <w:numId w:val="43"/>
              </w:numPr>
              <w:spacing w:before="0" w:beforeAutospacing="0" w:after="0" w:afterAutospacing="0"/>
              <w:rPr>
                <w:sz w:val="20"/>
                <w:szCs w:val="20"/>
              </w:rPr>
            </w:pPr>
            <w:r w:rsidRPr="002950F3">
              <w:rPr>
                <w:sz w:val="20"/>
                <w:szCs w:val="20"/>
              </w:rPr>
              <w:t>L’avis d’imposition ou de non-imposition 2017 adressé par les Services Publics ou dématérialisé</w:t>
            </w:r>
            <w:r w:rsidRPr="002950F3">
              <w:rPr>
                <w:color w:val="1F497D"/>
                <w:sz w:val="20"/>
                <w:szCs w:val="20"/>
              </w:rPr>
              <w:t>.</w:t>
            </w:r>
          </w:p>
          <w:p w:rsidR="002950F3" w:rsidRPr="002950F3" w:rsidRDefault="002950F3" w:rsidP="009650E2">
            <w:pPr>
              <w:pStyle w:val="wordsection1"/>
              <w:numPr>
                <w:ilvl w:val="1"/>
                <w:numId w:val="43"/>
              </w:numPr>
              <w:spacing w:before="0" w:beforeAutospacing="0" w:after="0" w:afterAutospacing="0"/>
              <w:rPr>
                <w:sz w:val="20"/>
                <w:szCs w:val="20"/>
              </w:rPr>
            </w:pPr>
            <w:r w:rsidRPr="002950F3">
              <w:rPr>
                <w:sz w:val="20"/>
                <w:szCs w:val="20"/>
              </w:rPr>
              <w:t>Le justificatif d’impôt 2017 sur le revenu 2016 préalablement imprimé en ligne sur internet par le client.</w:t>
            </w:r>
          </w:p>
          <w:p w:rsidR="002950F3" w:rsidRPr="002950F3" w:rsidRDefault="002950F3" w:rsidP="009650E2">
            <w:pPr>
              <w:pStyle w:val="wordsection1"/>
              <w:numPr>
                <w:ilvl w:val="1"/>
                <w:numId w:val="43"/>
              </w:numPr>
              <w:spacing w:before="0" w:beforeAutospacing="0" w:after="0" w:afterAutospacing="0"/>
              <w:rPr>
                <w:sz w:val="20"/>
                <w:szCs w:val="20"/>
              </w:rPr>
            </w:pPr>
            <w:r w:rsidRPr="002950F3">
              <w:rPr>
                <w:sz w:val="20"/>
                <w:szCs w:val="20"/>
              </w:rPr>
              <w:t>L'Avis 2017 de Situation Déclarative à l'Impôt sur le Revenu 2016 (ASDIR). Cet avis est valable uniquement si le client est non imposable. Il est immédiatement disponible à l'issue de la déclaration des revenus en ligne.</w:t>
            </w:r>
          </w:p>
          <w:p w:rsidR="002950F3" w:rsidRPr="002950F3" w:rsidRDefault="002950F3" w:rsidP="009650E2">
            <w:pPr>
              <w:pStyle w:val="wordsection1"/>
              <w:numPr>
                <w:ilvl w:val="0"/>
                <w:numId w:val="43"/>
              </w:numPr>
              <w:spacing w:before="0" w:beforeAutospacing="0" w:after="0" w:afterAutospacing="0"/>
              <w:ind w:left="187" w:hanging="187"/>
              <w:rPr>
                <w:sz w:val="20"/>
                <w:szCs w:val="20"/>
              </w:rPr>
            </w:pPr>
            <w:r w:rsidRPr="002950F3">
              <w:rPr>
                <w:sz w:val="20"/>
                <w:szCs w:val="20"/>
              </w:rPr>
              <w:t>Retrouvez plus d’informations dans la note DMA-INF/18.025 en ligne dans l’intranet.</w:t>
            </w:r>
          </w:p>
        </w:tc>
      </w:tr>
      <w:tr w:rsidR="00312E9D" w:rsidRPr="00E81F6E" w:rsidTr="0098174C">
        <w:trPr>
          <w:trHeight w:val="248"/>
        </w:trPr>
        <w:tc>
          <w:tcPr>
            <w:tcW w:w="15735" w:type="dxa"/>
            <w:gridSpan w:val="3"/>
            <w:tcBorders>
              <w:bottom w:val="single" w:sz="4" w:space="0" w:color="auto"/>
            </w:tcBorders>
            <w:shd w:val="clear" w:color="auto" w:fill="BFBFBF" w:themeFill="background1" w:themeFillShade="BF"/>
          </w:tcPr>
          <w:p w:rsidR="00312E9D" w:rsidRPr="00317E86" w:rsidRDefault="00DF5ACA" w:rsidP="0098174C">
            <w:pPr>
              <w:contextualSpacing/>
              <w:jc w:val="center"/>
              <w:rPr>
                <w:rFonts w:ascii="Times New Roman" w:hAnsi="Times New Roman" w:cs="Times New Roman"/>
                <w:b/>
                <w:color w:val="000000"/>
                <w:sz w:val="20"/>
                <w:szCs w:val="20"/>
                <w:lang w:eastAsia="fr-FR"/>
              </w:rPr>
            </w:pPr>
            <w:r>
              <w:rPr>
                <w:rFonts w:ascii="Times New Roman" w:hAnsi="Times New Roman" w:cs="Times New Roman"/>
                <w:b/>
                <w:color w:val="000000"/>
                <w:sz w:val="20"/>
                <w:szCs w:val="20"/>
                <w:lang w:eastAsia="fr-FR"/>
              </w:rPr>
              <w:t>Bancarisation</w:t>
            </w:r>
          </w:p>
        </w:tc>
      </w:tr>
      <w:tr w:rsidR="00F478E6" w:rsidRPr="00E81F6E" w:rsidTr="0030397F">
        <w:trPr>
          <w:trHeight w:val="248"/>
        </w:trPr>
        <w:tc>
          <w:tcPr>
            <w:tcW w:w="1560" w:type="dxa"/>
            <w:tcBorders>
              <w:bottom w:val="single" w:sz="4" w:space="0" w:color="auto"/>
            </w:tcBorders>
          </w:tcPr>
          <w:p w:rsidR="00F478E6" w:rsidRDefault="00F478E6">
            <w:pPr>
              <w:rPr>
                <w:rFonts w:ascii="Calibri" w:hAnsi="Calibri" w:cs="Calibri"/>
              </w:rPr>
            </w:pPr>
            <w:r>
              <w:rPr>
                <w:rFonts w:ascii="Times New Roman" w:hAnsi="Times New Roman" w:cs="Times New Roman"/>
                <w:b/>
                <w:bCs/>
                <w:sz w:val="20"/>
                <w:szCs w:val="20"/>
              </w:rPr>
              <w:t>Com. DMA</w:t>
            </w:r>
          </w:p>
        </w:tc>
        <w:tc>
          <w:tcPr>
            <w:tcW w:w="1843" w:type="dxa"/>
            <w:tcBorders>
              <w:bottom w:val="single" w:sz="4" w:space="0" w:color="auto"/>
            </w:tcBorders>
          </w:tcPr>
          <w:p w:rsidR="00F478E6" w:rsidRPr="00F478E6" w:rsidRDefault="00F478E6">
            <w:pPr>
              <w:rPr>
                <w:rFonts w:ascii="Times New Roman" w:hAnsi="Times New Roman" w:cs="Times New Roman"/>
                <w:sz w:val="20"/>
                <w:szCs w:val="20"/>
              </w:rPr>
            </w:pPr>
            <w:r w:rsidRPr="00F478E6">
              <w:rPr>
                <w:rFonts w:ascii="Times New Roman" w:hAnsi="Times New Roman" w:cs="Times New Roman"/>
                <w:b/>
                <w:bCs/>
                <w:sz w:val="20"/>
                <w:szCs w:val="20"/>
              </w:rPr>
              <w:t>Opération Kartable - Newsletter Jeunes</w:t>
            </w:r>
          </w:p>
        </w:tc>
        <w:tc>
          <w:tcPr>
            <w:tcW w:w="12332" w:type="dxa"/>
            <w:tcBorders>
              <w:bottom w:val="single" w:sz="4" w:space="0" w:color="auto"/>
            </w:tcBorders>
            <w:shd w:val="clear" w:color="auto" w:fill="auto"/>
          </w:tcPr>
          <w:p w:rsidR="00F478E6" w:rsidRPr="00F478E6" w:rsidRDefault="00F478E6" w:rsidP="00F478E6">
            <w:pPr>
              <w:pStyle w:val="Paragraphedeliste"/>
              <w:numPr>
                <w:ilvl w:val="0"/>
                <w:numId w:val="43"/>
              </w:numPr>
              <w:ind w:left="176" w:hanging="176"/>
              <w:contextualSpacing w:val="0"/>
              <w:rPr>
                <w:rFonts w:ascii="Times New Roman" w:hAnsi="Times New Roman" w:cs="Times New Roman"/>
                <w:sz w:val="20"/>
                <w:szCs w:val="20"/>
              </w:rPr>
            </w:pPr>
            <w:r w:rsidRPr="00F478E6">
              <w:rPr>
                <w:rFonts w:ascii="Times New Roman" w:hAnsi="Times New Roman" w:cs="Times New Roman"/>
                <w:sz w:val="20"/>
                <w:szCs w:val="20"/>
                <w:lang w:eastAsia="fr-FR"/>
              </w:rPr>
              <w:t>Être utile en aidant les Jeunes à réviser le BAC, c’est possible grâce à l’opération Kartable ! En complément de nos offres promo Bouquet Liberté #JEUNES, profitez de cet accélérateur pour accroitre la conquête, fidéliser et accompagner nos jeunes clients.</w:t>
            </w:r>
          </w:p>
          <w:p w:rsidR="00F478E6" w:rsidRPr="00F478E6" w:rsidRDefault="00F478E6" w:rsidP="00F478E6">
            <w:pPr>
              <w:pStyle w:val="Paragraphedeliste"/>
              <w:numPr>
                <w:ilvl w:val="0"/>
                <w:numId w:val="43"/>
              </w:numPr>
              <w:ind w:left="176" w:hanging="176"/>
              <w:contextualSpacing w:val="0"/>
              <w:rPr>
                <w:rFonts w:ascii="Times New Roman" w:hAnsi="Times New Roman" w:cs="Times New Roman"/>
                <w:sz w:val="20"/>
                <w:szCs w:val="20"/>
              </w:rPr>
            </w:pPr>
            <w:r w:rsidRPr="00F478E6">
              <w:rPr>
                <w:rFonts w:ascii="Times New Roman" w:hAnsi="Times New Roman" w:cs="Times New Roman"/>
                <w:sz w:val="20"/>
                <w:szCs w:val="20"/>
                <w:lang w:eastAsia="fr-FR"/>
              </w:rPr>
              <w:t xml:space="preserve">Retrouvez les détails de l’opération dans la newsletter Jeunes du mois de mars. </w:t>
            </w:r>
            <w:hyperlink r:id="rId19" w:history="1">
              <w:r w:rsidRPr="00F478E6">
                <w:rPr>
                  <w:rStyle w:val="Lienhypertexte"/>
                  <w:rFonts w:ascii="Times New Roman" w:hAnsi="Times New Roman" w:cs="Times New Roman"/>
                  <w:sz w:val="20"/>
                  <w:szCs w:val="20"/>
                  <w:lang w:eastAsia="fr-FR"/>
                </w:rPr>
                <w:t>CLIQUEZ ICI</w:t>
              </w:r>
            </w:hyperlink>
            <w:r w:rsidRPr="00F478E6">
              <w:rPr>
                <w:rFonts w:ascii="Times New Roman" w:hAnsi="Times New Roman" w:cs="Times New Roman"/>
                <w:sz w:val="20"/>
                <w:szCs w:val="20"/>
                <w:lang w:eastAsia="fr-FR"/>
              </w:rPr>
              <w:t xml:space="preserve"> pour y accéder.</w:t>
            </w:r>
          </w:p>
        </w:tc>
      </w:tr>
      <w:tr w:rsidR="00F478E6" w:rsidRPr="00E81F6E" w:rsidTr="0030397F">
        <w:trPr>
          <w:trHeight w:val="248"/>
        </w:trPr>
        <w:tc>
          <w:tcPr>
            <w:tcW w:w="1560" w:type="dxa"/>
            <w:tcBorders>
              <w:bottom w:val="single" w:sz="4" w:space="0" w:color="auto"/>
            </w:tcBorders>
          </w:tcPr>
          <w:p w:rsidR="00F478E6" w:rsidRDefault="00F478E6">
            <w:pPr>
              <w:rPr>
                <w:rFonts w:ascii="Times New Roman" w:hAnsi="Times New Roman" w:cs="Times New Roman"/>
                <w:b/>
                <w:bCs/>
                <w:sz w:val="20"/>
                <w:szCs w:val="20"/>
              </w:rPr>
            </w:pPr>
            <w:r w:rsidRPr="005D40B4">
              <w:rPr>
                <w:rFonts w:ascii="Times New Roman" w:hAnsi="Times New Roman" w:cs="Times New Roman"/>
                <w:b/>
                <w:bCs/>
                <w:sz w:val="20"/>
                <w:szCs w:val="20"/>
              </w:rPr>
              <w:t>Com. DMA</w:t>
            </w:r>
          </w:p>
        </w:tc>
        <w:tc>
          <w:tcPr>
            <w:tcW w:w="1843" w:type="dxa"/>
            <w:tcBorders>
              <w:bottom w:val="single" w:sz="4" w:space="0" w:color="auto"/>
            </w:tcBorders>
          </w:tcPr>
          <w:p w:rsidR="00F478E6" w:rsidRPr="00F478E6" w:rsidRDefault="00F478E6">
            <w:pPr>
              <w:spacing w:after="200" w:line="276" w:lineRule="auto"/>
              <w:rPr>
                <w:rFonts w:ascii="Times New Roman" w:hAnsi="Times New Roman" w:cs="Times New Roman"/>
                <w:sz w:val="20"/>
                <w:szCs w:val="20"/>
              </w:rPr>
            </w:pPr>
            <w:r w:rsidRPr="00F478E6">
              <w:rPr>
                <w:rFonts w:ascii="Times New Roman" w:hAnsi="Times New Roman" w:cs="Times New Roman"/>
                <w:b/>
                <w:bCs/>
                <w:sz w:val="20"/>
                <w:szCs w:val="20"/>
              </w:rPr>
              <w:t xml:space="preserve">Opération Coupe </w:t>
            </w:r>
            <w:r w:rsidRPr="00F478E6">
              <w:rPr>
                <w:rFonts w:ascii="Times New Roman" w:hAnsi="Times New Roman" w:cs="Times New Roman"/>
                <w:b/>
                <w:bCs/>
                <w:sz w:val="20"/>
                <w:szCs w:val="20"/>
              </w:rPr>
              <w:lastRenderedPageBreak/>
              <w:t>du Monde</w:t>
            </w:r>
          </w:p>
        </w:tc>
        <w:tc>
          <w:tcPr>
            <w:tcW w:w="12332" w:type="dxa"/>
            <w:tcBorders>
              <w:bottom w:val="single" w:sz="4" w:space="0" w:color="auto"/>
            </w:tcBorders>
            <w:shd w:val="clear" w:color="auto" w:fill="auto"/>
          </w:tcPr>
          <w:p w:rsidR="00F478E6" w:rsidRPr="00F478E6" w:rsidRDefault="00F478E6" w:rsidP="00F478E6">
            <w:pPr>
              <w:numPr>
                <w:ilvl w:val="0"/>
                <w:numId w:val="43"/>
              </w:numPr>
              <w:ind w:left="176" w:hanging="176"/>
              <w:contextualSpacing/>
              <w:jc w:val="both"/>
              <w:rPr>
                <w:rFonts w:ascii="Times New Roman" w:hAnsi="Times New Roman" w:cs="Times New Roman"/>
                <w:sz w:val="20"/>
                <w:szCs w:val="20"/>
              </w:rPr>
            </w:pPr>
            <w:r w:rsidRPr="00F478E6">
              <w:rPr>
                <w:rFonts w:ascii="Times New Roman" w:hAnsi="Times New Roman" w:cs="Times New Roman"/>
                <w:sz w:val="20"/>
                <w:szCs w:val="20"/>
                <w:lang w:eastAsia="fr-FR"/>
              </w:rPr>
              <w:lastRenderedPageBreak/>
              <w:t>Pour rappel, à l’occasion de la Coupe du Monde de Football 2018, BPCE organise un jeu concours national pour nos clients jusqu’au 6 avril 2018. Des lots d'exception sont mis en jeu !</w:t>
            </w:r>
          </w:p>
          <w:p w:rsidR="00F478E6" w:rsidRPr="00F478E6" w:rsidRDefault="00F478E6" w:rsidP="00F478E6">
            <w:pPr>
              <w:numPr>
                <w:ilvl w:val="0"/>
                <w:numId w:val="43"/>
              </w:numPr>
              <w:spacing w:after="120"/>
              <w:ind w:left="176" w:hanging="176"/>
              <w:contextualSpacing/>
              <w:jc w:val="both"/>
              <w:rPr>
                <w:rFonts w:ascii="Times New Roman" w:hAnsi="Times New Roman" w:cs="Times New Roman"/>
                <w:sz w:val="20"/>
                <w:szCs w:val="20"/>
              </w:rPr>
            </w:pPr>
            <w:r w:rsidRPr="00F478E6">
              <w:rPr>
                <w:rFonts w:ascii="Times New Roman" w:hAnsi="Times New Roman" w:cs="Times New Roman"/>
                <w:sz w:val="20"/>
                <w:szCs w:val="20"/>
                <w:lang w:eastAsia="fr-FR"/>
              </w:rPr>
              <w:lastRenderedPageBreak/>
              <w:t xml:space="preserve">L’inscription au jeu se fait exclusivement sur internet. </w:t>
            </w:r>
            <w:r w:rsidRPr="00F478E6">
              <w:rPr>
                <w:rFonts w:ascii="Times New Roman" w:hAnsi="Times New Roman" w:cs="Times New Roman"/>
                <w:sz w:val="20"/>
                <w:szCs w:val="20"/>
              </w:rPr>
              <w:t>Retrouvez les détails de l’opération dans le brief hebdo de la Semaine 10 (</w:t>
            </w:r>
            <w:hyperlink r:id="rId20" w:history="1">
              <w:r w:rsidRPr="00F478E6">
                <w:rPr>
                  <w:rStyle w:val="Lienhypertexte"/>
                  <w:rFonts w:ascii="Times New Roman" w:hAnsi="Times New Roman" w:cs="Times New Roman"/>
                  <w:sz w:val="20"/>
                  <w:szCs w:val="20"/>
                </w:rPr>
                <w:t>CLIQUEZ ICI</w:t>
              </w:r>
            </w:hyperlink>
            <w:r w:rsidRPr="00F478E6">
              <w:rPr>
                <w:rFonts w:ascii="Times New Roman" w:hAnsi="Times New Roman" w:cs="Times New Roman"/>
                <w:sz w:val="20"/>
                <w:szCs w:val="20"/>
              </w:rPr>
              <w:t xml:space="preserve"> pour y accéder).</w:t>
            </w:r>
          </w:p>
        </w:tc>
      </w:tr>
      <w:tr w:rsidR="00832B1B" w:rsidRPr="00E81F6E" w:rsidTr="00832B1B">
        <w:trPr>
          <w:trHeight w:val="248"/>
        </w:trPr>
        <w:tc>
          <w:tcPr>
            <w:tcW w:w="15735" w:type="dxa"/>
            <w:gridSpan w:val="3"/>
            <w:tcBorders>
              <w:bottom w:val="single" w:sz="4" w:space="0" w:color="auto"/>
            </w:tcBorders>
            <w:shd w:val="clear" w:color="auto" w:fill="BFBFBF" w:themeFill="background1" w:themeFillShade="BF"/>
          </w:tcPr>
          <w:p w:rsidR="00832B1B" w:rsidRPr="00832B1B" w:rsidRDefault="00832B1B" w:rsidP="00832B1B">
            <w:pPr>
              <w:contextualSpacing/>
              <w:jc w:val="center"/>
              <w:rPr>
                <w:rFonts w:ascii="Times New Roman" w:hAnsi="Times New Roman" w:cs="Times New Roman"/>
                <w:b/>
                <w:sz w:val="20"/>
                <w:szCs w:val="20"/>
              </w:rPr>
            </w:pPr>
            <w:r w:rsidRPr="00832B1B">
              <w:rPr>
                <w:rFonts w:ascii="Times New Roman" w:hAnsi="Times New Roman" w:cs="Times New Roman"/>
                <w:b/>
                <w:sz w:val="20"/>
                <w:szCs w:val="20"/>
              </w:rPr>
              <w:lastRenderedPageBreak/>
              <w:t>Pros</w:t>
            </w:r>
          </w:p>
        </w:tc>
      </w:tr>
      <w:tr w:rsidR="002226C4" w:rsidRPr="00E81F6E" w:rsidTr="00AF3BE3">
        <w:trPr>
          <w:trHeight w:val="248"/>
        </w:trPr>
        <w:tc>
          <w:tcPr>
            <w:tcW w:w="1560" w:type="dxa"/>
            <w:tcBorders>
              <w:bottom w:val="single" w:sz="4" w:space="0" w:color="auto"/>
            </w:tcBorders>
          </w:tcPr>
          <w:p w:rsidR="002226C4" w:rsidRDefault="002226C4" w:rsidP="00C3061A">
            <w:r w:rsidRPr="007B6E34">
              <w:rPr>
                <w:rFonts w:ascii="Times New Roman" w:hAnsi="Times New Roman" w:cs="Times New Roman"/>
                <w:b/>
                <w:bCs/>
                <w:sz w:val="20"/>
                <w:szCs w:val="20"/>
              </w:rPr>
              <w:t>Com. DMP</w:t>
            </w:r>
          </w:p>
        </w:tc>
        <w:tc>
          <w:tcPr>
            <w:tcW w:w="1843" w:type="dxa"/>
            <w:tcBorders>
              <w:bottom w:val="single" w:sz="4" w:space="0" w:color="auto"/>
            </w:tcBorders>
          </w:tcPr>
          <w:p w:rsidR="002226C4" w:rsidRDefault="002226C4" w:rsidP="002226C4">
            <w:pPr>
              <w:rPr>
                <w:rFonts w:ascii="Calibri" w:hAnsi="Calibri" w:cs="Calibri"/>
              </w:rPr>
            </w:pPr>
            <w:r>
              <w:rPr>
                <w:rFonts w:ascii="Times New Roman" w:hAnsi="Times New Roman" w:cs="Times New Roman"/>
                <w:b/>
                <w:bCs/>
                <w:sz w:val="20"/>
                <w:szCs w:val="20"/>
              </w:rPr>
              <w:t>Action Large Pro</w:t>
            </w:r>
          </w:p>
        </w:tc>
        <w:tc>
          <w:tcPr>
            <w:tcW w:w="12332" w:type="dxa"/>
            <w:tcBorders>
              <w:bottom w:val="single" w:sz="4" w:space="0" w:color="auto"/>
            </w:tcBorders>
            <w:shd w:val="clear" w:color="auto" w:fill="auto"/>
          </w:tcPr>
          <w:p w:rsidR="002226C4" w:rsidRDefault="002226C4" w:rsidP="002226C4">
            <w:pPr>
              <w:numPr>
                <w:ilvl w:val="0"/>
                <w:numId w:val="41"/>
              </w:numPr>
              <w:ind w:left="176" w:hanging="176"/>
              <w:contextualSpacing/>
              <w:jc w:val="both"/>
              <w:rPr>
                <w:rFonts w:ascii="Times New Roman" w:hAnsi="Times New Roman" w:cs="Times New Roman"/>
                <w:sz w:val="20"/>
                <w:szCs w:val="20"/>
                <w:lang w:eastAsia="fr-FR"/>
              </w:rPr>
            </w:pPr>
            <w:r>
              <w:rPr>
                <w:rFonts w:ascii="Times New Roman" w:hAnsi="Times New Roman" w:cs="Times New Roman"/>
                <w:sz w:val="20"/>
                <w:szCs w:val="20"/>
                <w:lang w:eastAsia="fr-FR"/>
              </w:rPr>
              <w:t xml:space="preserve">La DMP déploie actuellement une opération de prospection sur une cible d’environ 2000 prospects avec un CA supérieur à 750 K€. Cette action a été présentée aux GC PROS lors des réunions des 15 et 16 mars et les cibles concernées ont été injectées dans l’outil Prospection Pro. Retrouver la présentation de l’opération en cliquant </w:t>
            </w:r>
            <w:hyperlink r:id="rId21" w:history="1">
              <w:r>
                <w:rPr>
                  <w:rStyle w:val="Lienhypertexte"/>
                  <w:rFonts w:ascii="Times New Roman" w:hAnsi="Times New Roman" w:cs="Times New Roman"/>
                  <w:sz w:val="20"/>
                  <w:szCs w:val="20"/>
                  <w:lang w:eastAsia="fr-FR"/>
                </w:rPr>
                <w:t>ICI</w:t>
              </w:r>
            </w:hyperlink>
            <w:r>
              <w:rPr>
                <w:rFonts w:ascii="Times New Roman" w:hAnsi="Times New Roman" w:cs="Times New Roman"/>
                <w:sz w:val="20"/>
                <w:szCs w:val="20"/>
                <w:lang w:eastAsia="fr-FR"/>
              </w:rPr>
              <w:t>.</w:t>
            </w:r>
          </w:p>
        </w:tc>
      </w:tr>
      <w:tr w:rsidR="002226C4" w:rsidRPr="00E81F6E" w:rsidTr="002226C4">
        <w:trPr>
          <w:trHeight w:val="440"/>
        </w:trPr>
        <w:tc>
          <w:tcPr>
            <w:tcW w:w="1560" w:type="dxa"/>
            <w:tcBorders>
              <w:bottom w:val="single" w:sz="4" w:space="0" w:color="auto"/>
            </w:tcBorders>
          </w:tcPr>
          <w:p w:rsidR="002226C4" w:rsidRDefault="002226C4" w:rsidP="003401BC">
            <w:r w:rsidRPr="007B6E34">
              <w:rPr>
                <w:rFonts w:ascii="Times New Roman" w:hAnsi="Times New Roman" w:cs="Times New Roman"/>
                <w:b/>
                <w:bCs/>
                <w:sz w:val="20"/>
                <w:szCs w:val="20"/>
              </w:rPr>
              <w:t>Com. DMP</w:t>
            </w:r>
          </w:p>
        </w:tc>
        <w:tc>
          <w:tcPr>
            <w:tcW w:w="1843" w:type="dxa"/>
            <w:tcBorders>
              <w:bottom w:val="single" w:sz="4" w:space="0" w:color="auto"/>
            </w:tcBorders>
          </w:tcPr>
          <w:p w:rsidR="002226C4" w:rsidRDefault="002226C4" w:rsidP="002226C4">
            <w:pPr>
              <w:rPr>
                <w:rFonts w:ascii="Times New Roman" w:hAnsi="Times New Roman" w:cs="Times New Roman"/>
                <w:b/>
                <w:bCs/>
                <w:sz w:val="20"/>
                <w:szCs w:val="20"/>
              </w:rPr>
            </w:pPr>
            <w:r>
              <w:rPr>
                <w:rFonts w:ascii="Times New Roman" w:hAnsi="Times New Roman" w:cs="Times New Roman"/>
                <w:b/>
                <w:bCs/>
                <w:sz w:val="20"/>
                <w:szCs w:val="20"/>
              </w:rPr>
              <w:t>Forfait Labelis Santé</w:t>
            </w:r>
          </w:p>
        </w:tc>
        <w:tc>
          <w:tcPr>
            <w:tcW w:w="12332" w:type="dxa"/>
            <w:tcBorders>
              <w:bottom w:val="single" w:sz="4" w:space="0" w:color="auto"/>
            </w:tcBorders>
            <w:shd w:val="clear" w:color="auto" w:fill="auto"/>
          </w:tcPr>
          <w:p w:rsidR="002226C4" w:rsidRDefault="002226C4" w:rsidP="002226C4">
            <w:pPr>
              <w:numPr>
                <w:ilvl w:val="0"/>
                <w:numId w:val="41"/>
              </w:numPr>
              <w:ind w:left="176" w:hanging="176"/>
              <w:contextualSpacing/>
              <w:jc w:val="both"/>
              <w:rPr>
                <w:rFonts w:ascii="Times New Roman" w:hAnsi="Times New Roman" w:cs="Times New Roman"/>
                <w:sz w:val="20"/>
                <w:szCs w:val="20"/>
                <w:lang w:eastAsia="fr-FR"/>
              </w:rPr>
            </w:pPr>
            <w:r>
              <w:rPr>
                <w:rFonts w:ascii="Times New Roman" w:hAnsi="Times New Roman" w:cs="Times New Roman"/>
                <w:sz w:val="20"/>
                <w:szCs w:val="20"/>
                <w:lang w:eastAsia="fr-FR"/>
              </w:rPr>
              <w:t>Le forfait Labelis Santé sera mis en marché le 1</w:t>
            </w:r>
            <w:r>
              <w:rPr>
                <w:rFonts w:ascii="Times New Roman" w:hAnsi="Times New Roman" w:cs="Times New Roman"/>
                <w:sz w:val="20"/>
                <w:szCs w:val="20"/>
                <w:vertAlign w:val="superscript"/>
                <w:lang w:eastAsia="fr-FR"/>
              </w:rPr>
              <w:t>er</w:t>
            </w:r>
            <w:r>
              <w:rPr>
                <w:rFonts w:ascii="Times New Roman" w:hAnsi="Times New Roman" w:cs="Times New Roman"/>
                <w:sz w:val="20"/>
                <w:szCs w:val="20"/>
                <w:lang w:eastAsia="fr-FR"/>
              </w:rPr>
              <w:t xml:space="preserve"> avril 2018. Retrouvez dès la fin de la semaine toutes les informations utiles dans la note d’information DMA-INF/18.014.</w:t>
            </w:r>
          </w:p>
        </w:tc>
      </w:tr>
      <w:tr w:rsidR="00F478E6" w:rsidRPr="00E81F6E" w:rsidTr="002226C4">
        <w:trPr>
          <w:trHeight w:val="440"/>
        </w:trPr>
        <w:tc>
          <w:tcPr>
            <w:tcW w:w="1560" w:type="dxa"/>
            <w:tcBorders>
              <w:bottom w:val="single" w:sz="4" w:space="0" w:color="auto"/>
            </w:tcBorders>
          </w:tcPr>
          <w:p w:rsidR="00F478E6" w:rsidRPr="007B6E34" w:rsidRDefault="00F478E6" w:rsidP="003401BC">
            <w:pPr>
              <w:rPr>
                <w:rFonts w:ascii="Times New Roman" w:hAnsi="Times New Roman" w:cs="Times New Roman"/>
                <w:b/>
                <w:bCs/>
                <w:sz w:val="20"/>
                <w:szCs w:val="20"/>
              </w:rPr>
            </w:pPr>
            <w:r w:rsidRPr="007B6E34">
              <w:rPr>
                <w:rFonts w:ascii="Times New Roman" w:hAnsi="Times New Roman" w:cs="Times New Roman"/>
                <w:b/>
                <w:bCs/>
                <w:sz w:val="20"/>
                <w:szCs w:val="20"/>
              </w:rPr>
              <w:t>Com. DMP</w:t>
            </w:r>
          </w:p>
        </w:tc>
        <w:tc>
          <w:tcPr>
            <w:tcW w:w="1843" w:type="dxa"/>
            <w:tcBorders>
              <w:bottom w:val="single" w:sz="4" w:space="0" w:color="auto"/>
            </w:tcBorders>
          </w:tcPr>
          <w:p w:rsidR="00F478E6" w:rsidRDefault="00F478E6">
            <w:pPr>
              <w:rPr>
                <w:rFonts w:ascii="Calibri" w:hAnsi="Calibri" w:cs="Calibri"/>
                <w:sz w:val="20"/>
                <w:szCs w:val="20"/>
              </w:rPr>
            </w:pPr>
            <w:r>
              <w:rPr>
                <w:rFonts w:ascii="Times New Roman" w:hAnsi="Times New Roman" w:cs="Times New Roman"/>
                <w:b/>
                <w:bCs/>
                <w:sz w:val="20"/>
                <w:szCs w:val="20"/>
              </w:rPr>
              <w:t>Restitution des TPE</w:t>
            </w:r>
          </w:p>
        </w:tc>
        <w:tc>
          <w:tcPr>
            <w:tcW w:w="12332" w:type="dxa"/>
            <w:tcBorders>
              <w:bottom w:val="single" w:sz="4" w:space="0" w:color="auto"/>
            </w:tcBorders>
            <w:shd w:val="clear" w:color="auto" w:fill="auto"/>
          </w:tcPr>
          <w:p w:rsidR="00F478E6" w:rsidRDefault="002950F3" w:rsidP="002950F3">
            <w:pPr>
              <w:numPr>
                <w:ilvl w:val="0"/>
                <w:numId w:val="42"/>
              </w:numPr>
              <w:ind w:left="176" w:hanging="176"/>
              <w:contextualSpacing/>
              <w:rPr>
                <w:rFonts w:ascii="Times New Roman" w:hAnsi="Times New Roman" w:cs="Times New Roman"/>
                <w:sz w:val="20"/>
                <w:szCs w:val="20"/>
                <w:lang w:eastAsia="fr-FR"/>
              </w:rPr>
            </w:pPr>
            <w:r>
              <w:rPr>
                <w:noProof/>
                <w:lang w:eastAsia="fr-FR"/>
              </w:rPr>
              <w:drawing>
                <wp:anchor distT="0" distB="0" distL="114300" distR="114300" simplePos="0" relativeHeight="251658240" behindDoc="0" locked="0" layoutInCell="1" allowOverlap="1" wp14:anchorId="6D5883CB" wp14:editId="77C4E859">
                  <wp:simplePos x="0" y="0"/>
                  <wp:positionH relativeFrom="column">
                    <wp:posOffset>472440</wp:posOffset>
                  </wp:positionH>
                  <wp:positionV relativeFrom="paragraph">
                    <wp:posOffset>217170</wp:posOffset>
                  </wp:positionV>
                  <wp:extent cx="439420" cy="422275"/>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clrChange>
                              <a:clrFrom>
                                <a:srgbClr val="FFFFFF"/>
                              </a:clrFrom>
                              <a:clrTo>
                                <a:srgbClr val="FFFFFF">
                                  <a:alpha val="0"/>
                                </a:srgbClr>
                              </a:clrTo>
                            </a:clrChange>
                            <a:duotone>
                              <a:schemeClr val="accent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439420" cy="422275"/>
                          </a:xfrm>
                          <a:prstGeom prst="rect">
                            <a:avLst/>
                          </a:prstGeom>
                        </pic:spPr>
                      </pic:pic>
                    </a:graphicData>
                  </a:graphic>
                  <wp14:sizeRelH relativeFrom="page">
                    <wp14:pctWidth>0</wp14:pctWidth>
                  </wp14:sizeRelH>
                  <wp14:sizeRelV relativeFrom="page">
                    <wp14:pctHeight>0</wp14:pctHeight>
                  </wp14:sizeRelV>
                </wp:anchor>
              </w:drawing>
            </w:r>
            <w:r w:rsidR="00F478E6">
              <w:rPr>
                <w:rFonts w:ascii="Times New Roman" w:hAnsi="Times New Roman" w:cs="Times New Roman"/>
                <w:sz w:val="20"/>
                <w:szCs w:val="20"/>
                <w:lang w:eastAsia="fr-FR"/>
              </w:rPr>
              <w:t>La nouvelle procédure de restitution des TPE entrera en vigueur le 28 mars et non le 20 mars comme annoncé dans le brief de la semaine 12, suite à un décalage dans la montée de version d’OSC.</w:t>
            </w:r>
            <w:r>
              <w:rPr>
                <w:rFonts w:ascii="Times New Roman" w:hAnsi="Times New Roman" w:cs="Times New Roman"/>
                <w:sz w:val="20"/>
                <w:szCs w:val="20"/>
                <w:lang w:eastAsia="fr-FR"/>
              </w:rPr>
              <w:t xml:space="preserve"> </w:t>
            </w:r>
            <w:r w:rsidR="00F478E6">
              <w:rPr>
                <w:rFonts w:ascii="Times New Roman" w:hAnsi="Times New Roman" w:cs="Times New Roman"/>
                <w:sz w:val="20"/>
                <w:szCs w:val="20"/>
                <w:lang w:eastAsia="fr-FR"/>
              </w:rPr>
              <w:t xml:space="preserve">Retrouvez en cliquant </w:t>
            </w:r>
            <w:hyperlink r:id="rId23" w:history="1">
              <w:r w:rsidR="00F478E6">
                <w:rPr>
                  <w:rStyle w:val="Lienhypertexte"/>
                  <w:rFonts w:ascii="Times New Roman" w:hAnsi="Times New Roman" w:cs="Times New Roman"/>
                  <w:sz w:val="20"/>
                  <w:szCs w:val="20"/>
                  <w:lang w:eastAsia="fr-FR"/>
                </w:rPr>
                <w:t>ICI</w:t>
              </w:r>
            </w:hyperlink>
            <w:r w:rsidR="00F478E6">
              <w:rPr>
                <w:rFonts w:ascii="Times New Roman" w:hAnsi="Times New Roman" w:cs="Times New Roman"/>
                <w:sz w:val="20"/>
                <w:szCs w:val="20"/>
                <w:lang w:eastAsia="fr-FR"/>
              </w:rPr>
              <w:t xml:space="preserve"> les modalités de saisie sous OSC.</w:t>
            </w:r>
          </w:p>
        </w:tc>
      </w:tr>
      <w:tr w:rsidR="002F4398" w:rsidRPr="00E81F6E" w:rsidTr="002F4398">
        <w:trPr>
          <w:trHeight w:val="459"/>
        </w:trPr>
        <w:tc>
          <w:tcPr>
            <w:tcW w:w="15735" w:type="dxa"/>
            <w:gridSpan w:val="3"/>
            <w:tcBorders>
              <w:bottom w:val="single" w:sz="4" w:space="0" w:color="auto"/>
            </w:tcBorders>
            <w:shd w:val="clear" w:color="auto" w:fill="548DD4" w:themeFill="text2" w:themeFillTint="99"/>
            <w:vAlign w:val="center"/>
          </w:tcPr>
          <w:p w:rsidR="002F4398" w:rsidRPr="002F4398" w:rsidRDefault="002F4398" w:rsidP="002F4398">
            <w:pPr>
              <w:pStyle w:val="wordsection1"/>
              <w:spacing w:before="0" w:beforeAutospacing="0" w:after="0" w:afterAutospacing="0"/>
              <w:ind w:left="187"/>
              <w:jc w:val="center"/>
              <w:rPr>
                <w:b/>
                <w:sz w:val="20"/>
                <w:szCs w:val="20"/>
              </w:rPr>
            </w:pPr>
            <w:r w:rsidRPr="002F4398">
              <w:rPr>
                <w:b/>
                <w:color w:val="FFFFFF" w:themeColor="background1"/>
                <w:sz w:val="20"/>
                <w:szCs w:val="20"/>
              </w:rPr>
              <w:t>SUITE A VOS QUESTIONS POSEES A CELCASSISTANCE …</w:t>
            </w:r>
          </w:p>
        </w:tc>
      </w:tr>
      <w:tr w:rsidR="002950F3" w:rsidRPr="00E81F6E" w:rsidTr="00AF3BE3">
        <w:trPr>
          <w:trHeight w:val="248"/>
        </w:trPr>
        <w:tc>
          <w:tcPr>
            <w:tcW w:w="1560" w:type="dxa"/>
            <w:tcBorders>
              <w:bottom w:val="single" w:sz="4" w:space="0" w:color="auto"/>
            </w:tcBorders>
          </w:tcPr>
          <w:p w:rsidR="002950F3" w:rsidRDefault="002950F3" w:rsidP="00C12EDF">
            <w:r w:rsidRPr="00B04F01">
              <w:rPr>
                <w:rFonts w:ascii="Times New Roman" w:hAnsi="Times New Roman" w:cs="Times New Roman"/>
                <w:b/>
                <w:bCs/>
                <w:sz w:val="20"/>
                <w:szCs w:val="20"/>
              </w:rPr>
              <w:t>Com. DMA</w:t>
            </w:r>
          </w:p>
        </w:tc>
        <w:tc>
          <w:tcPr>
            <w:tcW w:w="1843" w:type="dxa"/>
            <w:tcBorders>
              <w:bottom w:val="single" w:sz="4" w:space="0" w:color="auto"/>
            </w:tcBorders>
          </w:tcPr>
          <w:p w:rsidR="002950F3" w:rsidRPr="002950F3" w:rsidRDefault="002950F3" w:rsidP="00C12EDF">
            <w:pPr>
              <w:pStyle w:val="wordsection1"/>
              <w:rPr>
                <w:b/>
                <w:bCs/>
                <w:sz w:val="20"/>
                <w:szCs w:val="20"/>
              </w:rPr>
            </w:pPr>
            <w:r w:rsidRPr="002950F3">
              <w:rPr>
                <w:b/>
                <w:bCs/>
                <w:sz w:val="20"/>
                <w:szCs w:val="20"/>
              </w:rPr>
              <w:t>Rappel : Loi Eckert</w:t>
            </w:r>
          </w:p>
        </w:tc>
        <w:tc>
          <w:tcPr>
            <w:tcW w:w="12332" w:type="dxa"/>
            <w:tcBorders>
              <w:bottom w:val="single" w:sz="4" w:space="0" w:color="auto"/>
            </w:tcBorders>
            <w:shd w:val="clear" w:color="auto" w:fill="auto"/>
          </w:tcPr>
          <w:p w:rsidR="002950F3" w:rsidRPr="002950F3" w:rsidRDefault="002950F3" w:rsidP="00C12EDF">
            <w:pPr>
              <w:pStyle w:val="wordsection1"/>
              <w:numPr>
                <w:ilvl w:val="0"/>
                <w:numId w:val="43"/>
              </w:numPr>
              <w:spacing w:before="0" w:beforeAutospacing="0" w:after="0" w:afterAutospacing="0"/>
              <w:ind w:left="187" w:hanging="187"/>
              <w:rPr>
                <w:sz w:val="20"/>
                <w:szCs w:val="20"/>
              </w:rPr>
            </w:pPr>
            <w:r w:rsidRPr="002950F3">
              <w:rPr>
                <w:sz w:val="20"/>
                <w:szCs w:val="20"/>
              </w:rPr>
              <w:t>Pour rappel, retrouvez toutes les informations relatives à la loi Eckert dans la rubrique des commerciaux et notamment :</w:t>
            </w:r>
          </w:p>
          <w:p w:rsidR="002950F3" w:rsidRPr="002950F3" w:rsidRDefault="002950F3" w:rsidP="00C12EDF">
            <w:pPr>
              <w:pStyle w:val="wordsection1"/>
              <w:numPr>
                <w:ilvl w:val="1"/>
                <w:numId w:val="43"/>
              </w:numPr>
              <w:spacing w:before="0" w:beforeAutospacing="0" w:after="0" w:afterAutospacing="0"/>
              <w:rPr>
                <w:sz w:val="20"/>
                <w:szCs w:val="20"/>
              </w:rPr>
            </w:pPr>
            <w:r w:rsidRPr="002950F3">
              <w:rPr>
                <w:sz w:val="20"/>
                <w:szCs w:val="20"/>
              </w:rPr>
              <w:t>Une présentation générale</w:t>
            </w:r>
          </w:p>
          <w:p w:rsidR="002950F3" w:rsidRPr="002950F3" w:rsidRDefault="002950F3" w:rsidP="00C12EDF">
            <w:pPr>
              <w:pStyle w:val="wordsection1"/>
              <w:numPr>
                <w:ilvl w:val="1"/>
                <w:numId w:val="43"/>
              </w:numPr>
              <w:spacing w:before="0" w:beforeAutospacing="0" w:after="0" w:afterAutospacing="0"/>
              <w:rPr>
                <w:sz w:val="20"/>
                <w:szCs w:val="20"/>
              </w:rPr>
            </w:pPr>
            <w:r w:rsidRPr="002950F3">
              <w:rPr>
                <w:color w:val="1F497D"/>
                <w:sz w:val="20"/>
                <w:szCs w:val="20"/>
              </w:rPr>
              <w:t>Le process « </w:t>
            </w:r>
            <w:r w:rsidRPr="002950F3">
              <w:rPr>
                <w:sz w:val="20"/>
                <w:szCs w:val="20"/>
              </w:rPr>
              <w:t>Comment récupérer les fonds à la CDC</w:t>
            </w:r>
            <w:r w:rsidRPr="002950F3">
              <w:rPr>
                <w:color w:val="1F497D"/>
                <w:sz w:val="20"/>
                <w:szCs w:val="20"/>
              </w:rPr>
              <w:t> »</w:t>
            </w:r>
          </w:p>
          <w:p w:rsidR="002950F3" w:rsidRPr="002950F3" w:rsidRDefault="002950F3" w:rsidP="00C12EDF">
            <w:pPr>
              <w:pStyle w:val="wordsection1"/>
              <w:numPr>
                <w:ilvl w:val="1"/>
                <w:numId w:val="43"/>
              </w:numPr>
              <w:spacing w:before="0" w:beforeAutospacing="0" w:after="0" w:afterAutospacing="0"/>
              <w:rPr>
                <w:sz w:val="20"/>
                <w:szCs w:val="20"/>
              </w:rPr>
            </w:pPr>
            <w:r w:rsidRPr="002950F3">
              <w:rPr>
                <w:color w:val="1F497D"/>
                <w:sz w:val="20"/>
                <w:szCs w:val="20"/>
              </w:rPr>
              <w:t xml:space="preserve">Un </w:t>
            </w:r>
            <w:r w:rsidRPr="002950F3">
              <w:rPr>
                <w:sz w:val="20"/>
                <w:szCs w:val="20"/>
              </w:rPr>
              <w:t>Argumentaire loi Eckert</w:t>
            </w:r>
          </w:p>
          <w:p w:rsidR="002950F3" w:rsidRPr="002950F3" w:rsidRDefault="002950F3" w:rsidP="00C12EDF">
            <w:pPr>
              <w:pStyle w:val="wordsection1"/>
              <w:numPr>
                <w:ilvl w:val="0"/>
                <w:numId w:val="43"/>
              </w:numPr>
              <w:spacing w:before="0" w:beforeAutospacing="0" w:after="0" w:afterAutospacing="0"/>
              <w:ind w:left="187" w:hanging="187"/>
              <w:rPr>
                <w:sz w:val="20"/>
                <w:szCs w:val="20"/>
              </w:rPr>
            </w:pPr>
            <w:r w:rsidRPr="002950F3">
              <w:rPr>
                <w:sz w:val="20"/>
                <w:szCs w:val="20"/>
              </w:rPr>
              <w:t>Pour y accéder dans la R</w:t>
            </w:r>
            <w:r w:rsidRPr="002950F3">
              <w:rPr>
                <w:color w:val="1F497D"/>
                <w:sz w:val="20"/>
                <w:szCs w:val="20"/>
              </w:rPr>
              <w:t>ubrique des Commerciaux</w:t>
            </w:r>
            <w:r w:rsidRPr="002950F3">
              <w:rPr>
                <w:sz w:val="20"/>
                <w:szCs w:val="20"/>
              </w:rPr>
              <w:t xml:space="preserve"> : Global BDD &gt; Actions Commerciales &gt; Actions Commerciales en cours &gt; Loi Eckert ou cliquez </w:t>
            </w:r>
            <w:hyperlink r:id="rId24" w:history="1">
              <w:r w:rsidRPr="002950F3">
                <w:rPr>
                  <w:rStyle w:val="Lienhypertexte"/>
                  <w:sz w:val="20"/>
                  <w:szCs w:val="20"/>
                </w:rPr>
                <w:t>ici</w:t>
              </w:r>
            </w:hyperlink>
            <w:r w:rsidRPr="002950F3">
              <w:rPr>
                <w:sz w:val="20"/>
                <w:szCs w:val="20"/>
              </w:rPr>
              <w:t>.</w:t>
            </w:r>
            <w:r w:rsidRPr="002950F3">
              <w:rPr>
                <w:color w:val="1F497D"/>
                <w:sz w:val="20"/>
                <w:szCs w:val="20"/>
              </w:rPr>
              <w:t xml:space="preserve"> </w:t>
            </w:r>
          </w:p>
        </w:tc>
      </w:tr>
      <w:tr w:rsidR="002950F3" w:rsidRPr="00E81F6E" w:rsidTr="00AF3BE3">
        <w:trPr>
          <w:trHeight w:val="248"/>
        </w:trPr>
        <w:tc>
          <w:tcPr>
            <w:tcW w:w="1560" w:type="dxa"/>
            <w:tcBorders>
              <w:bottom w:val="single" w:sz="4" w:space="0" w:color="auto"/>
            </w:tcBorders>
          </w:tcPr>
          <w:p w:rsidR="002950F3" w:rsidRPr="005D40B4" w:rsidRDefault="002950F3" w:rsidP="00C12EDF">
            <w:pPr>
              <w:rPr>
                <w:rFonts w:ascii="Times New Roman" w:hAnsi="Times New Roman" w:cs="Times New Roman"/>
                <w:b/>
                <w:bCs/>
                <w:sz w:val="20"/>
                <w:szCs w:val="20"/>
              </w:rPr>
            </w:pPr>
            <w:r w:rsidRPr="005D40B4">
              <w:rPr>
                <w:rFonts w:ascii="Times New Roman" w:hAnsi="Times New Roman" w:cs="Times New Roman"/>
                <w:b/>
                <w:bCs/>
                <w:sz w:val="20"/>
                <w:szCs w:val="20"/>
              </w:rPr>
              <w:t>Com. DMA</w:t>
            </w:r>
          </w:p>
        </w:tc>
        <w:tc>
          <w:tcPr>
            <w:tcW w:w="1843" w:type="dxa"/>
            <w:tcBorders>
              <w:bottom w:val="single" w:sz="4" w:space="0" w:color="auto"/>
            </w:tcBorders>
          </w:tcPr>
          <w:p w:rsidR="002950F3" w:rsidRDefault="002950F3" w:rsidP="00C12EDF">
            <w:pPr>
              <w:spacing w:after="200" w:line="276" w:lineRule="auto"/>
              <w:rPr>
                <w:rFonts w:ascii="Calibri" w:hAnsi="Calibri" w:cs="Calibri"/>
              </w:rPr>
            </w:pPr>
            <w:r>
              <w:rPr>
                <w:rFonts w:ascii="Times New Roman" w:hAnsi="Times New Roman" w:cs="Times New Roman"/>
                <w:b/>
                <w:bCs/>
                <w:sz w:val="20"/>
                <w:szCs w:val="20"/>
              </w:rPr>
              <w:t>Option Internationale</w:t>
            </w:r>
          </w:p>
        </w:tc>
        <w:tc>
          <w:tcPr>
            <w:tcW w:w="12332" w:type="dxa"/>
            <w:tcBorders>
              <w:bottom w:val="single" w:sz="4" w:space="0" w:color="auto"/>
            </w:tcBorders>
            <w:shd w:val="clear" w:color="auto" w:fill="auto"/>
          </w:tcPr>
          <w:p w:rsidR="002950F3" w:rsidRPr="00F478E6" w:rsidRDefault="002950F3" w:rsidP="00C12EDF">
            <w:pPr>
              <w:jc w:val="both"/>
              <w:rPr>
                <w:rFonts w:ascii="Calibri" w:hAnsi="Calibri" w:cs="Calibri"/>
              </w:rPr>
            </w:pPr>
            <w:r>
              <w:rPr>
                <w:rFonts w:ascii="Times New Roman" w:hAnsi="Times New Roman" w:cs="Times New Roman"/>
                <w:sz w:val="20"/>
                <w:szCs w:val="20"/>
                <w:lang w:eastAsia="fr-FR"/>
              </w:rPr>
              <w:t>Avec l’arrivée du printemps, la période est propice à la préparation des vacances et aux stages des étudiants à l’étranger ! Autant d’opportunités pour proposer notre service Option Internationale. Quelques rappels rapides sur l’offre :</w:t>
            </w:r>
          </w:p>
          <w:p w:rsidR="002950F3" w:rsidRDefault="002950F3" w:rsidP="00C12EDF">
            <w:pPr>
              <w:numPr>
                <w:ilvl w:val="0"/>
                <w:numId w:val="43"/>
              </w:numPr>
              <w:ind w:left="176" w:hanging="176"/>
              <w:contextualSpacing/>
              <w:jc w:val="both"/>
            </w:pPr>
            <w:r>
              <w:rPr>
                <w:rFonts w:ascii="Times New Roman" w:hAnsi="Times New Roman" w:cs="Times New Roman"/>
                <w:b/>
                <w:bCs/>
                <w:sz w:val="20"/>
                <w:szCs w:val="20"/>
                <w:lang w:eastAsia="fr-FR"/>
              </w:rPr>
              <w:t xml:space="preserve">Quelles sont les différences entre les Options ? </w:t>
            </w:r>
          </w:p>
          <w:p w:rsidR="002950F3" w:rsidRDefault="002950F3" w:rsidP="00C12EDF">
            <w:pPr>
              <w:ind w:left="176"/>
              <w:contextualSpacing/>
              <w:jc w:val="both"/>
            </w:pPr>
            <w:r>
              <w:rPr>
                <w:rFonts w:ascii="Times New Roman" w:hAnsi="Times New Roman" w:cs="Times New Roman"/>
                <w:sz w:val="20"/>
                <w:szCs w:val="20"/>
                <w:lang w:eastAsia="fr-FR"/>
              </w:rPr>
              <w:t>Le service, commercialisé à l’unité ou comme service complémentaire du Bouquet Liberté, est décliné en deux formules :</w:t>
            </w:r>
          </w:p>
          <w:p w:rsidR="002950F3" w:rsidRPr="00F478E6" w:rsidRDefault="002950F3" w:rsidP="00C12EDF">
            <w:pPr>
              <w:jc w:val="both"/>
              <w:rPr>
                <w:sz w:val="10"/>
              </w:rPr>
            </w:pPr>
            <w:r>
              <w:rPr>
                <w:rFonts w:ascii="Times New Roman" w:hAnsi="Times New Roman" w:cs="Times New Roman"/>
                <w:b/>
                <w:bCs/>
                <w:sz w:val="20"/>
                <w:szCs w:val="20"/>
                <w:lang w:eastAsia="fr-FR"/>
              </w:rPr>
              <w:t> </w:t>
            </w:r>
          </w:p>
          <w:tbl>
            <w:tblPr>
              <w:tblW w:w="0" w:type="auto"/>
              <w:tblInd w:w="360" w:type="dxa"/>
              <w:tblLayout w:type="fixed"/>
              <w:tblCellMar>
                <w:left w:w="0" w:type="dxa"/>
                <w:right w:w="0" w:type="dxa"/>
              </w:tblCellMar>
              <w:tblLook w:val="04A0" w:firstRow="1" w:lastRow="0" w:firstColumn="1" w:lastColumn="0" w:noHBand="0" w:noVBand="1"/>
            </w:tblPr>
            <w:tblGrid>
              <w:gridCol w:w="2042"/>
              <w:gridCol w:w="2356"/>
              <w:gridCol w:w="1796"/>
              <w:gridCol w:w="2917"/>
              <w:gridCol w:w="2357"/>
            </w:tblGrid>
            <w:tr w:rsidR="002950F3" w:rsidTr="00C12EDF">
              <w:trPr>
                <w:trHeight w:val="248"/>
              </w:trPr>
              <w:tc>
                <w:tcPr>
                  <w:tcW w:w="2042" w:type="dxa"/>
                  <w:tcBorders>
                    <w:top w:val="nil"/>
                    <w:left w:val="nil"/>
                    <w:bottom w:val="nil"/>
                    <w:right w:val="single" w:sz="8" w:space="0" w:color="auto"/>
                  </w:tcBorders>
                  <w:tcMar>
                    <w:top w:w="0" w:type="dxa"/>
                    <w:left w:w="108" w:type="dxa"/>
                    <w:bottom w:w="0" w:type="dxa"/>
                    <w:right w:w="108" w:type="dxa"/>
                  </w:tcMar>
                  <w:hideMark/>
                </w:tcPr>
                <w:p w:rsidR="002950F3" w:rsidRDefault="002950F3" w:rsidP="00C12EDF">
                  <w:pPr>
                    <w:spacing w:after="0" w:line="240" w:lineRule="auto"/>
                    <w:jc w:val="both"/>
                    <w:rPr>
                      <w:rFonts w:ascii="Calibri" w:hAnsi="Calibri" w:cs="Calibri"/>
                    </w:rPr>
                  </w:pPr>
                  <w:r>
                    <w:rPr>
                      <w:rFonts w:ascii="Times New Roman" w:hAnsi="Times New Roman" w:cs="Times New Roman"/>
                      <w:sz w:val="20"/>
                      <w:szCs w:val="20"/>
                      <w:lang w:eastAsia="fr-FR"/>
                    </w:rPr>
                    <w:t> </w:t>
                  </w:r>
                </w:p>
              </w:tc>
              <w:tc>
                <w:tcPr>
                  <w:tcW w:w="415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b/>
                      <w:bCs/>
                      <w:sz w:val="20"/>
                      <w:szCs w:val="20"/>
                      <w:lang w:eastAsia="fr-FR"/>
                    </w:rPr>
                    <w:t>Formule 1 : Voyage</w:t>
                  </w:r>
                </w:p>
                <w:p w:rsidR="002950F3" w:rsidRDefault="002950F3" w:rsidP="00C12EDF">
                  <w:pPr>
                    <w:spacing w:after="0" w:line="240" w:lineRule="auto"/>
                    <w:jc w:val="center"/>
                    <w:rPr>
                      <w:rFonts w:ascii="Calibri" w:hAnsi="Calibri" w:cs="Calibri"/>
                    </w:rPr>
                  </w:pPr>
                  <w:r>
                    <w:rPr>
                      <w:rFonts w:ascii="Times New Roman" w:hAnsi="Times New Roman" w:cs="Times New Roman"/>
                      <w:sz w:val="20"/>
                      <w:szCs w:val="20"/>
                      <w:lang w:eastAsia="fr-FR"/>
                    </w:rPr>
                    <w:t xml:space="preserve">Voyage de courte durée à l’étranger </w:t>
                  </w:r>
                  <w:r>
                    <w:rPr>
                      <w:rFonts w:ascii="Times New Roman" w:hAnsi="Times New Roman" w:cs="Times New Roman"/>
                      <w:sz w:val="20"/>
                      <w:szCs w:val="20"/>
                      <w:lang w:eastAsia="fr-FR"/>
                    </w:rPr>
                    <w:br/>
                    <w:t xml:space="preserve">→ </w:t>
                  </w:r>
                  <w:r>
                    <w:rPr>
                      <w:rFonts w:ascii="Times New Roman" w:hAnsi="Times New Roman" w:cs="Times New Roman"/>
                      <w:i/>
                      <w:iCs/>
                      <w:sz w:val="20"/>
                      <w:szCs w:val="20"/>
                      <w:lang w:eastAsia="fr-FR"/>
                    </w:rPr>
                    <w:t>Voyageurs occasionnels</w:t>
                  </w:r>
                </w:p>
              </w:tc>
              <w:tc>
                <w:tcPr>
                  <w:tcW w:w="5274"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b/>
                      <w:bCs/>
                      <w:sz w:val="20"/>
                      <w:szCs w:val="20"/>
                      <w:lang w:eastAsia="fr-FR"/>
                    </w:rPr>
                    <w:t>Formule 2 : Séjour</w:t>
                  </w:r>
                </w:p>
                <w:p w:rsidR="002950F3" w:rsidRDefault="002950F3" w:rsidP="00C12EDF">
                  <w:pPr>
                    <w:spacing w:after="0" w:line="240" w:lineRule="auto"/>
                    <w:jc w:val="center"/>
                    <w:rPr>
                      <w:rFonts w:ascii="Calibri" w:hAnsi="Calibri" w:cs="Calibri"/>
                    </w:rPr>
                  </w:pPr>
                  <w:r>
                    <w:rPr>
                      <w:rFonts w:ascii="Times New Roman" w:hAnsi="Times New Roman" w:cs="Times New Roman"/>
                      <w:sz w:val="20"/>
                      <w:szCs w:val="20"/>
                      <w:lang w:eastAsia="fr-FR"/>
                    </w:rPr>
                    <w:t xml:space="preserve">Séjours (long) à l’étranger </w:t>
                  </w:r>
                  <w:r>
                    <w:rPr>
                      <w:rFonts w:ascii="Times New Roman" w:hAnsi="Times New Roman" w:cs="Times New Roman"/>
                      <w:sz w:val="20"/>
                      <w:szCs w:val="20"/>
                      <w:lang w:eastAsia="fr-FR"/>
                    </w:rPr>
                    <w:br/>
                    <w:t xml:space="preserve">→ </w:t>
                  </w:r>
                  <w:r>
                    <w:rPr>
                      <w:rFonts w:ascii="Times New Roman" w:hAnsi="Times New Roman" w:cs="Times New Roman"/>
                      <w:i/>
                      <w:iCs/>
                      <w:sz w:val="20"/>
                      <w:szCs w:val="20"/>
                      <w:lang w:eastAsia="fr-FR"/>
                    </w:rPr>
                    <w:t>Etudiants/ Expatriés/ Frontaliers</w:t>
                  </w:r>
                </w:p>
              </w:tc>
            </w:tr>
            <w:tr w:rsidR="002950F3" w:rsidTr="00C12EDF">
              <w:trPr>
                <w:trHeight w:val="248"/>
              </w:trPr>
              <w:tc>
                <w:tcPr>
                  <w:tcW w:w="2042" w:type="dxa"/>
                  <w:tcBorders>
                    <w:top w:val="nil"/>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both"/>
                    <w:rPr>
                      <w:rFonts w:ascii="Calibri" w:hAnsi="Calibri" w:cs="Calibri"/>
                    </w:rPr>
                  </w:pPr>
                  <w:r>
                    <w:rPr>
                      <w:rFonts w:ascii="Times New Roman" w:hAnsi="Times New Roman" w:cs="Times New Roman"/>
                      <w:sz w:val="20"/>
                      <w:szCs w:val="20"/>
                      <w:lang w:eastAsia="fr-FR"/>
                    </w:rPr>
                    <w:t> </w:t>
                  </w:r>
                </w:p>
              </w:tc>
              <w:tc>
                <w:tcPr>
                  <w:tcW w:w="2356" w:type="dxa"/>
                  <w:tcBorders>
                    <w:top w:val="nil"/>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b/>
                      <w:bCs/>
                      <w:sz w:val="20"/>
                      <w:szCs w:val="20"/>
                      <w:lang w:eastAsia="fr-FR"/>
                    </w:rPr>
                    <w:t>Zone Euro</w:t>
                  </w:r>
                </w:p>
              </w:tc>
              <w:tc>
                <w:tcPr>
                  <w:tcW w:w="179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b/>
                      <w:bCs/>
                      <w:sz w:val="20"/>
                      <w:szCs w:val="20"/>
                      <w:lang w:eastAsia="fr-FR"/>
                    </w:rPr>
                    <w:t>Hors Zone Euro</w:t>
                  </w:r>
                </w:p>
              </w:tc>
              <w:tc>
                <w:tcPr>
                  <w:tcW w:w="2917" w:type="dxa"/>
                  <w:tcBorders>
                    <w:top w:val="nil"/>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b/>
                      <w:bCs/>
                      <w:sz w:val="20"/>
                      <w:szCs w:val="20"/>
                      <w:lang w:eastAsia="fr-FR"/>
                    </w:rPr>
                    <w:t>Zone Euro</w:t>
                  </w:r>
                </w:p>
              </w:tc>
              <w:tc>
                <w:tcPr>
                  <w:tcW w:w="2357" w:type="dxa"/>
                  <w:tcBorders>
                    <w:top w:val="nil"/>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b/>
                      <w:bCs/>
                      <w:sz w:val="20"/>
                      <w:szCs w:val="20"/>
                      <w:lang w:eastAsia="fr-FR"/>
                    </w:rPr>
                    <w:t>Hors Zone Euro</w:t>
                  </w:r>
                </w:p>
              </w:tc>
            </w:tr>
            <w:tr w:rsidR="002950F3" w:rsidTr="00C12EDF">
              <w:trPr>
                <w:trHeight w:val="248"/>
              </w:trPr>
              <w:tc>
                <w:tcPr>
                  <w:tcW w:w="20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both"/>
                    <w:rPr>
                      <w:rFonts w:ascii="Calibri" w:hAnsi="Calibri" w:cs="Calibri"/>
                    </w:rPr>
                  </w:pPr>
                  <w:r>
                    <w:rPr>
                      <w:rFonts w:ascii="Times New Roman" w:hAnsi="Times New Roman" w:cs="Times New Roman"/>
                      <w:sz w:val="20"/>
                      <w:szCs w:val="20"/>
                      <w:lang w:eastAsia="fr-FR"/>
                    </w:rPr>
                    <w:t>Retraits par carte</w:t>
                  </w:r>
                </w:p>
              </w:tc>
              <w:tc>
                <w:tcPr>
                  <w:tcW w:w="2356" w:type="dxa"/>
                  <w:tcBorders>
                    <w:top w:val="nil"/>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sz w:val="20"/>
                      <w:szCs w:val="20"/>
                      <w:lang w:eastAsia="fr-FR"/>
                    </w:rPr>
                    <w:t>Illimités</w:t>
                  </w:r>
                </w:p>
              </w:tc>
              <w:tc>
                <w:tcPr>
                  <w:tcW w:w="1796" w:type="dxa"/>
                  <w:tcBorders>
                    <w:top w:val="nil"/>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b/>
                      <w:bCs/>
                      <w:sz w:val="20"/>
                      <w:szCs w:val="20"/>
                      <w:lang w:eastAsia="fr-FR"/>
                    </w:rPr>
                    <w:t>3</w:t>
                  </w:r>
                  <w:r>
                    <w:rPr>
                      <w:rFonts w:ascii="Times New Roman" w:hAnsi="Times New Roman" w:cs="Times New Roman"/>
                      <w:sz w:val="20"/>
                      <w:szCs w:val="20"/>
                      <w:lang w:eastAsia="fr-FR"/>
                    </w:rPr>
                    <w:t xml:space="preserve"> gratuits / mois</w:t>
                  </w:r>
                </w:p>
              </w:tc>
              <w:tc>
                <w:tcPr>
                  <w:tcW w:w="2917" w:type="dxa"/>
                  <w:tcBorders>
                    <w:top w:val="nil"/>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sz w:val="20"/>
                      <w:szCs w:val="20"/>
                      <w:lang w:eastAsia="fr-FR"/>
                    </w:rPr>
                    <w:t>Illimités</w:t>
                  </w:r>
                </w:p>
              </w:tc>
              <w:tc>
                <w:tcPr>
                  <w:tcW w:w="2357" w:type="dxa"/>
                  <w:tcBorders>
                    <w:top w:val="nil"/>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b/>
                      <w:bCs/>
                      <w:sz w:val="20"/>
                      <w:szCs w:val="20"/>
                      <w:lang w:eastAsia="fr-FR"/>
                    </w:rPr>
                    <w:t>4</w:t>
                  </w:r>
                  <w:r>
                    <w:rPr>
                      <w:rFonts w:ascii="Times New Roman" w:hAnsi="Times New Roman" w:cs="Times New Roman"/>
                      <w:sz w:val="20"/>
                      <w:szCs w:val="20"/>
                      <w:lang w:eastAsia="fr-FR"/>
                    </w:rPr>
                    <w:t xml:space="preserve"> gratuits / mois</w:t>
                  </w:r>
                </w:p>
              </w:tc>
            </w:tr>
            <w:tr w:rsidR="002950F3" w:rsidTr="00C12EDF">
              <w:trPr>
                <w:trHeight w:val="248"/>
              </w:trPr>
              <w:tc>
                <w:tcPr>
                  <w:tcW w:w="20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both"/>
                    <w:rPr>
                      <w:rFonts w:ascii="Calibri" w:hAnsi="Calibri" w:cs="Calibri"/>
                    </w:rPr>
                  </w:pPr>
                  <w:r>
                    <w:rPr>
                      <w:rFonts w:ascii="Times New Roman" w:hAnsi="Times New Roman" w:cs="Times New Roman"/>
                      <w:sz w:val="20"/>
                      <w:szCs w:val="20"/>
                      <w:lang w:eastAsia="fr-FR"/>
                    </w:rPr>
                    <w:t>Paiements par carte</w:t>
                  </w:r>
                </w:p>
              </w:tc>
              <w:tc>
                <w:tcPr>
                  <w:tcW w:w="2356" w:type="dxa"/>
                  <w:tcBorders>
                    <w:top w:val="nil"/>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sz w:val="20"/>
                      <w:szCs w:val="20"/>
                      <w:lang w:eastAsia="fr-FR"/>
                    </w:rPr>
                    <w:t>Illimités</w:t>
                  </w:r>
                </w:p>
              </w:tc>
              <w:tc>
                <w:tcPr>
                  <w:tcW w:w="1796" w:type="dxa"/>
                  <w:tcBorders>
                    <w:top w:val="nil"/>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b/>
                      <w:bCs/>
                      <w:sz w:val="20"/>
                      <w:szCs w:val="20"/>
                      <w:lang w:eastAsia="fr-FR"/>
                    </w:rPr>
                    <w:t>10</w:t>
                  </w:r>
                  <w:r>
                    <w:rPr>
                      <w:rFonts w:ascii="Times New Roman" w:hAnsi="Times New Roman" w:cs="Times New Roman"/>
                      <w:sz w:val="20"/>
                      <w:szCs w:val="20"/>
                      <w:lang w:eastAsia="fr-FR"/>
                    </w:rPr>
                    <w:t xml:space="preserve"> gratuits / mois</w:t>
                  </w:r>
                </w:p>
              </w:tc>
              <w:tc>
                <w:tcPr>
                  <w:tcW w:w="2917" w:type="dxa"/>
                  <w:tcBorders>
                    <w:top w:val="nil"/>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sz w:val="20"/>
                      <w:szCs w:val="20"/>
                      <w:lang w:eastAsia="fr-FR"/>
                    </w:rPr>
                    <w:t>Illimités</w:t>
                  </w:r>
                </w:p>
              </w:tc>
              <w:tc>
                <w:tcPr>
                  <w:tcW w:w="2357" w:type="dxa"/>
                  <w:tcBorders>
                    <w:top w:val="nil"/>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b/>
                      <w:bCs/>
                      <w:sz w:val="20"/>
                      <w:szCs w:val="20"/>
                      <w:lang w:eastAsia="fr-FR"/>
                    </w:rPr>
                    <w:t>Illimités</w:t>
                  </w:r>
                </w:p>
              </w:tc>
            </w:tr>
            <w:tr w:rsidR="002950F3" w:rsidTr="00C12EDF">
              <w:trPr>
                <w:trHeight w:val="248"/>
              </w:trPr>
              <w:tc>
                <w:tcPr>
                  <w:tcW w:w="20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both"/>
                    <w:rPr>
                      <w:rFonts w:ascii="Calibri" w:hAnsi="Calibri" w:cs="Calibri"/>
                    </w:rPr>
                  </w:pPr>
                  <w:r>
                    <w:rPr>
                      <w:rFonts w:ascii="Times New Roman" w:hAnsi="Times New Roman" w:cs="Times New Roman"/>
                      <w:sz w:val="20"/>
                      <w:szCs w:val="20"/>
                      <w:lang w:eastAsia="fr-FR"/>
                    </w:rPr>
                    <w:t>Virements</w:t>
                  </w:r>
                </w:p>
              </w:tc>
              <w:tc>
                <w:tcPr>
                  <w:tcW w:w="2356" w:type="dxa"/>
                  <w:tcBorders>
                    <w:top w:val="nil"/>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sz w:val="20"/>
                      <w:szCs w:val="20"/>
                      <w:lang w:eastAsia="fr-FR"/>
                    </w:rPr>
                    <w:t xml:space="preserve">Illimités </w:t>
                  </w:r>
                  <w:r>
                    <w:rPr>
                      <w:rFonts w:ascii="Times New Roman" w:hAnsi="Times New Roman" w:cs="Times New Roman"/>
                      <w:sz w:val="20"/>
                      <w:szCs w:val="20"/>
                      <w:lang w:eastAsia="fr-FR"/>
                    </w:rPr>
                    <w:br/>
                    <w:t>(Virements SEPA gratuits et illimités sur DEI)</w:t>
                  </w:r>
                </w:p>
              </w:tc>
              <w:tc>
                <w:tcPr>
                  <w:tcW w:w="1796" w:type="dxa"/>
                  <w:tcBorders>
                    <w:top w:val="nil"/>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sz w:val="20"/>
                      <w:szCs w:val="20"/>
                      <w:lang w:eastAsia="fr-FR"/>
                    </w:rPr>
                    <w:t>-</w:t>
                  </w:r>
                </w:p>
              </w:tc>
              <w:tc>
                <w:tcPr>
                  <w:tcW w:w="2917" w:type="dxa"/>
                  <w:tcBorders>
                    <w:top w:val="nil"/>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sz w:val="20"/>
                      <w:szCs w:val="20"/>
                      <w:lang w:eastAsia="fr-FR"/>
                    </w:rPr>
                    <w:t xml:space="preserve">Illimités </w:t>
                  </w:r>
                  <w:r>
                    <w:rPr>
                      <w:rFonts w:ascii="Times New Roman" w:hAnsi="Times New Roman" w:cs="Times New Roman"/>
                      <w:sz w:val="20"/>
                      <w:szCs w:val="20"/>
                      <w:lang w:eastAsia="fr-FR"/>
                    </w:rPr>
                    <w:br/>
                    <w:t>(Virements SEPA gratuits et illimités sur DEI)</w:t>
                  </w:r>
                </w:p>
              </w:tc>
              <w:tc>
                <w:tcPr>
                  <w:tcW w:w="2357" w:type="dxa"/>
                  <w:tcBorders>
                    <w:top w:val="nil"/>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center"/>
                    <w:rPr>
                      <w:rFonts w:ascii="Calibri" w:hAnsi="Calibri" w:cs="Calibri"/>
                    </w:rPr>
                  </w:pPr>
                  <w:r>
                    <w:rPr>
                      <w:rFonts w:ascii="Times New Roman" w:hAnsi="Times New Roman" w:cs="Times New Roman"/>
                      <w:b/>
                      <w:bCs/>
                      <w:sz w:val="20"/>
                      <w:szCs w:val="20"/>
                      <w:lang w:eastAsia="fr-FR"/>
                    </w:rPr>
                    <w:t>1</w:t>
                  </w:r>
                  <w:r>
                    <w:rPr>
                      <w:rFonts w:ascii="Times New Roman" w:hAnsi="Times New Roman" w:cs="Times New Roman"/>
                      <w:sz w:val="20"/>
                      <w:szCs w:val="20"/>
                      <w:lang w:eastAsia="fr-FR"/>
                    </w:rPr>
                    <w:t xml:space="preserve"> gratuit / mois </w:t>
                  </w:r>
                  <w:r>
                    <w:rPr>
                      <w:rFonts w:ascii="Times New Roman" w:hAnsi="Times New Roman" w:cs="Times New Roman"/>
                      <w:sz w:val="20"/>
                      <w:szCs w:val="20"/>
                      <w:lang w:eastAsia="fr-FR"/>
                    </w:rPr>
                    <w:br/>
                    <w:t>( / ! \ hors frais de change et de correspondant)</w:t>
                  </w:r>
                </w:p>
              </w:tc>
            </w:tr>
          </w:tbl>
          <w:p w:rsidR="002950F3" w:rsidRPr="00F478E6" w:rsidRDefault="002950F3" w:rsidP="00C12EDF">
            <w:pPr>
              <w:ind w:left="176"/>
              <w:contextualSpacing/>
              <w:jc w:val="both"/>
            </w:pPr>
            <w:r>
              <w:rPr>
                <w:rFonts w:ascii="Times New Roman" w:hAnsi="Times New Roman" w:cs="Times New Roman"/>
                <w:b/>
                <w:bCs/>
                <w:sz w:val="20"/>
                <w:szCs w:val="20"/>
                <w:lang w:eastAsia="fr-FR"/>
              </w:rPr>
              <w:t> </w:t>
            </w:r>
          </w:p>
          <w:p w:rsidR="002950F3" w:rsidRPr="00F478E6" w:rsidRDefault="002950F3" w:rsidP="00C12EDF">
            <w:pPr>
              <w:numPr>
                <w:ilvl w:val="0"/>
                <w:numId w:val="43"/>
              </w:numPr>
              <w:ind w:left="176" w:hanging="176"/>
              <w:contextualSpacing/>
              <w:jc w:val="both"/>
            </w:pPr>
            <w:r>
              <w:rPr>
                <w:rFonts w:ascii="Times New Roman" w:hAnsi="Times New Roman" w:cs="Times New Roman"/>
                <w:b/>
                <w:bCs/>
                <w:sz w:val="20"/>
                <w:szCs w:val="20"/>
                <w:lang w:eastAsia="fr-FR"/>
              </w:rPr>
              <w:t>Quelle est la tarification ?</w:t>
            </w:r>
          </w:p>
          <w:p w:rsidR="002950F3" w:rsidRPr="00F478E6" w:rsidRDefault="002950F3" w:rsidP="00C12EDF">
            <w:pPr>
              <w:ind w:left="176"/>
              <w:contextualSpacing/>
              <w:jc w:val="both"/>
              <w:rPr>
                <w:sz w:val="10"/>
              </w:rPr>
            </w:pPr>
          </w:p>
          <w:tbl>
            <w:tblPr>
              <w:tblW w:w="0" w:type="auto"/>
              <w:tblInd w:w="360" w:type="dxa"/>
              <w:tblLayout w:type="fixed"/>
              <w:tblCellMar>
                <w:left w:w="0" w:type="dxa"/>
                <w:right w:w="0" w:type="dxa"/>
              </w:tblCellMar>
              <w:tblLook w:val="04A0" w:firstRow="1" w:lastRow="0" w:firstColumn="1" w:lastColumn="0" w:noHBand="0" w:noVBand="1"/>
            </w:tblPr>
            <w:tblGrid>
              <w:gridCol w:w="2042"/>
              <w:gridCol w:w="4713"/>
            </w:tblGrid>
            <w:tr w:rsidR="002950F3" w:rsidTr="00C12EDF">
              <w:trPr>
                <w:trHeight w:val="248"/>
              </w:trPr>
              <w:tc>
                <w:tcPr>
                  <w:tcW w:w="204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both"/>
                    <w:rPr>
                      <w:rFonts w:ascii="Calibri" w:hAnsi="Calibri" w:cs="Calibri"/>
                    </w:rPr>
                  </w:pPr>
                  <w:r>
                    <w:rPr>
                      <w:rFonts w:ascii="Times New Roman" w:hAnsi="Times New Roman" w:cs="Times New Roman"/>
                      <w:sz w:val="20"/>
                      <w:szCs w:val="20"/>
                      <w:lang w:eastAsia="fr-FR"/>
                    </w:rPr>
                    <w:t>Formule 1 : Voyage</w:t>
                  </w:r>
                </w:p>
              </w:tc>
              <w:tc>
                <w:tcPr>
                  <w:tcW w:w="471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both"/>
                    <w:rPr>
                      <w:rFonts w:ascii="Calibri" w:hAnsi="Calibri" w:cs="Calibri"/>
                    </w:rPr>
                  </w:pPr>
                  <w:r>
                    <w:rPr>
                      <w:rFonts w:ascii="Times New Roman" w:hAnsi="Times New Roman" w:cs="Times New Roman"/>
                      <w:sz w:val="20"/>
                      <w:szCs w:val="20"/>
                      <w:lang w:eastAsia="fr-FR"/>
                    </w:rPr>
                    <w:t>4€/mois - Demi-tarif pour les jeunes (12-25 ans)</w:t>
                  </w:r>
                </w:p>
              </w:tc>
            </w:tr>
            <w:tr w:rsidR="002950F3" w:rsidTr="00C12EDF">
              <w:trPr>
                <w:trHeight w:val="248"/>
              </w:trPr>
              <w:tc>
                <w:tcPr>
                  <w:tcW w:w="20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both"/>
                    <w:rPr>
                      <w:rFonts w:ascii="Calibri" w:hAnsi="Calibri" w:cs="Calibri"/>
                    </w:rPr>
                  </w:pPr>
                  <w:r>
                    <w:rPr>
                      <w:rFonts w:ascii="Times New Roman" w:hAnsi="Times New Roman" w:cs="Times New Roman"/>
                      <w:sz w:val="20"/>
                      <w:szCs w:val="20"/>
                      <w:lang w:eastAsia="fr-FR"/>
                    </w:rPr>
                    <w:t xml:space="preserve">Formule 2 : Séjour </w:t>
                  </w:r>
                </w:p>
              </w:tc>
              <w:tc>
                <w:tcPr>
                  <w:tcW w:w="4713" w:type="dxa"/>
                  <w:tcBorders>
                    <w:top w:val="nil"/>
                    <w:left w:val="nil"/>
                    <w:bottom w:val="single" w:sz="8" w:space="0" w:color="auto"/>
                    <w:right w:val="single" w:sz="8" w:space="0" w:color="auto"/>
                  </w:tcBorders>
                  <w:tcMar>
                    <w:top w:w="0" w:type="dxa"/>
                    <w:left w:w="108" w:type="dxa"/>
                    <w:bottom w:w="0" w:type="dxa"/>
                    <w:right w:w="108" w:type="dxa"/>
                  </w:tcMar>
                  <w:hideMark/>
                </w:tcPr>
                <w:p w:rsidR="002950F3" w:rsidRDefault="002950F3" w:rsidP="00C12EDF">
                  <w:pPr>
                    <w:spacing w:after="0" w:line="240" w:lineRule="auto"/>
                    <w:jc w:val="both"/>
                    <w:rPr>
                      <w:rFonts w:ascii="Calibri" w:hAnsi="Calibri" w:cs="Calibri"/>
                    </w:rPr>
                  </w:pPr>
                  <w:r>
                    <w:rPr>
                      <w:rFonts w:ascii="Times New Roman" w:hAnsi="Times New Roman" w:cs="Times New Roman"/>
                      <w:sz w:val="20"/>
                      <w:szCs w:val="20"/>
                      <w:lang w:eastAsia="fr-FR"/>
                    </w:rPr>
                    <w:t>16€/mois - Demi-tarif pour les jeunes (12-25 ans)</w:t>
                  </w:r>
                </w:p>
              </w:tc>
            </w:tr>
          </w:tbl>
          <w:p w:rsidR="002950F3" w:rsidRPr="00F478E6" w:rsidRDefault="002950F3" w:rsidP="00C12EDF">
            <w:pPr>
              <w:ind w:left="1080"/>
              <w:contextualSpacing/>
              <w:jc w:val="both"/>
              <w:rPr>
                <w:rFonts w:ascii="Calibri" w:hAnsi="Calibri" w:cs="Calibri"/>
                <w:sz w:val="8"/>
              </w:rPr>
            </w:pPr>
          </w:p>
          <w:p w:rsidR="002950F3" w:rsidRDefault="002950F3" w:rsidP="00C12EDF">
            <w:pPr>
              <w:numPr>
                <w:ilvl w:val="1"/>
                <w:numId w:val="43"/>
              </w:numPr>
              <w:contextualSpacing/>
              <w:jc w:val="both"/>
              <w:rPr>
                <w:rFonts w:ascii="Calibri" w:hAnsi="Calibri" w:cs="Calibri"/>
              </w:rPr>
            </w:pPr>
            <w:r>
              <w:rPr>
                <w:rFonts w:ascii="Times New Roman" w:hAnsi="Times New Roman" w:cs="Times New Roman"/>
                <w:sz w:val="20"/>
                <w:szCs w:val="20"/>
                <w:lang w:eastAsia="fr-FR"/>
              </w:rPr>
              <w:t xml:space="preserve">Si l’option est souscrite au sein de l’offre groupée de services Bouquet Liberté, le service </w:t>
            </w:r>
            <w:r>
              <w:rPr>
                <w:rFonts w:ascii="Times New Roman" w:hAnsi="Times New Roman" w:cs="Times New Roman"/>
                <w:b/>
                <w:bCs/>
                <w:sz w:val="20"/>
                <w:szCs w:val="20"/>
                <w:lang w:eastAsia="fr-FR"/>
              </w:rPr>
              <w:t>bénéficie des remises progressives</w:t>
            </w:r>
            <w:r>
              <w:rPr>
                <w:rFonts w:ascii="Times New Roman" w:hAnsi="Times New Roman" w:cs="Times New Roman"/>
                <w:sz w:val="20"/>
                <w:szCs w:val="20"/>
                <w:lang w:eastAsia="fr-FR"/>
              </w:rPr>
              <w:t xml:space="preserve">. Cependant, la remise Jeune </w:t>
            </w:r>
            <w:r>
              <w:rPr>
                <w:rFonts w:ascii="Times New Roman" w:hAnsi="Times New Roman" w:cs="Times New Roman"/>
                <w:b/>
                <w:bCs/>
                <w:sz w:val="20"/>
                <w:szCs w:val="20"/>
                <w:lang w:eastAsia="fr-FR"/>
              </w:rPr>
              <w:t>ne se cumule pas</w:t>
            </w:r>
            <w:r>
              <w:rPr>
                <w:rFonts w:ascii="Times New Roman" w:hAnsi="Times New Roman" w:cs="Times New Roman"/>
                <w:sz w:val="20"/>
                <w:szCs w:val="20"/>
                <w:lang w:eastAsia="fr-FR"/>
              </w:rPr>
              <w:t xml:space="preserve"> avec les remises liées au nombre de services complémentaires.</w:t>
            </w:r>
          </w:p>
          <w:p w:rsidR="002950F3" w:rsidRDefault="002950F3" w:rsidP="00C12EDF">
            <w:pPr>
              <w:numPr>
                <w:ilvl w:val="2"/>
                <w:numId w:val="43"/>
              </w:numPr>
              <w:contextualSpacing/>
              <w:jc w:val="both"/>
            </w:pPr>
            <w:r>
              <w:rPr>
                <w:rFonts w:ascii="Times New Roman" w:hAnsi="Times New Roman" w:cs="Times New Roman"/>
                <w:sz w:val="20"/>
                <w:szCs w:val="20"/>
                <w:lang w:eastAsia="fr-FR"/>
              </w:rPr>
              <w:t xml:space="preserve">En cas de souscription d’un Bouquet Liberté : le client sera facturé de l’ensemble (BL + option) lors de la tarification du mois suivant. </w:t>
            </w:r>
            <w:r>
              <w:rPr>
                <w:rFonts w:ascii="Times New Roman" w:hAnsi="Times New Roman" w:cs="Times New Roman"/>
                <w:b/>
                <w:bCs/>
                <w:sz w:val="20"/>
                <w:szCs w:val="20"/>
                <w:lang w:eastAsia="fr-FR"/>
              </w:rPr>
              <w:t>Point de vigilance:</w:t>
            </w:r>
            <w:r>
              <w:rPr>
                <w:rFonts w:ascii="Times New Roman" w:hAnsi="Times New Roman" w:cs="Times New Roman"/>
                <w:sz w:val="20"/>
                <w:szCs w:val="20"/>
                <w:lang w:eastAsia="fr-FR"/>
              </w:rPr>
              <w:t xml:space="preserve"> si un client souscrit la Formule 1, par exemple, le 2 avril et qu’il souhaite résilier son option au bout d’un mois, soit le 2 mai, le Conseiller devra effectuer la résiliation qu’après prélèvement de la tarification du surcout, soit le 10 mai.</w:t>
            </w:r>
          </w:p>
          <w:p w:rsidR="002950F3" w:rsidRDefault="002950F3" w:rsidP="00C12EDF">
            <w:pPr>
              <w:numPr>
                <w:ilvl w:val="2"/>
                <w:numId w:val="43"/>
              </w:numPr>
              <w:contextualSpacing/>
              <w:jc w:val="both"/>
            </w:pPr>
            <w:r>
              <w:rPr>
                <w:rFonts w:ascii="Times New Roman" w:hAnsi="Times New Roman" w:cs="Times New Roman"/>
                <w:sz w:val="20"/>
                <w:szCs w:val="20"/>
                <w:lang w:eastAsia="fr-FR"/>
              </w:rPr>
              <w:t>En cas d’avenant Bouquet Liberté</w:t>
            </w:r>
          </w:p>
          <w:p w:rsidR="002950F3" w:rsidRDefault="002950F3" w:rsidP="00C12EDF">
            <w:pPr>
              <w:numPr>
                <w:ilvl w:val="3"/>
                <w:numId w:val="44"/>
              </w:numPr>
              <w:contextualSpacing/>
              <w:jc w:val="both"/>
            </w:pPr>
            <w:r>
              <w:rPr>
                <w:rFonts w:ascii="Times New Roman" w:hAnsi="Times New Roman" w:cs="Times New Roman"/>
                <w:sz w:val="20"/>
                <w:szCs w:val="20"/>
                <w:lang w:eastAsia="fr-FR"/>
              </w:rPr>
              <w:lastRenderedPageBreak/>
              <w:t xml:space="preserve">Si souscription entre le 1er et le 9 du mois, la tarification du surcout a lieu </w:t>
            </w:r>
            <w:r>
              <w:rPr>
                <w:rFonts w:ascii="Times New Roman" w:hAnsi="Times New Roman" w:cs="Times New Roman"/>
                <w:b/>
                <w:bCs/>
                <w:sz w:val="20"/>
                <w:szCs w:val="20"/>
                <w:lang w:eastAsia="fr-FR"/>
              </w:rPr>
              <w:t>le 10 du mois en cours</w:t>
            </w:r>
          </w:p>
          <w:p w:rsidR="002950F3" w:rsidRDefault="002950F3" w:rsidP="00C12EDF">
            <w:pPr>
              <w:numPr>
                <w:ilvl w:val="3"/>
                <w:numId w:val="44"/>
              </w:numPr>
              <w:contextualSpacing/>
              <w:jc w:val="both"/>
            </w:pPr>
            <w:r>
              <w:rPr>
                <w:rFonts w:ascii="Times New Roman" w:hAnsi="Times New Roman" w:cs="Times New Roman"/>
                <w:sz w:val="20"/>
                <w:szCs w:val="20"/>
                <w:lang w:eastAsia="fr-FR"/>
              </w:rPr>
              <w:t xml:space="preserve">Si souscription à partir du 10 du mois, la tarification du surcout a lieu </w:t>
            </w:r>
            <w:r>
              <w:rPr>
                <w:rFonts w:ascii="Times New Roman" w:hAnsi="Times New Roman" w:cs="Times New Roman"/>
                <w:b/>
                <w:bCs/>
                <w:sz w:val="20"/>
                <w:szCs w:val="20"/>
                <w:lang w:eastAsia="fr-FR"/>
              </w:rPr>
              <w:t>le 10 du mois suivant</w:t>
            </w:r>
          </w:p>
          <w:p w:rsidR="002950F3" w:rsidRDefault="002950F3" w:rsidP="00C12EDF">
            <w:pPr>
              <w:numPr>
                <w:ilvl w:val="1"/>
                <w:numId w:val="43"/>
              </w:numPr>
              <w:contextualSpacing/>
              <w:jc w:val="both"/>
            </w:pPr>
            <w:r>
              <w:rPr>
                <w:rFonts w:ascii="Times New Roman" w:hAnsi="Times New Roman" w:cs="Times New Roman"/>
                <w:sz w:val="20"/>
                <w:szCs w:val="20"/>
                <w:lang w:eastAsia="fr-FR"/>
              </w:rPr>
              <w:t>Si l’option est souscrite au sein de l’offre CDD unitaire. La tarification du service a lieu le dernier jour ouvré du mois.</w:t>
            </w:r>
          </w:p>
          <w:p w:rsidR="002950F3" w:rsidRDefault="002950F3" w:rsidP="00C12EDF">
            <w:pPr>
              <w:jc w:val="both"/>
            </w:pPr>
            <w:r>
              <w:rPr>
                <w:rFonts w:ascii="Times New Roman" w:hAnsi="Times New Roman" w:cs="Times New Roman"/>
                <w:b/>
                <w:bCs/>
                <w:sz w:val="20"/>
                <w:szCs w:val="20"/>
                <w:lang w:eastAsia="fr-FR"/>
              </w:rPr>
              <w:t> </w:t>
            </w:r>
          </w:p>
          <w:p w:rsidR="002950F3" w:rsidRDefault="002950F3" w:rsidP="00C12EDF">
            <w:pPr>
              <w:numPr>
                <w:ilvl w:val="0"/>
                <w:numId w:val="43"/>
              </w:numPr>
              <w:ind w:left="176" w:hanging="176"/>
              <w:contextualSpacing/>
              <w:jc w:val="both"/>
            </w:pPr>
            <w:r>
              <w:rPr>
                <w:rFonts w:ascii="Times New Roman" w:hAnsi="Times New Roman" w:cs="Times New Roman"/>
                <w:b/>
                <w:bCs/>
                <w:sz w:val="20"/>
                <w:szCs w:val="20"/>
                <w:lang w:eastAsia="fr-FR"/>
              </w:rPr>
              <w:t>Comment clôturer le service Option Internationale dans le Bouquet Liberté ?</w:t>
            </w:r>
          </w:p>
          <w:p w:rsidR="002950F3" w:rsidRDefault="002950F3" w:rsidP="00C12EDF">
            <w:pPr>
              <w:numPr>
                <w:ilvl w:val="1"/>
                <w:numId w:val="43"/>
              </w:numPr>
              <w:contextualSpacing/>
              <w:jc w:val="both"/>
            </w:pPr>
            <w:r>
              <w:rPr>
                <w:rFonts w:ascii="Times New Roman" w:hAnsi="Times New Roman" w:cs="Times New Roman"/>
                <w:sz w:val="20"/>
                <w:szCs w:val="20"/>
                <w:lang w:eastAsia="fr-FR"/>
              </w:rPr>
              <w:t>A la clôture du service, 2 anomalies sont possibles :</w:t>
            </w:r>
          </w:p>
          <w:p w:rsidR="002950F3" w:rsidRDefault="002950F3" w:rsidP="00C12EDF">
            <w:pPr>
              <w:numPr>
                <w:ilvl w:val="2"/>
                <w:numId w:val="43"/>
              </w:numPr>
              <w:contextualSpacing/>
              <w:jc w:val="both"/>
            </w:pPr>
            <w:r>
              <w:rPr>
                <w:rFonts w:ascii="Times New Roman" w:hAnsi="Times New Roman" w:cs="Times New Roman"/>
                <w:b/>
                <w:bCs/>
                <w:sz w:val="20"/>
                <w:szCs w:val="20"/>
                <w:lang w:eastAsia="fr-FR"/>
              </w:rPr>
              <w:t>Si le délai d’engagement n’est pas respecté</w:t>
            </w:r>
            <w:r>
              <w:rPr>
                <w:rFonts w:ascii="Times New Roman" w:hAnsi="Times New Roman" w:cs="Times New Roman"/>
                <w:sz w:val="20"/>
                <w:szCs w:val="20"/>
                <w:lang w:eastAsia="fr-FR"/>
              </w:rPr>
              <w:t xml:space="preserve"> (1 mois pour la Formule 1 – Voyage et 2 mois pour la Formule 2 – Séjour) un message d’alerte non bloquant apparaît. La date affichée correspond à la date à laquelle le Conseiller pourra clôturer le service. </w:t>
            </w:r>
          </w:p>
          <w:p w:rsidR="002950F3" w:rsidRDefault="002950F3" w:rsidP="00C12EDF">
            <w:pPr>
              <w:numPr>
                <w:ilvl w:val="2"/>
                <w:numId w:val="43"/>
              </w:numPr>
              <w:contextualSpacing/>
              <w:jc w:val="both"/>
            </w:pPr>
            <w:r>
              <w:rPr>
                <w:rFonts w:ascii="Times New Roman" w:hAnsi="Times New Roman" w:cs="Times New Roman"/>
                <w:b/>
                <w:bCs/>
                <w:sz w:val="20"/>
                <w:szCs w:val="20"/>
                <w:lang w:eastAsia="fr-FR"/>
              </w:rPr>
              <w:t>Si le service Retraits déplacés Illimités n’est pas positionné</w:t>
            </w:r>
            <w:r>
              <w:rPr>
                <w:rFonts w:ascii="Times New Roman" w:hAnsi="Times New Roman" w:cs="Times New Roman"/>
                <w:sz w:val="20"/>
                <w:szCs w:val="20"/>
                <w:lang w:eastAsia="fr-FR"/>
              </w:rPr>
              <w:t xml:space="preserve"> et </w:t>
            </w:r>
            <w:r>
              <w:rPr>
                <w:rFonts w:ascii="Times New Roman" w:hAnsi="Times New Roman" w:cs="Times New Roman"/>
                <w:b/>
                <w:bCs/>
                <w:sz w:val="20"/>
                <w:szCs w:val="20"/>
                <w:lang w:eastAsia="fr-FR"/>
              </w:rPr>
              <w:t>que le Client détenait ce service avant la souscription d’Option Internationale</w:t>
            </w:r>
            <w:r>
              <w:rPr>
                <w:rFonts w:ascii="Times New Roman" w:hAnsi="Times New Roman" w:cs="Times New Roman"/>
                <w:sz w:val="20"/>
                <w:szCs w:val="20"/>
                <w:lang w:eastAsia="fr-FR"/>
              </w:rPr>
              <w:t xml:space="preserve"> un message bloquant s’affiche. Il faudra forcer la clôture si le Client ne souhaite pas le service Retraits déplacés. En cliquant sur le message, on arrive directement sur une case à cocher « Forcer la clôture ».</w:t>
            </w:r>
          </w:p>
          <w:p w:rsidR="002950F3" w:rsidRDefault="002950F3" w:rsidP="00C12EDF">
            <w:pPr>
              <w:pStyle w:val="Paragraphedeliste"/>
              <w:numPr>
                <w:ilvl w:val="0"/>
                <w:numId w:val="45"/>
              </w:numPr>
              <w:jc w:val="both"/>
            </w:pPr>
            <w:r>
              <w:rPr>
                <w:rFonts w:ascii="Times New Roman" w:hAnsi="Times New Roman" w:cs="Times New Roman"/>
                <w:sz w:val="20"/>
                <w:szCs w:val="20"/>
                <w:lang w:eastAsia="fr-FR"/>
              </w:rPr>
              <w:t xml:space="preserve">Retrouvez plus d’informations dans la </w:t>
            </w:r>
            <w:hyperlink r:id="rId25" w:history="1">
              <w:r>
                <w:rPr>
                  <w:rStyle w:val="Lienhypertexte"/>
                  <w:rFonts w:ascii="Times New Roman" w:hAnsi="Times New Roman" w:cs="Times New Roman"/>
                  <w:sz w:val="20"/>
                  <w:szCs w:val="20"/>
                  <w:lang w:eastAsia="fr-FR"/>
                </w:rPr>
                <w:t>note DMA-INF/17.071</w:t>
              </w:r>
            </w:hyperlink>
            <w:r>
              <w:rPr>
                <w:rFonts w:ascii="Times New Roman" w:hAnsi="Times New Roman" w:cs="Times New Roman"/>
                <w:sz w:val="20"/>
                <w:szCs w:val="20"/>
                <w:lang w:eastAsia="fr-FR"/>
              </w:rPr>
              <w:t xml:space="preserve"> et dans la </w:t>
            </w:r>
            <w:hyperlink r:id="rId26" w:history="1">
              <w:r>
                <w:rPr>
                  <w:rStyle w:val="Lienhypertexte"/>
                  <w:rFonts w:ascii="Times New Roman" w:hAnsi="Times New Roman" w:cs="Times New Roman"/>
                  <w:sz w:val="20"/>
                  <w:szCs w:val="20"/>
                  <w:lang w:eastAsia="fr-FR"/>
                </w:rPr>
                <w:t>rubrique des commerciaux</w:t>
              </w:r>
            </w:hyperlink>
            <w:r>
              <w:rPr>
                <w:rFonts w:ascii="Times New Roman" w:hAnsi="Times New Roman" w:cs="Times New Roman"/>
                <w:sz w:val="20"/>
                <w:szCs w:val="20"/>
                <w:lang w:eastAsia="fr-FR"/>
              </w:rPr>
              <w:t>.</w:t>
            </w:r>
          </w:p>
        </w:tc>
      </w:tr>
      <w:tr w:rsidR="002950F3" w:rsidRPr="00E81F6E" w:rsidTr="00AF3BE3">
        <w:trPr>
          <w:trHeight w:val="248"/>
        </w:trPr>
        <w:tc>
          <w:tcPr>
            <w:tcW w:w="1560" w:type="dxa"/>
            <w:tcBorders>
              <w:bottom w:val="single" w:sz="4" w:space="0" w:color="auto"/>
            </w:tcBorders>
          </w:tcPr>
          <w:p w:rsidR="002950F3" w:rsidRPr="005D40B4" w:rsidRDefault="002950F3" w:rsidP="00C12EDF">
            <w:pPr>
              <w:rPr>
                <w:rFonts w:ascii="Times New Roman" w:hAnsi="Times New Roman" w:cs="Times New Roman"/>
                <w:b/>
                <w:bCs/>
                <w:sz w:val="20"/>
                <w:szCs w:val="20"/>
              </w:rPr>
            </w:pPr>
            <w:r w:rsidRPr="006C727B">
              <w:rPr>
                <w:rFonts w:ascii="Times New Roman" w:hAnsi="Times New Roman" w:cs="Times New Roman"/>
                <w:b/>
                <w:bCs/>
                <w:sz w:val="20"/>
                <w:szCs w:val="20"/>
              </w:rPr>
              <w:lastRenderedPageBreak/>
              <w:t>Com. DMA</w:t>
            </w:r>
          </w:p>
        </w:tc>
        <w:tc>
          <w:tcPr>
            <w:tcW w:w="1843" w:type="dxa"/>
            <w:tcBorders>
              <w:bottom w:val="single" w:sz="4" w:space="0" w:color="auto"/>
            </w:tcBorders>
          </w:tcPr>
          <w:p w:rsidR="002950F3" w:rsidRPr="002950F3" w:rsidRDefault="002950F3" w:rsidP="00C12EDF">
            <w:pPr>
              <w:rPr>
                <w:rFonts w:ascii="Times New Roman" w:hAnsi="Times New Roman" w:cs="Times New Roman"/>
                <w:sz w:val="20"/>
                <w:szCs w:val="20"/>
              </w:rPr>
            </w:pPr>
            <w:r w:rsidRPr="002950F3">
              <w:rPr>
                <w:rFonts w:ascii="Times New Roman" w:hAnsi="Times New Roman" w:cs="Times New Roman"/>
                <w:b/>
                <w:bCs/>
                <w:color w:val="000000"/>
                <w:sz w:val="20"/>
                <w:szCs w:val="20"/>
              </w:rPr>
              <w:t>IARD – Remise tarifaire</w:t>
            </w:r>
          </w:p>
        </w:tc>
        <w:tc>
          <w:tcPr>
            <w:tcW w:w="12332" w:type="dxa"/>
            <w:tcBorders>
              <w:bottom w:val="single" w:sz="4" w:space="0" w:color="auto"/>
            </w:tcBorders>
            <w:shd w:val="clear" w:color="auto" w:fill="auto"/>
          </w:tcPr>
          <w:p w:rsidR="002950F3" w:rsidRPr="002950F3" w:rsidRDefault="002950F3" w:rsidP="00C12EDF">
            <w:pPr>
              <w:numPr>
                <w:ilvl w:val="0"/>
                <w:numId w:val="43"/>
              </w:numPr>
              <w:ind w:left="187" w:hanging="187"/>
              <w:contextualSpacing/>
              <w:jc w:val="both"/>
              <w:rPr>
                <w:rFonts w:ascii="Times New Roman" w:hAnsi="Times New Roman" w:cs="Times New Roman"/>
                <w:color w:val="000000"/>
                <w:sz w:val="20"/>
                <w:szCs w:val="20"/>
                <w:lang w:eastAsia="fr-FR"/>
              </w:rPr>
            </w:pPr>
            <w:r w:rsidRPr="002950F3">
              <w:rPr>
                <w:rFonts w:ascii="Times New Roman" w:hAnsi="Times New Roman" w:cs="Times New Roman"/>
                <w:color w:val="000000"/>
                <w:sz w:val="20"/>
                <w:szCs w:val="20"/>
                <w:lang w:eastAsia="fr-FR"/>
              </w:rPr>
              <w:t xml:space="preserve">Pour rappel, BPCEA a mis à disposition de chaque Caisse d’Epargne une enveloppe annuelle permettant d’accorder une réduction tarifaire sur les contrats « Mon Auto &amp; Moi » (en Portefeuille) et « Assur ’Toit » (en Portefeuille et affaires nouvelles). C’est une opportunité d’équiper et de fidéliser nos clients. Retrouvez l’ensemble des informations dans l’HDJ du 15 février ou en cliquant </w:t>
            </w:r>
            <w:hyperlink r:id="rId27" w:history="1">
              <w:r w:rsidRPr="002950F3">
                <w:rPr>
                  <w:rStyle w:val="Lienhypertexte"/>
                  <w:rFonts w:ascii="Times New Roman" w:hAnsi="Times New Roman" w:cs="Times New Roman"/>
                  <w:sz w:val="20"/>
                  <w:szCs w:val="20"/>
                  <w:lang w:eastAsia="fr-FR"/>
                </w:rPr>
                <w:t>ICI</w:t>
              </w:r>
            </w:hyperlink>
            <w:r w:rsidRPr="002950F3">
              <w:rPr>
                <w:rFonts w:ascii="Times New Roman" w:hAnsi="Times New Roman" w:cs="Times New Roman"/>
                <w:color w:val="000000"/>
                <w:sz w:val="20"/>
                <w:szCs w:val="20"/>
                <w:lang w:eastAsia="fr-FR"/>
              </w:rPr>
              <w:t>.</w:t>
            </w:r>
          </w:p>
          <w:p w:rsidR="002950F3" w:rsidRPr="002950F3" w:rsidRDefault="002950F3" w:rsidP="00C12EDF">
            <w:pPr>
              <w:numPr>
                <w:ilvl w:val="0"/>
                <w:numId w:val="43"/>
              </w:numPr>
              <w:ind w:left="176" w:hanging="176"/>
              <w:contextualSpacing/>
              <w:jc w:val="both"/>
              <w:rPr>
                <w:rFonts w:ascii="Times New Roman" w:hAnsi="Times New Roman" w:cs="Times New Roman"/>
                <w:color w:val="1F497D"/>
                <w:sz w:val="20"/>
                <w:szCs w:val="20"/>
              </w:rPr>
            </w:pPr>
            <w:r w:rsidRPr="002950F3">
              <w:rPr>
                <w:rFonts w:ascii="Times New Roman" w:hAnsi="Times New Roman" w:cs="Times New Roman"/>
                <w:color w:val="000000"/>
                <w:sz w:val="20"/>
                <w:szCs w:val="20"/>
                <w:lang w:eastAsia="fr-FR"/>
              </w:rPr>
              <w:t>Au 17/03/2018, 1% de l’enveloppe a été consommé.</w:t>
            </w:r>
            <w:r>
              <w:rPr>
                <w:rFonts w:ascii="Times New Roman" w:hAnsi="Times New Roman" w:cs="Times New Roman"/>
                <w:color w:val="000000"/>
                <w:sz w:val="20"/>
                <w:szCs w:val="20"/>
                <w:lang w:eastAsia="fr-FR"/>
              </w:rPr>
              <w:t xml:space="preserve"> </w:t>
            </w:r>
            <w:hyperlink r:id="rId28" w:history="1">
              <w:r w:rsidRPr="002950F3">
                <w:rPr>
                  <w:rStyle w:val="Lienhypertexte"/>
                  <w:rFonts w:ascii="Times New Roman" w:hAnsi="Times New Roman" w:cs="Times New Roman"/>
                  <w:sz w:val="20"/>
                  <w:szCs w:val="20"/>
                  <w:lang w:eastAsia="fr-FR"/>
                </w:rPr>
                <w:t>CLIQUEZ ICI</w:t>
              </w:r>
            </w:hyperlink>
            <w:r w:rsidRPr="002950F3">
              <w:rPr>
                <w:rFonts w:ascii="Times New Roman" w:hAnsi="Times New Roman" w:cs="Times New Roman"/>
                <w:color w:val="000000"/>
                <w:sz w:val="20"/>
                <w:szCs w:val="20"/>
                <w:lang w:eastAsia="fr-FR"/>
              </w:rPr>
              <w:t xml:space="preserve"> pour accéder au suivi détaillé par groupe et points de vente</w:t>
            </w:r>
            <w:r w:rsidRPr="002950F3">
              <w:rPr>
                <w:rFonts w:ascii="Times New Roman" w:hAnsi="Times New Roman" w:cs="Times New Roman"/>
                <w:color w:val="1F497D"/>
                <w:sz w:val="20"/>
                <w:szCs w:val="20"/>
                <w:lang w:eastAsia="fr-FR"/>
              </w:rPr>
              <w:t xml:space="preserve">. </w:t>
            </w:r>
            <w:r w:rsidRPr="002950F3">
              <w:rPr>
                <w:rFonts w:ascii="Times New Roman" w:hAnsi="Times New Roman" w:cs="Times New Roman"/>
                <w:color w:val="000000"/>
                <w:sz w:val="20"/>
                <w:szCs w:val="20"/>
                <w:lang w:eastAsia="fr-FR"/>
              </w:rPr>
              <w:t>Ce 1</w:t>
            </w:r>
            <w:r w:rsidRPr="002950F3">
              <w:rPr>
                <w:rFonts w:ascii="Times New Roman" w:hAnsi="Times New Roman" w:cs="Times New Roman"/>
                <w:color w:val="000000"/>
                <w:sz w:val="20"/>
                <w:szCs w:val="20"/>
                <w:vertAlign w:val="superscript"/>
                <w:lang w:eastAsia="fr-FR"/>
              </w:rPr>
              <w:t>er</w:t>
            </w:r>
            <w:r w:rsidRPr="002950F3">
              <w:rPr>
                <w:rFonts w:ascii="Times New Roman" w:hAnsi="Times New Roman" w:cs="Times New Roman"/>
                <w:color w:val="000000"/>
                <w:sz w:val="20"/>
                <w:szCs w:val="20"/>
                <w:lang w:eastAsia="fr-FR"/>
              </w:rPr>
              <w:t xml:space="preserve"> état sera suivi d’une publication mensuelle arrêtée à chaque fin de mois.</w:t>
            </w:r>
          </w:p>
        </w:tc>
      </w:tr>
      <w:tr w:rsidR="00E150E6" w:rsidRPr="00E81F6E" w:rsidTr="00AF3BE3">
        <w:trPr>
          <w:trHeight w:val="248"/>
        </w:trPr>
        <w:tc>
          <w:tcPr>
            <w:tcW w:w="1560" w:type="dxa"/>
            <w:tcBorders>
              <w:bottom w:val="single" w:sz="4" w:space="0" w:color="auto"/>
            </w:tcBorders>
          </w:tcPr>
          <w:p w:rsidR="00E150E6" w:rsidRDefault="00E150E6">
            <w:r w:rsidRPr="002E53AA">
              <w:rPr>
                <w:rFonts w:ascii="Times New Roman" w:hAnsi="Times New Roman" w:cs="Times New Roman"/>
                <w:b/>
                <w:bCs/>
                <w:sz w:val="20"/>
                <w:szCs w:val="20"/>
              </w:rPr>
              <w:t>Com. DMA</w:t>
            </w:r>
          </w:p>
        </w:tc>
        <w:tc>
          <w:tcPr>
            <w:tcW w:w="1843" w:type="dxa"/>
            <w:tcBorders>
              <w:bottom w:val="single" w:sz="4" w:space="0" w:color="auto"/>
            </w:tcBorders>
          </w:tcPr>
          <w:p w:rsidR="00E150E6" w:rsidRPr="00E150E6" w:rsidRDefault="00E150E6">
            <w:pPr>
              <w:rPr>
                <w:rFonts w:ascii="Times New Roman" w:hAnsi="Times New Roman" w:cs="Times New Roman"/>
                <w:sz w:val="20"/>
                <w:szCs w:val="20"/>
              </w:rPr>
            </w:pPr>
            <w:r w:rsidRPr="00E150E6">
              <w:rPr>
                <w:rFonts w:ascii="Times New Roman" w:hAnsi="Times New Roman" w:cs="Times New Roman"/>
                <w:b/>
                <w:bCs/>
                <w:sz w:val="20"/>
                <w:szCs w:val="20"/>
              </w:rPr>
              <w:t>Crédit immobilier /</w:t>
            </w:r>
          </w:p>
          <w:p w:rsidR="00E150E6" w:rsidRPr="00E150E6" w:rsidRDefault="00E150E6">
            <w:pPr>
              <w:rPr>
                <w:rFonts w:ascii="Times New Roman" w:hAnsi="Times New Roman" w:cs="Times New Roman"/>
                <w:sz w:val="20"/>
                <w:szCs w:val="20"/>
              </w:rPr>
            </w:pPr>
            <w:r w:rsidRPr="00E150E6">
              <w:rPr>
                <w:rFonts w:ascii="Times New Roman" w:hAnsi="Times New Roman" w:cs="Times New Roman"/>
                <w:b/>
                <w:bCs/>
                <w:sz w:val="20"/>
                <w:szCs w:val="20"/>
              </w:rPr>
              <w:t>Rappel dispositif PARADE</w:t>
            </w:r>
          </w:p>
        </w:tc>
        <w:tc>
          <w:tcPr>
            <w:tcW w:w="12332" w:type="dxa"/>
            <w:tcBorders>
              <w:bottom w:val="single" w:sz="4" w:space="0" w:color="auto"/>
            </w:tcBorders>
            <w:shd w:val="clear" w:color="auto" w:fill="auto"/>
          </w:tcPr>
          <w:p w:rsidR="00E150E6" w:rsidRPr="003D06C8" w:rsidRDefault="00E150E6" w:rsidP="00E150E6">
            <w:pPr>
              <w:numPr>
                <w:ilvl w:val="0"/>
                <w:numId w:val="43"/>
              </w:numPr>
              <w:ind w:left="187" w:hanging="187"/>
              <w:contextualSpacing/>
              <w:jc w:val="both"/>
              <w:rPr>
                <w:rFonts w:ascii="Times New Roman" w:hAnsi="Times New Roman" w:cs="Times New Roman"/>
                <w:color w:val="000000" w:themeColor="text1"/>
                <w:sz w:val="20"/>
                <w:szCs w:val="20"/>
                <w:lang w:eastAsia="fr-FR"/>
              </w:rPr>
            </w:pPr>
            <w:r w:rsidRPr="003D06C8">
              <w:rPr>
                <w:rFonts w:ascii="Times New Roman" w:hAnsi="Times New Roman" w:cs="Times New Roman"/>
                <w:color w:val="000000" w:themeColor="text1"/>
                <w:sz w:val="20"/>
                <w:szCs w:val="20"/>
              </w:rPr>
              <w:t>Pour lutter contre les demandes de résiliation de l’ADE CNP nos clients, la CELCA a déployé depuis le 1</w:t>
            </w:r>
            <w:r w:rsidRPr="003D06C8">
              <w:rPr>
                <w:rFonts w:ascii="Times New Roman" w:hAnsi="Times New Roman" w:cs="Times New Roman"/>
                <w:color w:val="000000" w:themeColor="text1"/>
                <w:sz w:val="20"/>
                <w:szCs w:val="20"/>
                <w:vertAlign w:val="superscript"/>
              </w:rPr>
              <w:t>er</w:t>
            </w:r>
            <w:r w:rsidRPr="003D06C8">
              <w:rPr>
                <w:rFonts w:ascii="Times New Roman" w:hAnsi="Times New Roman" w:cs="Times New Roman"/>
                <w:color w:val="000000" w:themeColor="text1"/>
                <w:sz w:val="20"/>
                <w:szCs w:val="20"/>
              </w:rPr>
              <w:t xml:space="preserve"> février le dispositif PARADE. </w:t>
            </w:r>
          </w:p>
          <w:p w:rsidR="00E150E6" w:rsidRPr="003D06C8" w:rsidRDefault="00E150E6" w:rsidP="00E150E6">
            <w:pPr>
              <w:numPr>
                <w:ilvl w:val="0"/>
                <w:numId w:val="43"/>
              </w:numPr>
              <w:ind w:left="187" w:hanging="187"/>
              <w:contextualSpacing/>
              <w:jc w:val="both"/>
              <w:rPr>
                <w:rFonts w:ascii="Times New Roman" w:eastAsia="Times New Roman" w:hAnsi="Times New Roman" w:cs="Times New Roman"/>
                <w:color w:val="000000" w:themeColor="text1"/>
                <w:sz w:val="20"/>
                <w:szCs w:val="20"/>
              </w:rPr>
            </w:pPr>
            <w:r w:rsidRPr="003D06C8">
              <w:rPr>
                <w:rFonts w:ascii="Times New Roman" w:hAnsi="Times New Roman" w:cs="Times New Roman"/>
                <w:color w:val="000000" w:themeColor="text1"/>
                <w:sz w:val="20"/>
                <w:szCs w:val="20"/>
              </w:rPr>
              <w:t xml:space="preserve">Ce dispositif est confié à Ecureuil Crédit qui réalise : </w:t>
            </w:r>
          </w:p>
          <w:p w:rsidR="00E150E6" w:rsidRPr="003D06C8" w:rsidRDefault="00E150E6" w:rsidP="00E150E6">
            <w:pPr>
              <w:pStyle w:val="Paragraphedeliste"/>
              <w:numPr>
                <w:ilvl w:val="1"/>
                <w:numId w:val="46"/>
              </w:numPr>
              <w:contextualSpacing w:val="0"/>
              <w:rPr>
                <w:rFonts w:ascii="Times New Roman" w:hAnsi="Times New Roman" w:cs="Times New Roman"/>
                <w:color w:val="000000" w:themeColor="text1"/>
                <w:sz w:val="20"/>
                <w:szCs w:val="20"/>
              </w:rPr>
            </w:pPr>
            <w:r w:rsidRPr="003D06C8">
              <w:rPr>
                <w:rFonts w:ascii="Times New Roman" w:hAnsi="Times New Roman" w:cs="Times New Roman"/>
                <w:b/>
                <w:bCs/>
                <w:color w:val="000000" w:themeColor="text1"/>
                <w:sz w:val="20"/>
                <w:szCs w:val="20"/>
              </w:rPr>
              <w:t>Une étude d’équivalence des garanties</w:t>
            </w:r>
          </w:p>
          <w:p w:rsidR="00E150E6" w:rsidRPr="003D06C8" w:rsidRDefault="00E150E6" w:rsidP="00E150E6">
            <w:pPr>
              <w:pStyle w:val="Paragraphedeliste"/>
              <w:numPr>
                <w:ilvl w:val="1"/>
                <w:numId w:val="46"/>
              </w:numPr>
              <w:contextualSpacing w:val="0"/>
              <w:rPr>
                <w:rFonts w:ascii="Times New Roman" w:hAnsi="Times New Roman" w:cs="Times New Roman"/>
                <w:color w:val="000000" w:themeColor="text1"/>
                <w:sz w:val="20"/>
                <w:szCs w:val="20"/>
              </w:rPr>
            </w:pPr>
            <w:r w:rsidRPr="003D06C8">
              <w:rPr>
                <w:rFonts w:ascii="Times New Roman" w:hAnsi="Times New Roman" w:cs="Times New Roman"/>
                <w:b/>
                <w:bCs/>
                <w:color w:val="000000" w:themeColor="text1"/>
                <w:sz w:val="20"/>
                <w:szCs w:val="20"/>
              </w:rPr>
              <w:t>Une contre-proposition commerciale</w:t>
            </w:r>
            <w:r w:rsidRPr="003D06C8">
              <w:rPr>
                <w:rFonts w:ascii="Times New Roman" w:hAnsi="Times New Roman" w:cs="Times New Roman"/>
                <w:color w:val="000000" w:themeColor="text1"/>
                <w:sz w:val="20"/>
                <w:szCs w:val="20"/>
              </w:rPr>
              <w:t xml:space="preserve"> (au même niveau tarifaire que les assureurs individuels)</w:t>
            </w:r>
          </w:p>
          <w:p w:rsidR="00E150E6" w:rsidRPr="003D06C8" w:rsidRDefault="00E150E6" w:rsidP="00E150E6">
            <w:pPr>
              <w:numPr>
                <w:ilvl w:val="0"/>
                <w:numId w:val="43"/>
              </w:numPr>
              <w:ind w:left="187" w:hanging="187"/>
              <w:contextualSpacing/>
              <w:jc w:val="both"/>
              <w:rPr>
                <w:rFonts w:ascii="Times New Roman" w:hAnsi="Times New Roman" w:cs="Times New Roman"/>
                <w:color w:val="000000" w:themeColor="text1"/>
                <w:sz w:val="20"/>
                <w:szCs w:val="20"/>
              </w:rPr>
            </w:pPr>
            <w:r w:rsidRPr="003D06C8">
              <w:rPr>
                <w:rFonts w:ascii="Times New Roman" w:hAnsi="Times New Roman" w:cs="Times New Roman"/>
                <w:color w:val="000000" w:themeColor="text1"/>
                <w:sz w:val="20"/>
                <w:szCs w:val="20"/>
              </w:rPr>
              <w:t>Rappel des bonnes pratiques :</w:t>
            </w:r>
          </w:p>
          <w:p w:rsidR="00E150E6" w:rsidRPr="003D06C8" w:rsidRDefault="00E150E6" w:rsidP="00E150E6">
            <w:pPr>
              <w:pStyle w:val="Paragraphedeliste"/>
              <w:numPr>
                <w:ilvl w:val="1"/>
                <w:numId w:val="46"/>
              </w:numPr>
              <w:contextualSpacing w:val="0"/>
              <w:rPr>
                <w:rFonts w:ascii="Times New Roman" w:hAnsi="Times New Roman" w:cs="Times New Roman"/>
                <w:color w:val="000000" w:themeColor="text1"/>
                <w:sz w:val="20"/>
                <w:szCs w:val="20"/>
              </w:rPr>
            </w:pPr>
            <w:r w:rsidRPr="003D06C8">
              <w:rPr>
                <w:rFonts w:ascii="Times New Roman" w:hAnsi="Times New Roman" w:cs="Times New Roman"/>
                <w:color w:val="000000" w:themeColor="text1"/>
                <w:sz w:val="20"/>
                <w:szCs w:val="20"/>
              </w:rPr>
              <w:t>Valoriser l’ADE CNP proposée par la Caisse d'Epargne</w:t>
            </w:r>
            <w:r w:rsidR="004C1A2A">
              <w:rPr>
                <w:rFonts w:ascii="Times New Roman" w:hAnsi="Times New Roman" w:cs="Times New Roman"/>
                <w:color w:val="000000" w:themeColor="text1"/>
                <w:sz w:val="20"/>
                <w:szCs w:val="20"/>
              </w:rPr>
              <w:t xml:space="preserve"> </w:t>
            </w:r>
          </w:p>
          <w:p w:rsidR="00E150E6" w:rsidRPr="003D06C8" w:rsidRDefault="00E150E6" w:rsidP="00E150E6">
            <w:pPr>
              <w:pStyle w:val="Paragraphedeliste"/>
              <w:numPr>
                <w:ilvl w:val="1"/>
                <w:numId w:val="46"/>
              </w:numPr>
              <w:contextualSpacing w:val="0"/>
              <w:rPr>
                <w:rFonts w:ascii="Times New Roman" w:hAnsi="Times New Roman" w:cs="Times New Roman"/>
                <w:color w:val="000000" w:themeColor="text1"/>
                <w:sz w:val="20"/>
                <w:szCs w:val="20"/>
              </w:rPr>
            </w:pPr>
            <w:r w:rsidRPr="003D06C8">
              <w:rPr>
                <w:rFonts w:ascii="Times New Roman" w:hAnsi="Times New Roman" w:cs="Times New Roman"/>
                <w:color w:val="000000" w:themeColor="text1"/>
                <w:sz w:val="20"/>
                <w:szCs w:val="20"/>
              </w:rPr>
              <w:t xml:space="preserve">Dès que le client vous sollicite, </w:t>
            </w:r>
            <w:r w:rsidRPr="003D06C8">
              <w:rPr>
                <w:rFonts w:ascii="Times New Roman" w:hAnsi="Times New Roman" w:cs="Times New Roman"/>
                <w:b/>
                <w:bCs/>
                <w:color w:val="000000" w:themeColor="text1"/>
                <w:sz w:val="20"/>
                <w:szCs w:val="20"/>
              </w:rPr>
              <w:t>transmettre sans délais la demande à Ecureuil Crédit pour respecter le délai réglementaire de 10 jours</w:t>
            </w:r>
            <w:r w:rsidRPr="003D06C8">
              <w:rPr>
                <w:rFonts w:ascii="Times New Roman" w:hAnsi="Times New Roman" w:cs="Times New Roman"/>
                <w:color w:val="000000" w:themeColor="text1"/>
                <w:sz w:val="20"/>
                <w:szCs w:val="20"/>
              </w:rPr>
              <w:t xml:space="preserve">. </w:t>
            </w:r>
          </w:p>
          <w:p w:rsidR="00E150E6" w:rsidRPr="003D06C8" w:rsidRDefault="00E150E6" w:rsidP="00E150E6">
            <w:pPr>
              <w:pStyle w:val="Paragraphedeliste"/>
              <w:numPr>
                <w:ilvl w:val="1"/>
                <w:numId w:val="46"/>
              </w:numPr>
              <w:contextualSpacing w:val="0"/>
              <w:rPr>
                <w:rFonts w:ascii="Times New Roman" w:hAnsi="Times New Roman" w:cs="Times New Roman"/>
                <w:color w:val="000000" w:themeColor="text1"/>
                <w:sz w:val="20"/>
                <w:szCs w:val="20"/>
              </w:rPr>
            </w:pPr>
            <w:r w:rsidRPr="003D06C8">
              <w:rPr>
                <w:rFonts w:ascii="Times New Roman" w:hAnsi="Times New Roman" w:cs="Times New Roman"/>
                <w:color w:val="000000" w:themeColor="text1"/>
                <w:sz w:val="20"/>
                <w:szCs w:val="20"/>
              </w:rPr>
              <w:t>Il convient d’informer le client d’une éventuelle sollicitation par Ecureuil Crédit visant à lui faire une contre-proposition</w:t>
            </w:r>
          </w:p>
          <w:p w:rsidR="00E150E6" w:rsidRPr="003D06C8" w:rsidRDefault="00E150E6" w:rsidP="00E150E6">
            <w:pPr>
              <w:pStyle w:val="Paragraphedeliste"/>
              <w:numPr>
                <w:ilvl w:val="1"/>
                <w:numId w:val="46"/>
              </w:numPr>
              <w:contextualSpacing w:val="0"/>
              <w:rPr>
                <w:rFonts w:ascii="Times New Roman" w:hAnsi="Times New Roman" w:cs="Times New Roman"/>
                <w:color w:val="000000" w:themeColor="text1"/>
                <w:sz w:val="20"/>
                <w:szCs w:val="20"/>
              </w:rPr>
            </w:pPr>
            <w:r w:rsidRPr="003D06C8">
              <w:rPr>
                <w:rFonts w:ascii="Times New Roman" w:hAnsi="Times New Roman" w:cs="Times New Roman"/>
                <w:color w:val="000000" w:themeColor="text1"/>
                <w:sz w:val="20"/>
                <w:szCs w:val="20"/>
              </w:rPr>
              <w:t>Le client conservera son contrat actuel et bénéficiera d’une remise tarifaire importante</w:t>
            </w:r>
            <w:r w:rsidR="00AA40A6">
              <w:rPr>
                <w:rFonts w:ascii="Times New Roman" w:hAnsi="Times New Roman" w:cs="Times New Roman"/>
                <w:color w:val="000000" w:themeColor="text1"/>
                <w:sz w:val="20"/>
                <w:szCs w:val="20"/>
              </w:rPr>
              <w:t>, sans formalité médicale,</w:t>
            </w:r>
            <w:r w:rsidRPr="003D06C8">
              <w:rPr>
                <w:rFonts w:ascii="Times New Roman" w:hAnsi="Times New Roman" w:cs="Times New Roman"/>
                <w:color w:val="000000" w:themeColor="text1"/>
                <w:sz w:val="20"/>
                <w:szCs w:val="20"/>
              </w:rPr>
              <w:t xml:space="preserve"> qui sera déterminée en fonction de son profil et de la nature de la demande.</w:t>
            </w:r>
          </w:p>
          <w:p w:rsidR="00E150E6" w:rsidRPr="003D06C8" w:rsidRDefault="00E150E6" w:rsidP="00E150E6">
            <w:pPr>
              <w:numPr>
                <w:ilvl w:val="0"/>
                <w:numId w:val="43"/>
              </w:numPr>
              <w:ind w:left="187" w:hanging="187"/>
              <w:contextualSpacing/>
              <w:jc w:val="both"/>
              <w:rPr>
                <w:rFonts w:ascii="Times New Roman" w:hAnsi="Times New Roman" w:cs="Times New Roman"/>
                <w:color w:val="000000" w:themeColor="text1"/>
                <w:sz w:val="20"/>
                <w:szCs w:val="20"/>
              </w:rPr>
            </w:pPr>
            <w:r w:rsidRPr="003D06C8">
              <w:rPr>
                <w:rFonts w:ascii="Times New Roman" w:hAnsi="Times New Roman" w:cs="Times New Roman"/>
                <w:color w:val="000000" w:themeColor="text1"/>
                <w:sz w:val="20"/>
                <w:szCs w:val="20"/>
              </w:rPr>
              <w:t>A ce jour, 61 clients CELCA ont accepté une contre-proposition commerciale permettant à la CELCA de conserver l’assurance CNP.</w:t>
            </w:r>
          </w:p>
          <w:p w:rsidR="00E150E6" w:rsidRPr="00E150E6" w:rsidRDefault="00E150E6" w:rsidP="00E150E6">
            <w:pPr>
              <w:numPr>
                <w:ilvl w:val="0"/>
                <w:numId w:val="43"/>
              </w:numPr>
              <w:ind w:left="187" w:hanging="187"/>
              <w:contextualSpacing/>
              <w:jc w:val="both"/>
              <w:rPr>
                <w:rFonts w:ascii="Times New Roman" w:hAnsi="Times New Roman" w:cs="Times New Roman"/>
                <w:sz w:val="20"/>
                <w:szCs w:val="20"/>
              </w:rPr>
            </w:pPr>
            <w:r w:rsidRPr="003D06C8">
              <w:rPr>
                <w:rFonts w:ascii="Times New Roman" w:hAnsi="Times New Roman" w:cs="Times New Roman"/>
                <w:color w:val="000000" w:themeColor="text1"/>
                <w:sz w:val="20"/>
                <w:szCs w:val="20"/>
              </w:rPr>
              <w:t xml:space="preserve">Retrouvez plus d’informations sur le dispositif ainsi que le mode opératoire complet dans l’HDJ du 01/02/2018 consacrée à PARADE et disponible dans les archives HDJ 2018 ou en </w:t>
            </w:r>
            <w:hyperlink r:id="rId29" w:history="1">
              <w:r w:rsidRPr="00E150E6">
                <w:rPr>
                  <w:rStyle w:val="Lienhypertexte"/>
                  <w:rFonts w:ascii="Times New Roman" w:hAnsi="Times New Roman" w:cs="Times New Roman"/>
                  <w:sz w:val="20"/>
                  <w:szCs w:val="20"/>
                </w:rPr>
                <w:t>cliquant ICI</w:t>
              </w:r>
            </w:hyperlink>
            <w:r w:rsidRPr="00E150E6">
              <w:rPr>
                <w:rFonts w:ascii="Times New Roman" w:hAnsi="Times New Roman" w:cs="Times New Roman"/>
                <w:sz w:val="20"/>
                <w:szCs w:val="20"/>
              </w:rPr>
              <w:t>.</w:t>
            </w:r>
            <w:r w:rsidRPr="00E150E6">
              <w:rPr>
                <w:rFonts w:ascii="Times New Roman" w:hAnsi="Times New Roman" w:cs="Times New Roman"/>
                <w:b/>
                <w:bCs/>
                <w:sz w:val="20"/>
                <w:szCs w:val="20"/>
              </w:rPr>
              <w:t xml:space="preserve"> </w:t>
            </w:r>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 SUIVIS ET LES RAPPORTS</w:t>
            </w:r>
          </w:p>
        </w:tc>
      </w:tr>
      <w:tr w:rsidR="007067C1"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7067C1" w:rsidRPr="002F4398" w:rsidRDefault="002F433C" w:rsidP="0036331E">
            <w:pPr>
              <w:rPr>
                <w:rFonts w:ascii="Times New Roman" w:hAnsi="Times New Roman" w:cs="Times New Roman"/>
                <w:b/>
                <w:bCs/>
                <w:strike/>
                <w:sz w:val="20"/>
                <w:szCs w:val="20"/>
              </w:rPr>
            </w:pPr>
            <w:r w:rsidRPr="002E53AA">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7067C1" w:rsidRPr="002F433C" w:rsidRDefault="002F433C" w:rsidP="00A57700">
            <w:pPr>
              <w:rPr>
                <w:rFonts w:ascii="Times New Roman" w:hAnsi="Times New Roman" w:cs="Times New Roman"/>
                <w:b/>
                <w:bCs/>
                <w:color w:val="000000"/>
                <w:sz w:val="20"/>
                <w:szCs w:val="20"/>
              </w:rPr>
            </w:pPr>
            <w:r w:rsidRPr="002F433C">
              <w:rPr>
                <w:rFonts w:ascii="Times New Roman" w:hAnsi="Times New Roman" w:cs="Times New Roman"/>
                <w:b/>
                <w:bCs/>
                <w:color w:val="000000"/>
                <w:sz w:val="20"/>
                <w:szCs w:val="20"/>
              </w:rPr>
              <w:t>Suivi relations patrimoniales</w:t>
            </w:r>
          </w:p>
        </w:tc>
        <w:tc>
          <w:tcPr>
            <w:tcW w:w="12332" w:type="dxa"/>
            <w:tcBorders>
              <w:top w:val="single" w:sz="4" w:space="0" w:color="auto"/>
              <w:left w:val="single" w:sz="4" w:space="0" w:color="auto"/>
              <w:bottom w:val="single" w:sz="4" w:space="0" w:color="auto"/>
              <w:right w:val="single" w:sz="4" w:space="0" w:color="auto"/>
            </w:tcBorders>
          </w:tcPr>
          <w:p w:rsidR="007067C1" w:rsidRPr="009650E2" w:rsidRDefault="002F433C" w:rsidP="00141E98">
            <w:pPr>
              <w:pStyle w:val="Paragraphedeliste"/>
              <w:numPr>
                <w:ilvl w:val="0"/>
                <w:numId w:val="2"/>
              </w:numPr>
              <w:ind w:left="176" w:hanging="176"/>
              <w:jc w:val="both"/>
              <w:rPr>
                <w:rFonts w:ascii="Times New Roman" w:hAnsi="Times New Roman" w:cs="Times New Roman"/>
                <w:sz w:val="20"/>
                <w:szCs w:val="20"/>
              </w:rPr>
            </w:pPr>
            <w:r w:rsidRPr="009650E2">
              <w:rPr>
                <w:rFonts w:ascii="Times New Roman" w:hAnsi="Times New Roman" w:cs="Times New Roman"/>
                <w:sz w:val="20"/>
                <w:szCs w:val="20"/>
              </w:rPr>
              <w:t xml:space="preserve">Retrouvez </w:t>
            </w:r>
            <w:r w:rsidRPr="009650E2">
              <w:rPr>
                <w:rFonts w:ascii="Times New Roman" w:hAnsi="Times New Roman" w:cs="Times New Roman"/>
                <w:b/>
                <w:sz w:val="20"/>
                <w:szCs w:val="20"/>
              </w:rPr>
              <w:t>le suivi des relations patrimoniales à fin février 2018</w:t>
            </w:r>
            <w:r w:rsidRPr="009650E2">
              <w:rPr>
                <w:rFonts w:ascii="Times New Roman" w:hAnsi="Times New Roman" w:cs="Times New Roman"/>
                <w:sz w:val="20"/>
                <w:szCs w:val="20"/>
              </w:rPr>
              <w:t xml:space="preserve"> dans votre espace Pilotage de la Rubriques des Commerciaux (</w:t>
            </w:r>
            <w:hyperlink r:id="rId30" w:history="1">
              <w:r w:rsidRPr="009650E2">
                <w:rPr>
                  <w:rStyle w:val="Lienhypertexte"/>
                  <w:rFonts w:ascii="Times New Roman" w:hAnsi="Times New Roman" w:cs="Times New Roman"/>
                  <w:sz w:val="20"/>
                  <w:szCs w:val="20"/>
                </w:rPr>
                <w:t>cliquez ici</w:t>
              </w:r>
            </w:hyperlink>
            <w:r w:rsidRPr="009650E2">
              <w:rPr>
                <w:rFonts w:ascii="Times New Roman" w:hAnsi="Times New Roman" w:cs="Times New Roman"/>
                <w:sz w:val="20"/>
                <w:szCs w:val="20"/>
              </w:rPr>
              <w:t>).</w:t>
            </w:r>
          </w:p>
        </w:tc>
      </w:tr>
      <w:tr w:rsidR="00715066"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715066" w:rsidRPr="00715066" w:rsidRDefault="00715066">
            <w:r w:rsidRPr="00715066">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715066" w:rsidRPr="00715066" w:rsidRDefault="00715066" w:rsidP="00715066">
            <w:pPr>
              <w:pStyle w:val="wordsection1"/>
              <w:spacing w:before="0" w:beforeAutospacing="0" w:after="0" w:afterAutospacing="0"/>
              <w:rPr>
                <w:b/>
                <w:bCs/>
                <w:sz w:val="20"/>
                <w:szCs w:val="20"/>
                <w:lang w:eastAsia="en-US"/>
              </w:rPr>
            </w:pPr>
            <w:r w:rsidRPr="00715066">
              <w:rPr>
                <w:b/>
                <w:bCs/>
                <w:sz w:val="20"/>
                <w:szCs w:val="20"/>
              </w:rPr>
              <w:t>Suivi HELIOS</w:t>
            </w:r>
          </w:p>
        </w:tc>
        <w:tc>
          <w:tcPr>
            <w:tcW w:w="12332" w:type="dxa"/>
            <w:tcBorders>
              <w:top w:val="single" w:sz="4" w:space="0" w:color="auto"/>
              <w:left w:val="single" w:sz="4" w:space="0" w:color="auto"/>
              <w:bottom w:val="single" w:sz="4" w:space="0" w:color="auto"/>
              <w:right w:val="single" w:sz="4" w:space="0" w:color="auto"/>
            </w:tcBorders>
          </w:tcPr>
          <w:p w:rsidR="00715066" w:rsidRPr="009650E2" w:rsidRDefault="00715066" w:rsidP="00715066">
            <w:pPr>
              <w:pStyle w:val="wordsection1"/>
              <w:numPr>
                <w:ilvl w:val="0"/>
                <w:numId w:val="47"/>
              </w:numPr>
              <w:spacing w:before="0" w:beforeAutospacing="0" w:after="0" w:afterAutospacing="0"/>
              <w:ind w:left="187" w:hanging="187"/>
              <w:rPr>
                <w:color w:val="1F497D"/>
                <w:sz w:val="20"/>
                <w:szCs w:val="20"/>
              </w:rPr>
            </w:pPr>
            <w:r w:rsidRPr="009650E2">
              <w:rPr>
                <w:sz w:val="20"/>
                <w:szCs w:val="20"/>
              </w:rPr>
              <w:t xml:space="preserve">Vous trouverez en cliquant </w:t>
            </w:r>
            <w:hyperlink r:id="rId31" w:history="1">
              <w:r w:rsidRPr="009650E2">
                <w:rPr>
                  <w:rStyle w:val="Lienhypertexte"/>
                  <w:sz w:val="20"/>
                  <w:szCs w:val="20"/>
                </w:rPr>
                <w:t>ici</w:t>
              </w:r>
            </w:hyperlink>
            <w:r w:rsidRPr="009650E2">
              <w:rPr>
                <w:sz w:val="20"/>
                <w:szCs w:val="20"/>
              </w:rPr>
              <w:t xml:space="preserve">, le suivi de commercialisation d’Hélios (commercialisation du 09/01 au 29/03/2018). Au 24/03/2018, la réalisation atteint 129% de l’enveloppe. </w:t>
            </w:r>
            <w:r w:rsidRPr="009650E2">
              <w:rPr>
                <w:b/>
                <w:bCs/>
                <w:sz w:val="20"/>
                <w:szCs w:val="20"/>
              </w:rPr>
              <w:t xml:space="preserve">Le contingent peut être dépassé sans limite de montant. </w:t>
            </w:r>
            <w:r w:rsidRPr="009650E2">
              <w:rPr>
                <w:sz w:val="20"/>
                <w:szCs w:val="20"/>
              </w:rPr>
              <w:t>Une seconde émission est prévue du 16 avril au 20 juillet 2018.</w:t>
            </w:r>
          </w:p>
        </w:tc>
      </w:tr>
      <w:tr w:rsidR="00715066"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715066" w:rsidRPr="00715066" w:rsidRDefault="00715066">
            <w:r w:rsidRPr="00715066">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715066" w:rsidRPr="00715066" w:rsidRDefault="00715066" w:rsidP="00715066">
            <w:pPr>
              <w:pStyle w:val="wordsection1"/>
              <w:rPr>
                <w:b/>
                <w:bCs/>
                <w:sz w:val="20"/>
                <w:szCs w:val="20"/>
                <w:lang w:eastAsia="en-US"/>
              </w:rPr>
            </w:pPr>
            <w:r w:rsidRPr="00715066">
              <w:rPr>
                <w:b/>
                <w:bCs/>
                <w:sz w:val="20"/>
                <w:szCs w:val="20"/>
              </w:rPr>
              <w:t>Suivi IRIS</w:t>
            </w:r>
          </w:p>
        </w:tc>
        <w:tc>
          <w:tcPr>
            <w:tcW w:w="12332" w:type="dxa"/>
            <w:tcBorders>
              <w:top w:val="single" w:sz="4" w:space="0" w:color="auto"/>
              <w:left w:val="single" w:sz="4" w:space="0" w:color="auto"/>
              <w:bottom w:val="single" w:sz="4" w:space="0" w:color="auto"/>
              <w:right w:val="single" w:sz="4" w:space="0" w:color="auto"/>
            </w:tcBorders>
          </w:tcPr>
          <w:p w:rsidR="00715066" w:rsidRPr="009650E2" w:rsidRDefault="00715066" w:rsidP="00715066">
            <w:pPr>
              <w:pStyle w:val="wordsection1"/>
              <w:numPr>
                <w:ilvl w:val="0"/>
                <w:numId w:val="47"/>
              </w:numPr>
              <w:spacing w:before="0" w:beforeAutospacing="0" w:after="0" w:afterAutospacing="0"/>
              <w:ind w:left="187" w:hanging="187"/>
              <w:rPr>
                <w:color w:val="1F497D"/>
                <w:sz w:val="20"/>
                <w:szCs w:val="20"/>
              </w:rPr>
            </w:pPr>
            <w:r w:rsidRPr="009650E2">
              <w:rPr>
                <w:sz w:val="20"/>
                <w:szCs w:val="20"/>
              </w:rPr>
              <w:t>Vous trouverez en cliquant</w:t>
            </w:r>
            <w:hyperlink r:id="rId32" w:history="1">
              <w:r w:rsidRPr="009650E2">
                <w:rPr>
                  <w:rStyle w:val="Lienhypertexte"/>
                  <w:sz w:val="20"/>
                  <w:szCs w:val="20"/>
                </w:rPr>
                <w:t xml:space="preserve"> ici</w:t>
              </w:r>
            </w:hyperlink>
            <w:r w:rsidRPr="009650E2">
              <w:rPr>
                <w:sz w:val="20"/>
                <w:szCs w:val="20"/>
              </w:rPr>
              <w:t xml:space="preserve">, le suivi de commercialisation d’IRIS (commercialisation du 17/01 au 13/06/2018). Au 24/03/2018, 142% des fonds sont placés. </w:t>
            </w:r>
          </w:p>
        </w:tc>
      </w:tr>
      <w:tr w:rsidR="00D77957"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D77957" w:rsidRPr="00B820CE" w:rsidRDefault="00D77957" w:rsidP="0036331E">
            <w:pPr>
              <w:rPr>
                <w:rFonts w:ascii="Times New Roman" w:hAnsi="Times New Roman" w:cs="Times New Roman"/>
                <w:b/>
                <w:bCs/>
                <w:sz w:val="20"/>
                <w:szCs w:val="20"/>
              </w:rPr>
            </w:pPr>
            <w:r w:rsidRPr="00B820CE">
              <w:rPr>
                <w:rFonts w:ascii="Times New Roman" w:hAnsi="Times New Roman" w:cs="Times New Roman"/>
                <w:b/>
                <w:bCs/>
                <w:sz w:val="20"/>
                <w:szCs w:val="20"/>
              </w:rPr>
              <w:t>Com. Crédits</w:t>
            </w:r>
          </w:p>
        </w:tc>
        <w:tc>
          <w:tcPr>
            <w:tcW w:w="1843" w:type="dxa"/>
            <w:tcBorders>
              <w:top w:val="single" w:sz="4" w:space="0" w:color="auto"/>
              <w:left w:val="single" w:sz="4" w:space="0" w:color="auto"/>
              <w:bottom w:val="single" w:sz="4" w:space="0" w:color="auto"/>
              <w:right w:val="single" w:sz="4" w:space="0" w:color="auto"/>
            </w:tcBorders>
          </w:tcPr>
          <w:p w:rsidR="00D77957" w:rsidRPr="00B820CE" w:rsidRDefault="00D77957" w:rsidP="00A57700">
            <w:pPr>
              <w:rPr>
                <w:rFonts w:ascii="Times New Roman" w:hAnsi="Times New Roman" w:cs="Times New Roman"/>
                <w:b/>
                <w:bCs/>
                <w:color w:val="000000"/>
                <w:sz w:val="20"/>
                <w:szCs w:val="20"/>
              </w:rPr>
            </w:pPr>
            <w:r w:rsidRPr="00B820CE">
              <w:rPr>
                <w:rFonts w:ascii="Times New Roman" w:hAnsi="Times New Roman" w:cs="Times New Roman"/>
                <w:b/>
                <w:bCs/>
                <w:color w:val="000000"/>
                <w:sz w:val="20"/>
                <w:szCs w:val="20"/>
              </w:rPr>
              <w:t>Météo</w:t>
            </w:r>
          </w:p>
        </w:tc>
        <w:tc>
          <w:tcPr>
            <w:tcW w:w="12332" w:type="dxa"/>
            <w:tcBorders>
              <w:top w:val="single" w:sz="4" w:space="0" w:color="auto"/>
              <w:left w:val="single" w:sz="4" w:space="0" w:color="auto"/>
              <w:bottom w:val="single" w:sz="4" w:space="0" w:color="auto"/>
              <w:right w:val="single" w:sz="4" w:space="0" w:color="auto"/>
            </w:tcBorders>
          </w:tcPr>
          <w:p w:rsidR="00D77957" w:rsidRPr="009650E2" w:rsidRDefault="00D77957" w:rsidP="00B820CE">
            <w:pPr>
              <w:pStyle w:val="Paragraphedeliste"/>
              <w:numPr>
                <w:ilvl w:val="0"/>
                <w:numId w:val="2"/>
              </w:numPr>
              <w:ind w:left="176" w:hanging="176"/>
              <w:jc w:val="both"/>
              <w:rPr>
                <w:rFonts w:ascii="Times New Roman" w:hAnsi="Times New Roman" w:cs="Times New Roman"/>
                <w:bCs/>
                <w:sz w:val="20"/>
                <w:szCs w:val="20"/>
                <w:lang w:eastAsia="fr-FR"/>
              </w:rPr>
            </w:pPr>
            <w:r w:rsidRPr="009650E2">
              <w:rPr>
                <w:rFonts w:ascii="Times New Roman" w:hAnsi="Times New Roman" w:cs="Times New Roman"/>
                <w:sz w:val="20"/>
                <w:szCs w:val="20"/>
              </w:rPr>
              <w:t xml:space="preserve">Vous trouverez </w:t>
            </w:r>
            <w:hyperlink r:id="rId33" w:history="1">
              <w:r w:rsidRPr="009650E2">
                <w:rPr>
                  <w:rStyle w:val="Lienhypertexte"/>
                  <w:rFonts w:ascii="Times New Roman" w:hAnsi="Times New Roman" w:cs="Times New Roman"/>
                  <w:sz w:val="20"/>
                  <w:szCs w:val="20"/>
                </w:rPr>
                <w:t xml:space="preserve">en </w:t>
              </w:r>
              <w:r w:rsidR="00141E98" w:rsidRPr="009650E2">
                <w:rPr>
                  <w:rStyle w:val="Lienhypertexte"/>
                  <w:rFonts w:ascii="Times New Roman" w:hAnsi="Times New Roman" w:cs="Times New Roman"/>
                  <w:sz w:val="20"/>
                  <w:szCs w:val="20"/>
                </w:rPr>
                <w:t>cliquant ici</w:t>
              </w:r>
            </w:hyperlink>
            <w:r w:rsidRPr="009650E2">
              <w:rPr>
                <w:rFonts w:ascii="Times New Roman" w:hAnsi="Times New Roman" w:cs="Times New Roman"/>
                <w:sz w:val="20"/>
                <w:szCs w:val="20"/>
              </w:rPr>
              <w:t xml:space="preserve"> </w:t>
            </w:r>
            <w:r w:rsidRPr="009650E2">
              <w:rPr>
                <w:rFonts w:ascii="Times New Roman" w:hAnsi="Times New Roman" w:cs="Times New Roman"/>
                <w:b/>
                <w:sz w:val="20"/>
                <w:szCs w:val="20"/>
              </w:rPr>
              <w:t>la</w:t>
            </w:r>
            <w:r w:rsidR="00B820CE" w:rsidRPr="009650E2">
              <w:rPr>
                <w:rFonts w:ascii="Times New Roman" w:hAnsi="Times New Roman" w:cs="Times New Roman"/>
                <w:b/>
                <w:sz w:val="20"/>
                <w:szCs w:val="20"/>
              </w:rPr>
              <w:t xml:space="preserve"> météo des crédits arrêtée au 23</w:t>
            </w:r>
            <w:r w:rsidR="0070645E" w:rsidRPr="009650E2">
              <w:rPr>
                <w:rFonts w:ascii="Times New Roman" w:hAnsi="Times New Roman" w:cs="Times New Roman"/>
                <w:b/>
                <w:sz w:val="20"/>
                <w:szCs w:val="20"/>
              </w:rPr>
              <w:t>/03</w:t>
            </w:r>
            <w:r w:rsidRPr="009650E2">
              <w:rPr>
                <w:rFonts w:ascii="Times New Roman" w:hAnsi="Times New Roman" w:cs="Times New Roman"/>
                <w:b/>
                <w:sz w:val="20"/>
                <w:szCs w:val="20"/>
              </w:rPr>
              <w:t>/2017.</w:t>
            </w:r>
          </w:p>
        </w:tc>
      </w:tr>
    </w:tbl>
    <w:p w:rsidR="00EF1178" w:rsidRPr="00F67F05" w:rsidRDefault="00EF1178" w:rsidP="000B4530">
      <w:pPr>
        <w:rPr>
          <w:rFonts w:ascii="Times New Roman" w:hAnsi="Times New Roman" w:cs="Times New Roman"/>
          <w:strike/>
          <w:sz w:val="20"/>
          <w:szCs w:val="20"/>
        </w:rPr>
      </w:pPr>
    </w:p>
    <w:sectPr w:rsidR="00EF1178" w:rsidRPr="00F67F05" w:rsidSect="00421843">
      <w:footerReference w:type="default" r:id="rId34"/>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2815" w:rsidRDefault="00472815" w:rsidP="0035465A">
      <w:pPr>
        <w:spacing w:after="0" w:line="240" w:lineRule="auto"/>
      </w:pPr>
      <w:r>
        <w:separator/>
      </w:r>
    </w:p>
  </w:endnote>
  <w:endnote w:type="continuationSeparator" w:id="0">
    <w:p w:rsidR="00472815" w:rsidRDefault="00472815"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2815" w:rsidRDefault="00472815" w:rsidP="0035465A">
      <w:pPr>
        <w:spacing w:after="0" w:line="240" w:lineRule="auto"/>
      </w:pPr>
      <w:r>
        <w:separator/>
      </w:r>
    </w:p>
  </w:footnote>
  <w:footnote w:type="continuationSeparator" w:id="0">
    <w:p w:rsidR="00472815" w:rsidRDefault="00472815"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08986FD4"/>
    <w:multiLevelType w:val="hybridMultilevel"/>
    <w:tmpl w:val="C6844BEC"/>
    <w:lvl w:ilvl="0" w:tplc="0A9C6C24">
      <w:start w:val="1"/>
      <w:numFmt w:val="bullet"/>
      <w:lvlText w:val="■"/>
      <w:lvlJc w:val="left"/>
      <w:pPr>
        <w:tabs>
          <w:tab w:val="num" w:pos="720"/>
        </w:tabs>
        <w:ind w:left="720" w:hanging="360"/>
      </w:pPr>
      <w:rPr>
        <w:rFonts w:ascii="Arial Narrow" w:hAnsi="Arial Narrow" w:hint="default"/>
      </w:rPr>
    </w:lvl>
    <w:lvl w:ilvl="1" w:tplc="335E15FA" w:tentative="1">
      <w:start w:val="1"/>
      <w:numFmt w:val="bullet"/>
      <w:lvlText w:val="■"/>
      <w:lvlJc w:val="left"/>
      <w:pPr>
        <w:tabs>
          <w:tab w:val="num" w:pos="1440"/>
        </w:tabs>
        <w:ind w:left="1440" w:hanging="360"/>
      </w:pPr>
      <w:rPr>
        <w:rFonts w:ascii="Arial Narrow" w:hAnsi="Arial Narrow" w:hint="default"/>
      </w:rPr>
    </w:lvl>
    <w:lvl w:ilvl="2" w:tplc="86D89770" w:tentative="1">
      <w:start w:val="1"/>
      <w:numFmt w:val="bullet"/>
      <w:lvlText w:val="■"/>
      <w:lvlJc w:val="left"/>
      <w:pPr>
        <w:tabs>
          <w:tab w:val="num" w:pos="2160"/>
        </w:tabs>
        <w:ind w:left="2160" w:hanging="360"/>
      </w:pPr>
      <w:rPr>
        <w:rFonts w:ascii="Arial Narrow" w:hAnsi="Arial Narrow" w:hint="default"/>
      </w:rPr>
    </w:lvl>
    <w:lvl w:ilvl="3" w:tplc="37E80936" w:tentative="1">
      <w:start w:val="1"/>
      <w:numFmt w:val="bullet"/>
      <w:lvlText w:val="■"/>
      <w:lvlJc w:val="left"/>
      <w:pPr>
        <w:tabs>
          <w:tab w:val="num" w:pos="2880"/>
        </w:tabs>
        <w:ind w:left="2880" w:hanging="360"/>
      </w:pPr>
      <w:rPr>
        <w:rFonts w:ascii="Arial Narrow" w:hAnsi="Arial Narrow" w:hint="default"/>
      </w:rPr>
    </w:lvl>
    <w:lvl w:ilvl="4" w:tplc="DD9AFAC6" w:tentative="1">
      <w:start w:val="1"/>
      <w:numFmt w:val="bullet"/>
      <w:lvlText w:val="■"/>
      <w:lvlJc w:val="left"/>
      <w:pPr>
        <w:tabs>
          <w:tab w:val="num" w:pos="3600"/>
        </w:tabs>
        <w:ind w:left="3600" w:hanging="360"/>
      </w:pPr>
      <w:rPr>
        <w:rFonts w:ascii="Arial Narrow" w:hAnsi="Arial Narrow" w:hint="default"/>
      </w:rPr>
    </w:lvl>
    <w:lvl w:ilvl="5" w:tplc="131C5D6C" w:tentative="1">
      <w:start w:val="1"/>
      <w:numFmt w:val="bullet"/>
      <w:lvlText w:val="■"/>
      <w:lvlJc w:val="left"/>
      <w:pPr>
        <w:tabs>
          <w:tab w:val="num" w:pos="4320"/>
        </w:tabs>
        <w:ind w:left="4320" w:hanging="360"/>
      </w:pPr>
      <w:rPr>
        <w:rFonts w:ascii="Arial Narrow" w:hAnsi="Arial Narrow" w:hint="default"/>
      </w:rPr>
    </w:lvl>
    <w:lvl w:ilvl="6" w:tplc="890024F8" w:tentative="1">
      <w:start w:val="1"/>
      <w:numFmt w:val="bullet"/>
      <w:lvlText w:val="■"/>
      <w:lvlJc w:val="left"/>
      <w:pPr>
        <w:tabs>
          <w:tab w:val="num" w:pos="5040"/>
        </w:tabs>
        <w:ind w:left="5040" w:hanging="360"/>
      </w:pPr>
      <w:rPr>
        <w:rFonts w:ascii="Arial Narrow" w:hAnsi="Arial Narrow" w:hint="default"/>
      </w:rPr>
    </w:lvl>
    <w:lvl w:ilvl="7" w:tplc="B6F67E56" w:tentative="1">
      <w:start w:val="1"/>
      <w:numFmt w:val="bullet"/>
      <w:lvlText w:val="■"/>
      <w:lvlJc w:val="left"/>
      <w:pPr>
        <w:tabs>
          <w:tab w:val="num" w:pos="5760"/>
        </w:tabs>
        <w:ind w:left="5760" w:hanging="360"/>
      </w:pPr>
      <w:rPr>
        <w:rFonts w:ascii="Arial Narrow" w:hAnsi="Arial Narrow" w:hint="default"/>
      </w:rPr>
    </w:lvl>
    <w:lvl w:ilvl="8" w:tplc="116A78E4" w:tentative="1">
      <w:start w:val="1"/>
      <w:numFmt w:val="bullet"/>
      <w:lvlText w:val="■"/>
      <w:lvlJc w:val="left"/>
      <w:pPr>
        <w:tabs>
          <w:tab w:val="num" w:pos="6480"/>
        </w:tabs>
        <w:ind w:left="6480" w:hanging="360"/>
      </w:pPr>
      <w:rPr>
        <w:rFonts w:ascii="Arial Narrow" w:hAnsi="Arial Narrow" w:hint="default"/>
      </w:rPr>
    </w:lvl>
  </w:abstractNum>
  <w:abstractNum w:abstractNumId="2">
    <w:nsid w:val="091B0861"/>
    <w:multiLevelType w:val="hybridMultilevel"/>
    <w:tmpl w:val="5B484872"/>
    <w:lvl w:ilvl="0" w:tplc="F32EC7B2">
      <w:numFmt w:val="bullet"/>
      <w:lvlText w:val="­"/>
      <w:lvlJc w:val="left"/>
      <w:pPr>
        <w:ind w:left="187"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3">
    <w:nsid w:val="0B0442EC"/>
    <w:multiLevelType w:val="hybridMultilevel"/>
    <w:tmpl w:val="4DD08D5A"/>
    <w:lvl w:ilvl="0" w:tplc="B9C4134A">
      <w:start w:val="1"/>
      <w:numFmt w:val="bullet"/>
      <w:lvlText w:val=""/>
      <w:lvlJc w:val="left"/>
      <w:pPr>
        <w:ind w:left="720" w:hanging="360"/>
      </w:pPr>
      <w:rPr>
        <w:rFonts w:ascii="Symbol" w:hAnsi="Symbol" w:hint="default"/>
        <w:color w:val="auto"/>
        <w:sz w:val="22"/>
      </w:rPr>
    </w:lvl>
    <w:lvl w:ilvl="1" w:tplc="3800D272">
      <w:start w:val="1"/>
      <w:numFmt w:val="bullet"/>
      <w:lvlText w:val="o"/>
      <w:lvlJc w:val="left"/>
      <w:pPr>
        <w:ind w:left="1440" w:hanging="360"/>
      </w:pPr>
      <w:rPr>
        <w:rFonts w:ascii="Courier New" w:hAnsi="Courier New" w:cs="Courier New" w:hint="default"/>
        <w:color w:val="auto"/>
      </w:rPr>
    </w:lvl>
    <w:lvl w:ilvl="2" w:tplc="44667558">
      <w:start w:val="1"/>
      <w:numFmt w:val="bullet"/>
      <w:lvlText w:val=""/>
      <w:lvlJc w:val="left"/>
      <w:pPr>
        <w:ind w:left="2160" w:hanging="360"/>
      </w:pPr>
      <w:rPr>
        <w:rFonts w:ascii="Wingdings" w:hAnsi="Wingdings" w:hint="default"/>
        <w:color w:val="auto"/>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nsid w:val="10843DF3"/>
    <w:multiLevelType w:val="hybridMultilevel"/>
    <w:tmpl w:val="AB428DE8"/>
    <w:lvl w:ilvl="0" w:tplc="60B20E6E">
      <w:start w:val="1"/>
      <w:numFmt w:val="bullet"/>
      <w:lvlText w:val=""/>
      <w:lvlJc w:val="left"/>
      <w:pPr>
        <w:tabs>
          <w:tab w:val="num" w:pos="360"/>
        </w:tabs>
        <w:ind w:left="360" w:hanging="360"/>
      </w:pPr>
      <w:rPr>
        <w:rFonts w:ascii="Wingdings" w:hAnsi="Wingdings" w:hint="default"/>
      </w:rPr>
    </w:lvl>
    <w:lvl w:ilvl="1" w:tplc="15C4645A">
      <w:start w:val="1"/>
      <w:numFmt w:val="bullet"/>
      <w:lvlText w:val=""/>
      <w:lvlJc w:val="left"/>
      <w:pPr>
        <w:tabs>
          <w:tab w:val="num" w:pos="1080"/>
        </w:tabs>
        <w:ind w:left="1080" w:hanging="360"/>
      </w:pPr>
      <w:rPr>
        <w:rFonts w:ascii="Wingdings" w:hAnsi="Wingdings" w:hint="default"/>
      </w:rPr>
    </w:lvl>
    <w:lvl w:ilvl="2" w:tplc="29840E6E">
      <w:start w:val="3415"/>
      <w:numFmt w:val="bullet"/>
      <w:lvlText w:val=""/>
      <w:lvlJc w:val="left"/>
      <w:pPr>
        <w:tabs>
          <w:tab w:val="num" w:pos="1800"/>
        </w:tabs>
        <w:ind w:left="1800" w:hanging="360"/>
      </w:pPr>
      <w:rPr>
        <w:rFonts w:ascii="Wingdings" w:hAnsi="Wingdings" w:hint="default"/>
      </w:rPr>
    </w:lvl>
    <w:lvl w:ilvl="3" w:tplc="FCE8E24A" w:tentative="1">
      <w:start w:val="1"/>
      <w:numFmt w:val="bullet"/>
      <w:lvlText w:val=""/>
      <w:lvlJc w:val="left"/>
      <w:pPr>
        <w:tabs>
          <w:tab w:val="num" w:pos="2520"/>
        </w:tabs>
        <w:ind w:left="2520" w:hanging="360"/>
      </w:pPr>
      <w:rPr>
        <w:rFonts w:ascii="Wingdings" w:hAnsi="Wingdings" w:hint="default"/>
      </w:rPr>
    </w:lvl>
    <w:lvl w:ilvl="4" w:tplc="B69C2502" w:tentative="1">
      <w:start w:val="1"/>
      <w:numFmt w:val="bullet"/>
      <w:lvlText w:val=""/>
      <w:lvlJc w:val="left"/>
      <w:pPr>
        <w:tabs>
          <w:tab w:val="num" w:pos="3240"/>
        </w:tabs>
        <w:ind w:left="3240" w:hanging="360"/>
      </w:pPr>
      <w:rPr>
        <w:rFonts w:ascii="Wingdings" w:hAnsi="Wingdings" w:hint="default"/>
      </w:rPr>
    </w:lvl>
    <w:lvl w:ilvl="5" w:tplc="19BC931E" w:tentative="1">
      <w:start w:val="1"/>
      <w:numFmt w:val="bullet"/>
      <w:lvlText w:val=""/>
      <w:lvlJc w:val="left"/>
      <w:pPr>
        <w:tabs>
          <w:tab w:val="num" w:pos="3960"/>
        </w:tabs>
        <w:ind w:left="3960" w:hanging="360"/>
      </w:pPr>
      <w:rPr>
        <w:rFonts w:ascii="Wingdings" w:hAnsi="Wingdings" w:hint="default"/>
      </w:rPr>
    </w:lvl>
    <w:lvl w:ilvl="6" w:tplc="8268773E" w:tentative="1">
      <w:start w:val="1"/>
      <w:numFmt w:val="bullet"/>
      <w:lvlText w:val=""/>
      <w:lvlJc w:val="left"/>
      <w:pPr>
        <w:tabs>
          <w:tab w:val="num" w:pos="4680"/>
        </w:tabs>
        <w:ind w:left="4680" w:hanging="360"/>
      </w:pPr>
      <w:rPr>
        <w:rFonts w:ascii="Wingdings" w:hAnsi="Wingdings" w:hint="default"/>
      </w:rPr>
    </w:lvl>
    <w:lvl w:ilvl="7" w:tplc="22824D06" w:tentative="1">
      <w:start w:val="1"/>
      <w:numFmt w:val="bullet"/>
      <w:lvlText w:val=""/>
      <w:lvlJc w:val="left"/>
      <w:pPr>
        <w:tabs>
          <w:tab w:val="num" w:pos="5400"/>
        </w:tabs>
        <w:ind w:left="5400" w:hanging="360"/>
      </w:pPr>
      <w:rPr>
        <w:rFonts w:ascii="Wingdings" w:hAnsi="Wingdings" w:hint="default"/>
      </w:rPr>
    </w:lvl>
    <w:lvl w:ilvl="8" w:tplc="589CC4C0" w:tentative="1">
      <w:start w:val="1"/>
      <w:numFmt w:val="bullet"/>
      <w:lvlText w:val=""/>
      <w:lvlJc w:val="left"/>
      <w:pPr>
        <w:tabs>
          <w:tab w:val="num" w:pos="6120"/>
        </w:tabs>
        <w:ind w:left="6120" w:hanging="360"/>
      </w:pPr>
      <w:rPr>
        <w:rFonts w:ascii="Wingdings" w:hAnsi="Wingdings" w:hint="default"/>
      </w:rPr>
    </w:lvl>
  </w:abstractNum>
  <w:abstractNum w:abstractNumId="5">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nsid w:val="171952C4"/>
    <w:multiLevelType w:val="hybridMultilevel"/>
    <w:tmpl w:val="C6E4C686"/>
    <w:lvl w:ilvl="0" w:tplc="040C0003">
      <w:start w:val="1"/>
      <w:numFmt w:val="bullet"/>
      <w:lvlText w:val="o"/>
      <w:lvlJc w:val="left"/>
      <w:pPr>
        <w:ind w:left="547" w:hanging="360"/>
      </w:pPr>
      <w:rPr>
        <w:rFonts w:ascii="Courier New" w:hAnsi="Courier New" w:cs="Courier New" w:hint="default"/>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7">
    <w:nsid w:val="17984F88"/>
    <w:multiLevelType w:val="hybridMultilevel"/>
    <w:tmpl w:val="31EA35EC"/>
    <w:lvl w:ilvl="0" w:tplc="6A280500">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9">
    <w:nsid w:val="1E4D301A"/>
    <w:multiLevelType w:val="hybridMultilevel"/>
    <w:tmpl w:val="02003ABA"/>
    <w:lvl w:ilvl="0" w:tplc="F32EC7B2">
      <w:numFmt w:val="bullet"/>
      <w:lvlText w:val="­"/>
      <w:lvlJc w:val="left"/>
      <w:pPr>
        <w:ind w:left="187"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0">
    <w:nsid w:val="1F013033"/>
    <w:multiLevelType w:val="hybridMultilevel"/>
    <w:tmpl w:val="C5ACE3E6"/>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nsid w:val="21310437"/>
    <w:multiLevelType w:val="hybridMultilevel"/>
    <w:tmpl w:val="B6DEED3A"/>
    <w:lvl w:ilvl="0" w:tplc="F32EC7B2">
      <w:numFmt w:val="bullet"/>
      <w:lvlText w:val="­"/>
      <w:lvlJc w:val="left"/>
      <w:pPr>
        <w:ind w:left="187"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2">
    <w:nsid w:val="21625D41"/>
    <w:multiLevelType w:val="hybridMultilevel"/>
    <w:tmpl w:val="B0A09592"/>
    <w:lvl w:ilvl="0" w:tplc="4E28C0B6">
      <w:start w:val="1"/>
      <w:numFmt w:val="decimal"/>
      <w:lvlText w:val="%1."/>
      <w:lvlJc w:val="left"/>
      <w:pPr>
        <w:ind w:left="2484" w:hanging="360"/>
      </w:pPr>
    </w:lvl>
    <w:lvl w:ilvl="1" w:tplc="040C0019">
      <w:start w:val="1"/>
      <w:numFmt w:val="lowerLetter"/>
      <w:lvlText w:val="%2."/>
      <w:lvlJc w:val="left"/>
      <w:pPr>
        <w:ind w:left="3204" w:hanging="360"/>
      </w:pPr>
    </w:lvl>
    <w:lvl w:ilvl="2" w:tplc="040C001B">
      <w:start w:val="1"/>
      <w:numFmt w:val="lowerRoman"/>
      <w:lvlText w:val="%3."/>
      <w:lvlJc w:val="right"/>
      <w:pPr>
        <w:ind w:left="3924" w:hanging="180"/>
      </w:pPr>
    </w:lvl>
    <w:lvl w:ilvl="3" w:tplc="040C000F">
      <w:start w:val="1"/>
      <w:numFmt w:val="decimal"/>
      <w:lvlText w:val="%4."/>
      <w:lvlJc w:val="left"/>
      <w:pPr>
        <w:ind w:left="4644" w:hanging="360"/>
      </w:pPr>
    </w:lvl>
    <w:lvl w:ilvl="4" w:tplc="040C0019">
      <w:start w:val="1"/>
      <w:numFmt w:val="lowerLetter"/>
      <w:lvlText w:val="%5."/>
      <w:lvlJc w:val="left"/>
      <w:pPr>
        <w:ind w:left="5364" w:hanging="360"/>
      </w:pPr>
    </w:lvl>
    <w:lvl w:ilvl="5" w:tplc="040C001B">
      <w:start w:val="1"/>
      <w:numFmt w:val="lowerRoman"/>
      <w:lvlText w:val="%6."/>
      <w:lvlJc w:val="right"/>
      <w:pPr>
        <w:ind w:left="6084" w:hanging="180"/>
      </w:pPr>
    </w:lvl>
    <w:lvl w:ilvl="6" w:tplc="040C000F">
      <w:start w:val="1"/>
      <w:numFmt w:val="decimal"/>
      <w:lvlText w:val="%7."/>
      <w:lvlJc w:val="left"/>
      <w:pPr>
        <w:ind w:left="6804" w:hanging="360"/>
      </w:pPr>
    </w:lvl>
    <w:lvl w:ilvl="7" w:tplc="040C0019">
      <w:start w:val="1"/>
      <w:numFmt w:val="lowerLetter"/>
      <w:lvlText w:val="%8."/>
      <w:lvlJc w:val="left"/>
      <w:pPr>
        <w:ind w:left="7524" w:hanging="360"/>
      </w:pPr>
    </w:lvl>
    <w:lvl w:ilvl="8" w:tplc="040C001B">
      <w:start w:val="1"/>
      <w:numFmt w:val="lowerRoman"/>
      <w:lvlText w:val="%9."/>
      <w:lvlJc w:val="right"/>
      <w:pPr>
        <w:ind w:left="8244" w:hanging="180"/>
      </w:pPr>
    </w:lvl>
  </w:abstractNum>
  <w:abstractNum w:abstractNumId="13">
    <w:nsid w:val="357876C6"/>
    <w:multiLevelType w:val="hybridMultilevel"/>
    <w:tmpl w:val="A46C3C2A"/>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4">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5">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6">
    <w:nsid w:val="3C890298"/>
    <w:multiLevelType w:val="hybridMultilevel"/>
    <w:tmpl w:val="024C68D0"/>
    <w:lvl w:ilvl="0" w:tplc="574200BE">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7">
    <w:nsid w:val="3F475714"/>
    <w:multiLevelType w:val="hybridMultilevel"/>
    <w:tmpl w:val="20327C4A"/>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8">
    <w:nsid w:val="45714BEF"/>
    <w:multiLevelType w:val="hybridMultilevel"/>
    <w:tmpl w:val="1526A012"/>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9">
    <w:nsid w:val="4B862A65"/>
    <w:multiLevelType w:val="hybridMultilevel"/>
    <w:tmpl w:val="739464B8"/>
    <w:lvl w:ilvl="0" w:tplc="74F2087C">
      <w:start w:val="1"/>
      <w:numFmt w:val="bullet"/>
      <w:lvlText w:val=""/>
      <w:lvlJc w:val="left"/>
      <w:pPr>
        <w:ind w:left="720" w:hanging="360"/>
      </w:pPr>
      <w:rPr>
        <w:rFonts w:ascii="Symbol" w:hAnsi="Symbol" w:hint="default"/>
        <w:color w:val="000000"/>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abstractNum w:abstractNumId="20">
    <w:nsid w:val="4D8D4C8C"/>
    <w:multiLevelType w:val="hybridMultilevel"/>
    <w:tmpl w:val="D6563B94"/>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1">
    <w:nsid w:val="6E8A7A05"/>
    <w:multiLevelType w:val="hybridMultilevel"/>
    <w:tmpl w:val="D0C6DB02"/>
    <w:lvl w:ilvl="0" w:tplc="3E6AD152">
      <w:start w:val="1"/>
      <w:numFmt w:val="bullet"/>
      <w:lvlText w:val=""/>
      <w:lvlJc w:val="left"/>
      <w:pPr>
        <w:ind w:left="360" w:hanging="360"/>
      </w:pPr>
      <w:rPr>
        <w:rFonts w:ascii="Symbol" w:hAnsi="Symbol" w:hint="default"/>
        <w:color w:val="000000"/>
      </w:rPr>
    </w:lvl>
    <w:lvl w:ilvl="1" w:tplc="D1009C02">
      <w:start w:val="1"/>
      <w:numFmt w:val="bullet"/>
      <w:lvlText w:val="o"/>
      <w:lvlJc w:val="left"/>
      <w:pPr>
        <w:ind w:left="1080" w:hanging="360"/>
      </w:pPr>
      <w:rPr>
        <w:rFonts w:ascii="Courier New" w:hAnsi="Courier New" w:cs="Times New Roman" w:hint="default"/>
        <w:b w:val="0"/>
        <w:color w:val="auto"/>
        <w:sz w:val="20"/>
      </w:rPr>
    </w:lvl>
    <w:lvl w:ilvl="2" w:tplc="040C0005">
      <w:start w:val="1"/>
      <w:numFmt w:val="bullet"/>
      <w:lvlText w:val=""/>
      <w:lvlJc w:val="left"/>
      <w:pPr>
        <w:ind w:left="1800" w:hanging="360"/>
      </w:pPr>
      <w:rPr>
        <w:rFonts w:ascii="Wingdings" w:hAnsi="Wingdings" w:hint="default"/>
      </w:rPr>
    </w:lvl>
    <w:lvl w:ilvl="3" w:tplc="DAE07DDE">
      <w:start w:val="1"/>
      <w:numFmt w:val="bullet"/>
      <w:lvlText w:val="-"/>
      <w:lvlJc w:val="left"/>
      <w:pPr>
        <w:ind w:left="2520" w:hanging="360"/>
      </w:pPr>
      <w:rPr>
        <w:rFonts w:ascii="Calibri" w:hAnsi="Calibri" w:cs="Times New Roman" w:hint="default"/>
      </w:rPr>
    </w:lvl>
    <w:lvl w:ilvl="4" w:tplc="040C0003">
      <w:start w:val="1"/>
      <w:numFmt w:val="bullet"/>
      <w:lvlText w:val="o"/>
      <w:lvlJc w:val="left"/>
      <w:pPr>
        <w:ind w:left="3240" w:hanging="360"/>
      </w:pPr>
      <w:rPr>
        <w:rFonts w:ascii="Courier New" w:hAnsi="Courier New" w:cs="Times New Roman"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Times New Roman" w:hint="default"/>
      </w:rPr>
    </w:lvl>
    <w:lvl w:ilvl="8" w:tplc="040C0005">
      <w:start w:val="1"/>
      <w:numFmt w:val="bullet"/>
      <w:lvlText w:val=""/>
      <w:lvlJc w:val="left"/>
      <w:pPr>
        <w:ind w:left="6120" w:hanging="360"/>
      </w:pPr>
      <w:rPr>
        <w:rFonts w:ascii="Wingdings" w:hAnsi="Wingdings" w:hint="default"/>
      </w:rPr>
    </w:lvl>
  </w:abstractNum>
  <w:abstractNum w:abstractNumId="22">
    <w:nsid w:val="76CA7592"/>
    <w:multiLevelType w:val="hybridMultilevel"/>
    <w:tmpl w:val="585416CE"/>
    <w:lvl w:ilvl="0" w:tplc="F32EC7B2">
      <w:numFmt w:val="bullet"/>
      <w:lvlText w:val="­"/>
      <w:lvlJc w:val="left"/>
      <w:pPr>
        <w:ind w:left="432" w:hanging="187"/>
      </w:pPr>
      <w:rPr>
        <w:rFonts w:ascii="Calibri" w:eastAsia="Calibri" w:hAnsi="Calibri" w:cs="Times New Roman"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040C0003" w:tentative="1">
      <w:start w:val="1"/>
      <w:numFmt w:val="bullet"/>
      <w:lvlText w:val="o"/>
      <w:lvlJc w:val="left"/>
      <w:pPr>
        <w:ind w:left="1685" w:hanging="360"/>
      </w:pPr>
      <w:rPr>
        <w:rFonts w:ascii="Courier New" w:hAnsi="Courier New" w:cs="Courier New" w:hint="default"/>
      </w:rPr>
    </w:lvl>
    <w:lvl w:ilvl="2" w:tplc="040C0005" w:tentative="1">
      <w:start w:val="1"/>
      <w:numFmt w:val="bullet"/>
      <w:lvlText w:val=""/>
      <w:lvlJc w:val="left"/>
      <w:pPr>
        <w:ind w:left="2405" w:hanging="360"/>
      </w:pPr>
      <w:rPr>
        <w:rFonts w:ascii="Wingdings" w:hAnsi="Wingdings" w:hint="default"/>
      </w:rPr>
    </w:lvl>
    <w:lvl w:ilvl="3" w:tplc="040C0001" w:tentative="1">
      <w:start w:val="1"/>
      <w:numFmt w:val="bullet"/>
      <w:lvlText w:val=""/>
      <w:lvlJc w:val="left"/>
      <w:pPr>
        <w:ind w:left="3125" w:hanging="360"/>
      </w:pPr>
      <w:rPr>
        <w:rFonts w:ascii="Symbol" w:hAnsi="Symbol" w:hint="default"/>
      </w:rPr>
    </w:lvl>
    <w:lvl w:ilvl="4" w:tplc="040C0003" w:tentative="1">
      <w:start w:val="1"/>
      <w:numFmt w:val="bullet"/>
      <w:lvlText w:val="o"/>
      <w:lvlJc w:val="left"/>
      <w:pPr>
        <w:ind w:left="3845" w:hanging="360"/>
      </w:pPr>
      <w:rPr>
        <w:rFonts w:ascii="Courier New" w:hAnsi="Courier New" w:cs="Courier New" w:hint="default"/>
      </w:rPr>
    </w:lvl>
    <w:lvl w:ilvl="5" w:tplc="040C0005" w:tentative="1">
      <w:start w:val="1"/>
      <w:numFmt w:val="bullet"/>
      <w:lvlText w:val=""/>
      <w:lvlJc w:val="left"/>
      <w:pPr>
        <w:ind w:left="4565" w:hanging="360"/>
      </w:pPr>
      <w:rPr>
        <w:rFonts w:ascii="Wingdings" w:hAnsi="Wingdings" w:hint="default"/>
      </w:rPr>
    </w:lvl>
    <w:lvl w:ilvl="6" w:tplc="040C0001" w:tentative="1">
      <w:start w:val="1"/>
      <w:numFmt w:val="bullet"/>
      <w:lvlText w:val=""/>
      <w:lvlJc w:val="left"/>
      <w:pPr>
        <w:ind w:left="5285" w:hanging="360"/>
      </w:pPr>
      <w:rPr>
        <w:rFonts w:ascii="Symbol" w:hAnsi="Symbol" w:hint="default"/>
      </w:rPr>
    </w:lvl>
    <w:lvl w:ilvl="7" w:tplc="040C0003" w:tentative="1">
      <w:start w:val="1"/>
      <w:numFmt w:val="bullet"/>
      <w:lvlText w:val="o"/>
      <w:lvlJc w:val="left"/>
      <w:pPr>
        <w:ind w:left="6005" w:hanging="360"/>
      </w:pPr>
      <w:rPr>
        <w:rFonts w:ascii="Courier New" w:hAnsi="Courier New" w:cs="Courier New" w:hint="default"/>
      </w:rPr>
    </w:lvl>
    <w:lvl w:ilvl="8" w:tplc="040C0005" w:tentative="1">
      <w:start w:val="1"/>
      <w:numFmt w:val="bullet"/>
      <w:lvlText w:val=""/>
      <w:lvlJc w:val="left"/>
      <w:pPr>
        <w:ind w:left="6725" w:hanging="360"/>
      </w:pPr>
      <w:rPr>
        <w:rFonts w:ascii="Wingdings" w:hAnsi="Wingdings" w:hint="default"/>
      </w:rPr>
    </w:lvl>
  </w:abstractNum>
  <w:num w:numId="1">
    <w:abstractNumId w:val="14"/>
  </w:num>
  <w:num w:numId="2">
    <w:abstractNumId w:val="17"/>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0"/>
  </w:num>
  <w:num w:numId="6">
    <w:abstractNumId w:val="3"/>
  </w:num>
  <w:num w:numId="7">
    <w:abstractNumId w:val="17"/>
  </w:num>
  <w:num w:numId="8">
    <w:abstractNumId w:val="10"/>
  </w:num>
  <w:num w:numId="9">
    <w:abstractNumId w:val="15"/>
  </w:num>
  <w:num w:numId="10">
    <w:abstractNumId w:val="17"/>
  </w:num>
  <w:num w:numId="11">
    <w:abstractNumId w:val="19"/>
  </w:num>
  <w:num w:numId="12">
    <w:abstractNumId w:val="17"/>
  </w:num>
  <w:num w:numId="13">
    <w:abstractNumId w:val="4"/>
  </w:num>
  <w:num w:numId="14">
    <w:abstractNumId w:val="17"/>
  </w:num>
  <w:num w:numId="15">
    <w:abstractNumId w:val="15"/>
  </w:num>
  <w:num w:numId="16">
    <w:abstractNumId w:val="17"/>
  </w:num>
  <w:num w:numId="17">
    <w:abstractNumId w:val="17"/>
  </w:num>
  <w:num w:numId="18">
    <w:abstractNumId w:val="15"/>
  </w:num>
  <w:num w:numId="19">
    <w:abstractNumId w:val="17"/>
  </w:num>
  <w:num w:numId="20">
    <w:abstractNumId w:val="17"/>
  </w:num>
  <w:num w:numId="21">
    <w:abstractNumId w:val="15"/>
  </w:num>
  <w:num w:numId="22">
    <w:abstractNumId w:val="15"/>
  </w:num>
  <w:num w:numId="23">
    <w:abstractNumId w:val="17"/>
  </w:num>
  <w:num w:numId="24">
    <w:abstractNumId w:val="9"/>
  </w:num>
  <w:num w:numId="25">
    <w:abstractNumId w:val="1"/>
  </w:num>
  <w:num w:numId="26">
    <w:abstractNumId w:val="13"/>
  </w:num>
  <w:num w:numId="27">
    <w:abstractNumId w:val="17"/>
  </w:num>
  <w:num w:numId="28">
    <w:abstractNumId w:val="2"/>
  </w:num>
  <w:num w:numId="29">
    <w:abstractNumId w:val="11"/>
  </w:num>
  <w:num w:numId="30">
    <w:abstractNumId w:val="2"/>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num>
  <w:num w:numId="34">
    <w:abstractNumId w:val="17"/>
  </w:num>
  <w:num w:numId="35">
    <w:abstractNumId w:val="15"/>
  </w:num>
  <w:num w:numId="36">
    <w:abstractNumId w:val="19"/>
  </w:num>
  <w:num w:numId="37">
    <w:abstractNumId w:val="17"/>
  </w:num>
  <w:num w:numId="38">
    <w:abstractNumId w:val="15"/>
  </w:num>
  <w:num w:numId="39">
    <w:abstractNumId w:val="16"/>
  </w:num>
  <w:num w:numId="40">
    <w:abstractNumId w:val="17"/>
  </w:num>
  <w:num w:numId="41">
    <w:abstractNumId w:val="19"/>
  </w:num>
  <w:num w:numId="42">
    <w:abstractNumId w:val="15"/>
  </w:num>
  <w:num w:numId="43">
    <w:abstractNumId w:val="17"/>
  </w:num>
  <w:num w:numId="44">
    <w:abstractNumId w:val="21"/>
  </w:num>
  <w:num w:numId="45">
    <w:abstractNumId w:val="20"/>
  </w:num>
  <w:num w:numId="46">
    <w:abstractNumId w:val="18"/>
  </w:num>
  <w:num w:numId="47">
    <w:abstractNumId w:val="17"/>
  </w:num>
  <w:num w:numId="48">
    <w:abstractNumId w:val="6"/>
  </w:num>
  <w:num w:numId="49">
    <w:abstractNumId w:val="1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F8F"/>
    <w:rsid w:val="00003669"/>
    <w:rsid w:val="000039D8"/>
    <w:rsid w:val="00003E8E"/>
    <w:rsid w:val="000042A4"/>
    <w:rsid w:val="00004301"/>
    <w:rsid w:val="00004AB8"/>
    <w:rsid w:val="00004DE7"/>
    <w:rsid w:val="0000556A"/>
    <w:rsid w:val="000058A4"/>
    <w:rsid w:val="000061FB"/>
    <w:rsid w:val="0000670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432F"/>
    <w:rsid w:val="000346E4"/>
    <w:rsid w:val="00034A91"/>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62E5"/>
    <w:rsid w:val="00056A0C"/>
    <w:rsid w:val="00057557"/>
    <w:rsid w:val="00057B73"/>
    <w:rsid w:val="00060CBC"/>
    <w:rsid w:val="000612D7"/>
    <w:rsid w:val="000614B0"/>
    <w:rsid w:val="000615F1"/>
    <w:rsid w:val="000617A0"/>
    <w:rsid w:val="00061A2F"/>
    <w:rsid w:val="0006226E"/>
    <w:rsid w:val="00062AC1"/>
    <w:rsid w:val="000637CC"/>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70D1"/>
    <w:rsid w:val="00087691"/>
    <w:rsid w:val="00087A82"/>
    <w:rsid w:val="000904D6"/>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CBE"/>
    <w:rsid w:val="00097EFC"/>
    <w:rsid w:val="000A1180"/>
    <w:rsid w:val="000A18FD"/>
    <w:rsid w:val="000A1933"/>
    <w:rsid w:val="000A1E55"/>
    <w:rsid w:val="000A36D9"/>
    <w:rsid w:val="000A3EF5"/>
    <w:rsid w:val="000A3F12"/>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9C5"/>
    <w:rsid w:val="000C3EF2"/>
    <w:rsid w:val="000C51EC"/>
    <w:rsid w:val="000C56EB"/>
    <w:rsid w:val="000D1063"/>
    <w:rsid w:val="000D132E"/>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E4A"/>
    <w:rsid w:val="000E4A11"/>
    <w:rsid w:val="000E6316"/>
    <w:rsid w:val="000E65C0"/>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1E8B"/>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5E41"/>
    <w:rsid w:val="001160AE"/>
    <w:rsid w:val="00117E30"/>
    <w:rsid w:val="0012027F"/>
    <w:rsid w:val="001208CD"/>
    <w:rsid w:val="00120B83"/>
    <w:rsid w:val="00120D11"/>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2E9E"/>
    <w:rsid w:val="00162FFF"/>
    <w:rsid w:val="00163CCE"/>
    <w:rsid w:val="001647D4"/>
    <w:rsid w:val="00164D0A"/>
    <w:rsid w:val="00164E13"/>
    <w:rsid w:val="00164E4D"/>
    <w:rsid w:val="0016530E"/>
    <w:rsid w:val="001656EF"/>
    <w:rsid w:val="00165789"/>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611B"/>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CC7"/>
    <w:rsid w:val="001922AC"/>
    <w:rsid w:val="00192633"/>
    <w:rsid w:val="00192A1F"/>
    <w:rsid w:val="00193537"/>
    <w:rsid w:val="0019437F"/>
    <w:rsid w:val="0019556C"/>
    <w:rsid w:val="00196202"/>
    <w:rsid w:val="00196793"/>
    <w:rsid w:val="00196F2E"/>
    <w:rsid w:val="0019758E"/>
    <w:rsid w:val="001977C3"/>
    <w:rsid w:val="001A02A1"/>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6779"/>
    <w:rsid w:val="001A6AB1"/>
    <w:rsid w:val="001A6E82"/>
    <w:rsid w:val="001A721F"/>
    <w:rsid w:val="001B01FF"/>
    <w:rsid w:val="001B096D"/>
    <w:rsid w:val="001B136B"/>
    <w:rsid w:val="001B15AE"/>
    <w:rsid w:val="001B197D"/>
    <w:rsid w:val="001B28E6"/>
    <w:rsid w:val="001B2AF2"/>
    <w:rsid w:val="001B37A4"/>
    <w:rsid w:val="001B423B"/>
    <w:rsid w:val="001B4C67"/>
    <w:rsid w:val="001B54C1"/>
    <w:rsid w:val="001B55B0"/>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50A7"/>
    <w:rsid w:val="001C5B7E"/>
    <w:rsid w:val="001C5DE9"/>
    <w:rsid w:val="001C67FD"/>
    <w:rsid w:val="001C6DEC"/>
    <w:rsid w:val="001C73A9"/>
    <w:rsid w:val="001C7715"/>
    <w:rsid w:val="001C794C"/>
    <w:rsid w:val="001D02B5"/>
    <w:rsid w:val="001D0328"/>
    <w:rsid w:val="001D03BD"/>
    <w:rsid w:val="001D1B5C"/>
    <w:rsid w:val="001D222F"/>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722"/>
    <w:rsid w:val="001F7B0D"/>
    <w:rsid w:val="00200149"/>
    <w:rsid w:val="0020155E"/>
    <w:rsid w:val="00201CA7"/>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FA8"/>
    <w:rsid w:val="0022591B"/>
    <w:rsid w:val="00225A89"/>
    <w:rsid w:val="00225FED"/>
    <w:rsid w:val="00226343"/>
    <w:rsid w:val="002265ED"/>
    <w:rsid w:val="00227C3A"/>
    <w:rsid w:val="00230C16"/>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25D1"/>
    <w:rsid w:val="00272DCB"/>
    <w:rsid w:val="002733AE"/>
    <w:rsid w:val="00273DEF"/>
    <w:rsid w:val="0027418A"/>
    <w:rsid w:val="00275224"/>
    <w:rsid w:val="0027668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0F3"/>
    <w:rsid w:val="0029511F"/>
    <w:rsid w:val="002976C9"/>
    <w:rsid w:val="00297745"/>
    <w:rsid w:val="00297C24"/>
    <w:rsid w:val="002A01E6"/>
    <w:rsid w:val="002A075B"/>
    <w:rsid w:val="002A0B23"/>
    <w:rsid w:val="002A0C2C"/>
    <w:rsid w:val="002A0D98"/>
    <w:rsid w:val="002A1715"/>
    <w:rsid w:val="002A1C94"/>
    <w:rsid w:val="002A212C"/>
    <w:rsid w:val="002A27D7"/>
    <w:rsid w:val="002A29B4"/>
    <w:rsid w:val="002A3D55"/>
    <w:rsid w:val="002A4BB7"/>
    <w:rsid w:val="002A4BD9"/>
    <w:rsid w:val="002A4FCB"/>
    <w:rsid w:val="002A50A4"/>
    <w:rsid w:val="002A6D70"/>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C03A9"/>
    <w:rsid w:val="002C1098"/>
    <w:rsid w:val="002C11E3"/>
    <w:rsid w:val="002C1A13"/>
    <w:rsid w:val="002C272D"/>
    <w:rsid w:val="002C2738"/>
    <w:rsid w:val="002C35EE"/>
    <w:rsid w:val="002C37EE"/>
    <w:rsid w:val="002C3937"/>
    <w:rsid w:val="002C39C2"/>
    <w:rsid w:val="002C3A0B"/>
    <w:rsid w:val="002C404D"/>
    <w:rsid w:val="002C51C8"/>
    <w:rsid w:val="002C6C1A"/>
    <w:rsid w:val="002C6C63"/>
    <w:rsid w:val="002C6D11"/>
    <w:rsid w:val="002D0630"/>
    <w:rsid w:val="002D085E"/>
    <w:rsid w:val="002D090D"/>
    <w:rsid w:val="002D0C9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938"/>
    <w:rsid w:val="002E0DE8"/>
    <w:rsid w:val="002E14CE"/>
    <w:rsid w:val="002E19C1"/>
    <w:rsid w:val="002E1F11"/>
    <w:rsid w:val="002E21E4"/>
    <w:rsid w:val="002E22A3"/>
    <w:rsid w:val="002E2727"/>
    <w:rsid w:val="002E2F53"/>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97F"/>
    <w:rsid w:val="00303E41"/>
    <w:rsid w:val="00304D3E"/>
    <w:rsid w:val="00304F9A"/>
    <w:rsid w:val="00305490"/>
    <w:rsid w:val="003058CD"/>
    <w:rsid w:val="00305AA1"/>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2000B"/>
    <w:rsid w:val="003209F4"/>
    <w:rsid w:val="0032118E"/>
    <w:rsid w:val="003215D4"/>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33AC"/>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531B"/>
    <w:rsid w:val="003758B7"/>
    <w:rsid w:val="00375CBD"/>
    <w:rsid w:val="0037642E"/>
    <w:rsid w:val="0037647F"/>
    <w:rsid w:val="00376CC9"/>
    <w:rsid w:val="003770EE"/>
    <w:rsid w:val="0037789E"/>
    <w:rsid w:val="00377C9E"/>
    <w:rsid w:val="00380261"/>
    <w:rsid w:val="00380853"/>
    <w:rsid w:val="00380B58"/>
    <w:rsid w:val="00380E41"/>
    <w:rsid w:val="00380FBB"/>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5027"/>
    <w:rsid w:val="003F508A"/>
    <w:rsid w:val="003F511C"/>
    <w:rsid w:val="003F5534"/>
    <w:rsid w:val="003F607F"/>
    <w:rsid w:val="003F60F1"/>
    <w:rsid w:val="003F7176"/>
    <w:rsid w:val="003F7D6D"/>
    <w:rsid w:val="00400143"/>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508"/>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815"/>
    <w:rsid w:val="00472D18"/>
    <w:rsid w:val="00472F8B"/>
    <w:rsid w:val="004735A0"/>
    <w:rsid w:val="00473994"/>
    <w:rsid w:val="00473C8A"/>
    <w:rsid w:val="004745BB"/>
    <w:rsid w:val="004762B9"/>
    <w:rsid w:val="00476C21"/>
    <w:rsid w:val="00476D52"/>
    <w:rsid w:val="00477692"/>
    <w:rsid w:val="00477AB6"/>
    <w:rsid w:val="00477BA4"/>
    <w:rsid w:val="00477CCE"/>
    <w:rsid w:val="0048044F"/>
    <w:rsid w:val="00481059"/>
    <w:rsid w:val="00481BC2"/>
    <w:rsid w:val="00481CFA"/>
    <w:rsid w:val="004825DB"/>
    <w:rsid w:val="0048297E"/>
    <w:rsid w:val="00483998"/>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39A"/>
    <w:rsid w:val="004932C6"/>
    <w:rsid w:val="004934AA"/>
    <w:rsid w:val="00493D77"/>
    <w:rsid w:val="004943BF"/>
    <w:rsid w:val="004953D4"/>
    <w:rsid w:val="00495E8E"/>
    <w:rsid w:val="00495EE9"/>
    <w:rsid w:val="0049673E"/>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41A"/>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3B5C"/>
    <w:rsid w:val="004E46D9"/>
    <w:rsid w:val="004E46E5"/>
    <w:rsid w:val="004E475B"/>
    <w:rsid w:val="004E478B"/>
    <w:rsid w:val="004E49E7"/>
    <w:rsid w:val="004E58C4"/>
    <w:rsid w:val="004E5DB3"/>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092"/>
    <w:rsid w:val="00513BD6"/>
    <w:rsid w:val="00513CEA"/>
    <w:rsid w:val="00513DE5"/>
    <w:rsid w:val="00514227"/>
    <w:rsid w:val="0051475F"/>
    <w:rsid w:val="00514A08"/>
    <w:rsid w:val="00514BCF"/>
    <w:rsid w:val="00514CF8"/>
    <w:rsid w:val="00514DB1"/>
    <w:rsid w:val="00515F77"/>
    <w:rsid w:val="005168E2"/>
    <w:rsid w:val="0051717D"/>
    <w:rsid w:val="005175B8"/>
    <w:rsid w:val="00520515"/>
    <w:rsid w:val="00520A44"/>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85F"/>
    <w:rsid w:val="00535921"/>
    <w:rsid w:val="00535E1E"/>
    <w:rsid w:val="00536110"/>
    <w:rsid w:val="005367C5"/>
    <w:rsid w:val="005369B7"/>
    <w:rsid w:val="00536A15"/>
    <w:rsid w:val="00536F65"/>
    <w:rsid w:val="00537CA9"/>
    <w:rsid w:val="00540260"/>
    <w:rsid w:val="00541177"/>
    <w:rsid w:val="00541636"/>
    <w:rsid w:val="005419A4"/>
    <w:rsid w:val="005420CB"/>
    <w:rsid w:val="00542F6F"/>
    <w:rsid w:val="00543333"/>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4F97"/>
    <w:rsid w:val="00566BD8"/>
    <w:rsid w:val="00567190"/>
    <w:rsid w:val="005672DC"/>
    <w:rsid w:val="005673D7"/>
    <w:rsid w:val="00570332"/>
    <w:rsid w:val="00570577"/>
    <w:rsid w:val="0057079F"/>
    <w:rsid w:val="00570C75"/>
    <w:rsid w:val="00571255"/>
    <w:rsid w:val="00571C4C"/>
    <w:rsid w:val="00572775"/>
    <w:rsid w:val="0057326E"/>
    <w:rsid w:val="005737F3"/>
    <w:rsid w:val="00573EDD"/>
    <w:rsid w:val="0057410E"/>
    <w:rsid w:val="00574E85"/>
    <w:rsid w:val="005757A0"/>
    <w:rsid w:val="00575A1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7FC0"/>
    <w:rsid w:val="005B00BA"/>
    <w:rsid w:val="005B02B8"/>
    <w:rsid w:val="005B02DE"/>
    <w:rsid w:val="005B0ABF"/>
    <w:rsid w:val="005B0ACE"/>
    <w:rsid w:val="005B0D2C"/>
    <w:rsid w:val="005B10E8"/>
    <w:rsid w:val="005B183B"/>
    <w:rsid w:val="005B201F"/>
    <w:rsid w:val="005B2A0A"/>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51C1"/>
    <w:rsid w:val="005C58D6"/>
    <w:rsid w:val="005C620E"/>
    <w:rsid w:val="005C6496"/>
    <w:rsid w:val="005C6F00"/>
    <w:rsid w:val="005C7031"/>
    <w:rsid w:val="005C7230"/>
    <w:rsid w:val="005C75E1"/>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C99"/>
    <w:rsid w:val="005F2D0A"/>
    <w:rsid w:val="005F2E6D"/>
    <w:rsid w:val="005F3608"/>
    <w:rsid w:val="005F3667"/>
    <w:rsid w:val="005F37F3"/>
    <w:rsid w:val="005F47E2"/>
    <w:rsid w:val="005F4DC7"/>
    <w:rsid w:val="005F681D"/>
    <w:rsid w:val="005F708A"/>
    <w:rsid w:val="005F750E"/>
    <w:rsid w:val="005F76C0"/>
    <w:rsid w:val="005F778B"/>
    <w:rsid w:val="006004D7"/>
    <w:rsid w:val="006008F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C4D"/>
    <w:rsid w:val="00625227"/>
    <w:rsid w:val="00625A6B"/>
    <w:rsid w:val="006262B2"/>
    <w:rsid w:val="00626D56"/>
    <w:rsid w:val="00626D9B"/>
    <w:rsid w:val="00626FED"/>
    <w:rsid w:val="00627EEB"/>
    <w:rsid w:val="00627FB9"/>
    <w:rsid w:val="00630A3C"/>
    <w:rsid w:val="00630E46"/>
    <w:rsid w:val="00630EE4"/>
    <w:rsid w:val="0063118F"/>
    <w:rsid w:val="00631AA3"/>
    <w:rsid w:val="00632B65"/>
    <w:rsid w:val="00632DCE"/>
    <w:rsid w:val="00633140"/>
    <w:rsid w:val="00634673"/>
    <w:rsid w:val="00635514"/>
    <w:rsid w:val="00636B6D"/>
    <w:rsid w:val="0064085E"/>
    <w:rsid w:val="00640C67"/>
    <w:rsid w:val="00640DAF"/>
    <w:rsid w:val="00640DEC"/>
    <w:rsid w:val="00640DFD"/>
    <w:rsid w:val="00641C1E"/>
    <w:rsid w:val="00642674"/>
    <w:rsid w:val="0064491B"/>
    <w:rsid w:val="00644EAD"/>
    <w:rsid w:val="006454D8"/>
    <w:rsid w:val="00645D17"/>
    <w:rsid w:val="0064606B"/>
    <w:rsid w:val="00646A40"/>
    <w:rsid w:val="00646C2F"/>
    <w:rsid w:val="00647715"/>
    <w:rsid w:val="00647B75"/>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3C"/>
    <w:rsid w:val="00663770"/>
    <w:rsid w:val="00663E4A"/>
    <w:rsid w:val="00664B6A"/>
    <w:rsid w:val="00664C54"/>
    <w:rsid w:val="00665949"/>
    <w:rsid w:val="0066642C"/>
    <w:rsid w:val="006664AE"/>
    <w:rsid w:val="00666867"/>
    <w:rsid w:val="00666ADF"/>
    <w:rsid w:val="00666E30"/>
    <w:rsid w:val="00666E7F"/>
    <w:rsid w:val="00666EC6"/>
    <w:rsid w:val="0066768E"/>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7545"/>
    <w:rsid w:val="006A77EF"/>
    <w:rsid w:val="006A781A"/>
    <w:rsid w:val="006A7CAE"/>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1437"/>
    <w:rsid w:val="006D1663"/>
    <w:rsid w:val="006D1825"/>
    <w:rsid w:val="006D1D77"/>
    <w:rsid w:val="006D2B19"/>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AE"/>
    <w:rsid w:val="006E2E8A"/>
    <w:rsid w:val="006E396A"/>
    <w:rsid w:val="006E3E6F"/>
    <w:rsid w:val="006E46CF"/>
    <w:rsid w:val="006E4AB1"/>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381B"/>
    <w:rsid w:val="00714F05"/>
    <w:rsid w:val="00714F84"/>
    <w:rsid w:val="00715066"/>
    <w:rsid w:val="00716A4A"/>
    <w:rsid w:val="00716CA0"/>
    <w:rsid w:val="00717030"/>
    <w:rsid w:val="0071705B"/>
    <w:rsid w:val="0071739D"/>
    <w:rsid w:val="00717606"/>
    <w:rsid w:val="0071762F"/>
    <w:rsid w:val="007205E0"/>
    <w:rsid w:val="00720DAB"/>
    <w:rsid w:val="00723040"/>
    <w:rsid w:val="007239C6"/>
    <w:rsid w:val="00723E59"/>
    <w:rsid w:val="00724740"/>
    <w:rsid w:val="007248AE"/>
    <w:rsid w:val="0072506F"/>
    <w:rsid w:val="00725196"/>
    <w:rsid w:val="00725330"/>
    <w:rsid w:val="0072594F"/>
    <w:rsid w:val="00726904"/>
    <w:rsid w:val="00726935"/>
    <w:rsid w:val="00727D48"/>
    <w:rsid w:val="00730FD2"/>
    <w:rsid w:val="007318E0"/>
    <w:rsid w:val="0073221D"/>
    <w:rsid w:val="007322C5"/>
    <w:rsid w:val="00732424"/>
    <w:rsid w:val="007326D9"/>
    <w:rsid w:val="00732D5D"/>
    <w:rsid w:val="00733160"/>
    <w:rsid w:val="00733387"/>
    <w:rsid w:val="00734888"/>
    <w:rsid w:val="00735621"/>
    <w:rsid w:val="00735D28"/>
    <w:rsid w:val="00737604"/>
    <w:rsid w:val="00740F69"/>
    <w:rsid w:val="007417AB"/>
    <w:rsid w:val="0074250D"/>
    <w:rsid w:val="00743116"/>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A36"/>
    <w:rsid w:val="007910B1"/>
    <w:rsid w:val="007933EC"/>
    <w:rsid w:val="00795C07"/>
    <w:rsid w:val="0079778F"/>
    <w:rsid w:val="007A0808"/>
    <w:rsid w:val="007A0912"/>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85F"/>
    <w:rsid w:val="007B5F3B"/>
    <w:rsid w:val="007B60D4"/>
    <w:rsid w:val="007B6F7B"/>
    <w:rsid w:val="007B7861"/>
    <w:rsid w:val="007C0B89"/>
    <w:rsid w:val="007C0C5C"/>
    <w:rsid w:val="007C0CC2"/>
    <w:rsid w:val="007C1CBE"/>
    <w:rsid w:val="007C22C0"/>
    <w:rsid w:val="007C29A2"/>
    <w:rsid w:val="007C2ADE"/>
    <w:rsid w:val="007C3323"/>
    <w:rsid w:val="007C3551"/>
    <w:rsid w:val="007C3904"/>
    <w:rsid w:val="007C3E1B"/>
    <w:rsid w:val="007C3F30"/>
    <w:rsid w:val="007C4843"/>
    <w:rsid w:val="007C5156"/>
    <w:rsid w:val="007C5308"/>
    <w:rsid w:val="007C6087"/>
    <w:rsid w:val="007C6CC3"/>
    <w:rsid w:val="007C6F6C"/>
    <w:rsid w:val="007C751F"/>
    <w:rsid w:val="007C7E40"/>
    <w:rsid w:val="007C7F99"/>
    <w:rsid w:val="007D032C"/>
    <w:rsid w:val="007D0AE2"/>
    <w:rsid w:val="007D0E9F"/>
    <w:rsid w:val="007D10AA"/>
    <w:rsid w:val="007D17A9"/>
    <w:rsid w:val="007D21F7"/>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757D"/>
    <w:rsid w:val="007F7AAA"/>
    <w:rsid w:val="00800502"/>
    <w:rsid w:val="00800B21"/>
    <w:rsid w:val="008010FE"/>
    <w:rsid w:val="008013DD"/>
    <w:rsid w:val="00802FE8"/>
    <w:rsid w:val="00804127"/>
    <w:rsid w:val="00804B97"/>
    <w:rsid w:val="00804FFC"/>
    <w:rsid w:val="0080536D"/>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33AC"/>
    <w:rsid w:val="008634A7"/>
    <w:rsid w:val="00863B17"/>
    <w:rsid w:val="00864053"/>
    <w:rsid w:val="00864DC3"/>
    <w:rsid w:val="00865893"/>
    <w:rsid w:val="00865A4F"/>
    <w:rsid w:val="008661AD"/>
    <w:rsid w:val="00866691"/>
    <w:rsid w:val="00870095"/>
    <w:rsid w:val="0087074A"/>
    <w:rsid w:val="008708F0"/>
    <w:rsid w:val="008709F3"/>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AD1"/>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E49"/>
    <w:rsid w:val="008D7166"/>
    <w:rsid w:val="008D7D29"/>
    <w:rsid w:val="008E143D"/>
    <w:rsid w:val="008E2299"/>
    <w:rsid w:val="008E2B88"/>
    <w:rsid w:val="008E3B29"/>
    <w:rsid w:val="008E3F59"/>
    <w:rsid w:val="008E546F"/>
    <w:rsid w:val="008E581F"/>
    <w:rsid w:val="008E66A2"/>
    <w:rsid w:val="008E707A"/>
    <w:rsid w:val="008E70C6"/>
    <w:rsid w:val="008E7802"/>
    <w:rsid w:val="008F0154"/>
    <w:rsid w:val="008F01A3"/>
    <w:rsid w:val="008F16A1"/>
    <w:rsid w:val="008F17E7"/>
    <w:rsid w:val="008F1FFE"/>
    <w:rsid w:val="008F2114"/>
    <w:rsid w:val="008F28B0"/>
    <w:rsid w:val="008F3423"/>
    <w:rsid w:val="008F52E1"/>
    <w:rsid w:val="008F532D"/>
    <w:rsid w:val="008F5385"/>
    <w:rsid w:val="008F63BB"/>
    <w:rsid w:val="008F7037"/>
    <w:rsid w:val="00900EBC"/>
    <w:rsid w:val="00902132"/>
    <w:rsid w:val="009022EE"/>
    <w:rsid w:val="0090290A"/>
    <w:rsid w:val="00903BD6"/>
    <w:rsid w:val="00903DCE"/>
    <w:rsid w:val="009044CE"/>
    <w:rsid w:val="009049CE"/>
    <w:rsid w:val="00905261"/>
    <w:rsid w:val="0090545A"/>
    <w:rsid w:val="00905951"/>
    <w:rsid w:val="009072CE"/>
    <w:rsid w:val="00907976"/>
    <w:rsid w:val="00910CAC"/>
    <w:rsid w:val="00910E36"/>
    <w:rsid w:val="00910F44"/>
    <w:rsid w:val="00911951"/>
    <w:rsid w:val="00912035"/>
    <w:rsid w:val="0091227A"/>
    <w:rsid w:val="0091253E"/>
    <w:rsid w:val="00913A82"/>
    <w:rsid w:val="00914F16"/>
    <w:rsid w:val="00915778"/>
    <w:rsid w:val="009161C4"/>
    <w:rsid w:val="009169E0"/>
    <w:rsid w:val="009178F5"/>
    <w:rsid w:val="00917A73"/>
    <w:rsid w:val="00917A8F"/>
    <w:rsid w:val="00917B7C"/>
    <w:rsid w:val="00917F45"/>
    <w:rsid w:val="00920044"/>
    <w:rsid w:val="00920833"/>
    <w:rsid w:val="0092100C"/>
    <w:rsid w:val="009211C6"/>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1406"/>
    <w:rsid w:val="009415F8"/>
    <w:rsid w:val="00941ACB"/>
    <w:rsid w:val="00941DAF"/>
    <w:rsid w:val="0094252D"/>
    <w:rsid w:val="00942AB2"/>
    <w:rsid w:val="00942D3A"/>
    <w:rsid w:val="0094354C"/>
    <w:rsid w:val="0094373D"/>
    <w:rsid w:val="009443A2"/>
    <w:rsid w:val="009444C9"/>
    <w:rsid w:val="00944902"/>
    <w:rsid w:val="0094514B"/>
    <w:rsid w:val="009453FF"/>
    <w:rsid w:val="009462CB"/>
    <w:rsid w:val="00946351"/>
    <w:rsid w:val="009468D5"/>
    <w:rsid w:val="0094768E"/>
    <w:rsid w:val="00950A3A"/>
    <w:rsid w:val="00950AFE"/>
    <w:rsid w:val="00952951"/>
    <w:rsid w:val="00952DD1"/>
    <w:rsid w:val="00952DDB"/>
    <w:rsid w:val="00953991"/>
    <w:rsid w:val="00953D98"/>
    <w:rsid w:val="0095401B"/>
    <w:rsid w:val="00954C4D"/>
    <w:rsid w:val="0095507B"/>
    <w:rsid w:val="009553C2"/>
    <w:rsid w:val="00955D4D"/>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0E2"/>
    <w:rsid w:val="00965AFD"/>
    <w:rsid w:val="00965B1A"/>
    <w:rsid w:val="009661A1"/>
    <w:rsid w:val="00967D31"/>
    <w:rsid w:val="00971665"/>
    <w:rsid w:val="00971678"/>
    <w:rsid w:val="00971691"/>
    <w:rsid w:val="00971E91"/>
    <w:rsid w:val="00972E78"/>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1A9"/>
    <w:rsid w:val="009B3CB0"/>
    <w:rsid w:val="009B45E7"/>
    <w:rsid w:val="009B4CCA"/>
    <w:rsid w:val="009B4D07"/>
    <w:rsid w:val="009B4DC8"/>
    <w:rsid w:val="009B4FE4"/>
    <w:rsid w:val="009B5337"/>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36F7"/>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27F5C"/>
    <w:rsid w:val="00A30414"/>
    <w:rsid w:val="00A30635"/>
    <w:rsid w:val="00A3082B"/>
    <w:rsid w:val="00A311C6"/>
    <w:rsid w:val="00A3161F"/>
    <w:rsid w:val="00A317AE"/>
    <w:rsid w:val="00A31B7A"/>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BCF"/>
    <w:rsid w:val="00A41360"/>
    <w:rsid w:val="00A41828"/>
    <w:rsid w:val="00A41BB0"/>
    <w:rsid w:val="00A41EBA"/>
    <w:rsid w:val="00A434CC"/>
    <w:rsid w:val="00A43B9E"/>
    <w:rsid w:val="00A4446F"/>
    <w:rsid w:val="00A445EF"/>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63DC"/>
    <w:rsid w:val="00A66775"/>
    <w:rsid w:val="00A67598"/>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621"/>
    <w:rsid w:val="00AA4852"/>
    <w:rsid w:val="00AA4923"/>
    <w:rsid w:val="00AA4E27"/>
    <w:rsid w:val="00AA4F0F"/>
    <w:rsid w:val="00AA5370"/>
    <w:rsid w:val="00AA577C"/>
    <w:rsid w:val="00AA5845"/>
    <w:rsid w:val="00AB002D"/>
    <w:rsid w:val="00AB021C"/>
    <w:rsid w:val="00AB0DB4"/>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1E69"/>
    <w:rsid w:val="00AE2985"/>
    <w:rsid w:val="00AE2A59"/>
    <w:rsid w:val="00AE2F0E"/>
    <w:rsid w:val="00AE3287"/>
    <w:rsid w:val="00AE3502"/>
    <w:rsid w:val="00AE3E8D"/>
    <w:rsid w:val="00AE42E4"/>
    <w:rsid w:val="00AE46DD"/>
    <w:rsid w:val="00AE484A"/>
    <w:rsid w:val="00AE60B9"/>
    <w:rsid w:val="00AE6106"/>
    <w:rsid w:val="00AE6400"/>
    <w:rsid w:val="00AE6807"/>
    <w:rsid w:val="00AE696C"/>
    <w:rsid w:val="00AE7D71"/>
    <w:rsid w:val="00AE7F64"/>
    <w:rsid w:val="00AE7FDB"/>
    <w:rsid w:val="00AF108D"/>
    <w:rsid w:val="00AF243A"/>
    <w:rsid w:val="00AF27EB"/>
    <w:rsid w:val="00AF2BA1"/>
    <w:rsid w:val="00AF2C5E"/>
    <w:rsid w:val="00AF3225"/>
    <w:rsid w:val="00AF3425"/>
    <w:rsid w:val="00AF372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30170"/>
    <w:rsid w:val="00B304B6"/>
    <w:rsid w:val="00B30B6F"/>
    <w:rsid w:val="00B30EF3"/>
    <w:rsid w:val="00B31347"/>
    <w:rsid w:val="00B31539"/>
    <w:rsid w:val="00B3167A"/>
    <w:rsid w:val="00B3329F"/>
    <w:rsid w:val="00B3423F"/>
    <w:rsid w:val="00B34CAA"/>
    <w:rsid w:val="00B359BB"/>
    <w:rsid w:val="00B363CA"/>
    <w:rsid w:val="00B364F9"/>
    <w:rsid w:val="00B36A08"/>
    <w:rsid w:val="00B40603"/>
    <w:rsid w:val="00B40A8D"/>
    <w:rsid w:val="00B40DB3"/>
    <w:rsid w:val="00B42058"/>
    <w:rsid w:val="00B42F36"/>
    <w:rsid w:val="00B431EC"/>
    <w:rsid w:val="00B433F9"/>
    <w:rsid w:val="00B4400D"/>
    <w:rsid w:val="00B4475F"/>
    <w:rsid w:val="00B44953"/>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8D"/>
    <w:rsid w:val="00B56497"/>
    <w:rsid w:val="00B56858"/>
    <w:rsid w:val="00B57282"/>
    <w:rsid w:val="00B574BE"/>
    <w:rsid w:val="00B57692"/>
    <w:rsid w:val="00B57F13"/>
    <w:rsid w:val="00B603CF"/>
    <w:rsid w:val="00B60E23"/>
    <w:rsid w:val="00B6139A"/>
    <w:rsid w:val="00B61D36"/>
    <w:rsid w:val="00B62280"/>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401A"/>
    <w:rsid w:val="00B8473B"/>
    <w:rsid w:val="00B84EE9"/>
    <w:rsid w:val="00B84F76"/>
    <w:rsid w:val="00B8528B"/>
    <w:rsid w:val="00B855DC"/>
    <w:rsid w:val="00B85B87"/>
    <w:rsid w:val="00B85FEE"/>
    <w:rsid w:val="00B865BE"/>
    <w:rsid w:val="00B867A4"/>
    <w:rsid w:val="00B86849"/>
    <w:rsid w:val="00B907B1"/>
    <w:rsid w:val="00B90F54"/>
    <w:rsid w:val="00B91215"/>
    <w:rsid w:val="00B91799"/>
    <w:rsid w:val="00B91D87"/>
    <w:rsid w:val="00B9279B"/>
    <w:rsid w:val="00B934E9"/>
    <w:rsid w:val="00B9354C"/>
    <w:rsid w:val="00B939A3"/>
    <w:rsid w:val="00B93D2C"/>
    <w:rsid w:val="00B942FB"/>
    <w:rsid w:val="00B95414"/>
    <w:rsid w:val="00B957D3"/>
    <w:rsid w:val="00B957D4"/>
    <w:rsid w:val="00B95FBA"/>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644"/>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3C0"/>
    <w:rsid w:val="00BE557D"/>
    <w:rsid w:val="00BE55D6"/>
    <w:rsid w:val="00BE60F5"/>
    <w:rsid w:val="00BE675B"/>
    <w:rsid w:val="00BE67BE"/>
    <w:rsid w:val="00BE6887"/>
    <w:rsid w:val="00BE6895"/>
    <w:rsid w:val="00BE6C2F"/>
    <w:rsid w:val="00BE705F"/>
    <w:rsid w:val="00BE7545"/>
    <w:rsid w:val="00BE76F3"/>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764F"/>
    <w:rsid w:val="00C3034F"/>
    <w:rsid w:val="00C304AD"/>
    <w:rsid w:val="00C311B2"/>
    <w:rsid w:val="00C31FF7"/>
    <w:rsid w:val="00C32DED"/>
    <w:rsid w:val="00C33426"/>
    <w:rsid w:val="00C34E36"/>
    <w:rsid w:val="00C35058"/>
    <w:rsid w:val="00C3548A"/>
    <w:rsid w:val="00C35716"/>
    <w:rsid w:val="00C3752F"/>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771"/>
    <w:rsid w:val="00C867CF"/>
    <w:rsid w:val="00C86998"/>
    <w:rsid w:val="00C86DAE"/>
    <w:rsid w:val="00C936AA"/>
    <w:rsid w:val="00C939E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D1"/>
    <w:rsid w:val="00CB5A5D"/>
    <w:rsid w:val="00CB5B91"/>
    <w:rsid w:val="00CB62BB"/>
    <w:rsid w:val="00CB6440"/>
    <w:rsid w:val="00CB6629"/>
    <w:rsid w:val="00CB67AF"/>
    <w:rsid w:val="00CB67CF"/>
    <w:rsid w:val="00CB6908"/>
    <w:rsid w:val="00CB69BD"/>
    <w:rsid w:val="00CB73C7"/>
    <w:rsid w:val="00CB73F4"/>
    <w:rsid w:val="00CB7F9C"/>
    <w:rsid w:val="00CC05BF"/>
    <w:rsid w:val="00CC07EF"/>
    <w:rsid w:val="00CC0A01"/>
    <w:rsid w:val="00CC0E08"/>
    <w:rsid w:val="00CC0F04"/>
    <w:rsid w:val="00CC14F7"/>
    <w:rsid w:val="00CC15D8"/>
    <w:rsid w:val="00CC16BF"/>
    <w:rsid w:val="00CC1A33"/>
    <w:rsid w:val="00CC1D49"/>
    <w:rsid w:val="00CC1E79"/>
    <w:rsid w:val="00CC3874"/>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A6B"/>
    <w:rsid w:val="00CD625A"/>
    <w:rsid w:val="00CD65F2"/>
    <w:rsid w:val="00CD6691"/>
    <w:rsid w:val="00CD693F"/>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B1E"/>
    <w:rsid w:val="00CF2D16"/>
    <w:rsid w:val="00CF2EBB"/>
    <w:rsid w:val="00CF3053"/>
    <w:rsid w:val="00CF3339"/>
    <w:rsid w:val="00CF3948"/>
    <w:rsid w:val="00CF3B4A"/>
    <w:rsid w:val="00CF4011"/>
    <w:rsid w:val="00CF4C6D"/>
    <w:rsid w:val="00CF5CCC"/>
    <w:rsid w:val="00CF5D82"/>
    <w:rsid w:val="00CF5EA0"/>
    <w:rsid w:val="00CF6292"/>
    <w:rsid w:val="00CF66B0"/>
    <w:rsid w:val="00CF79B3"/>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7D0"/>
    <w:rsid w:val="00D23B3B"/>
    <w:rsid w:val="00D24A03"/>
    <w:rsid w:val="00D24EF5"/>
    <w:rsid w:val="00D26873"/>
    <w:rsid w:val="00D26980"/>
    <w:rsid w:val="00D269A8"/>
    <w:rsid w:val="00D26C65"/>
    <w:rsid w:val="00D27214"/>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21D"/>
    <w:rsid w:val="00D6354E"/>
    <w:rsid w:val="00D636D8"/>
    <w:rsid w:val="00D63889"/>
    <w:rsid w:val="00D639B1"/>
    <w:rsid w:val="00D63D15"/>
    <w:rsid w:val="00D63DE4"/>
    <w:rsid w:val="00D64F72"/>
    <w:rsid w:val="00D65504"/>
    <w:rsid w:val="00D656FF"/>
    <w:rsid w:val="00D67B84"/>
    <w:rsid w:val="00D72140"/>
    <w:rsid w:val="00D72D6E"/>
    <w:rsid w:val="00D72D9C"/>
    <w:rsid w:val="00D738E8"/>
    <w:rsid w:val="00D73C74"/>
    <w:rsid w:val="00D748A7"/>
    <w:rsid w:val="00D757FB"/>
    <w:rsid w:val="00D760B6"/>
    <w:rsid w:val="00D7681A"/>
    <w:rsid w:val="00D76C16"/>
    <w:rsid w:val="00D77957"/>
    <w:rsid w:val="00D779A3"/>
    <w:rsid w:val="00D77D1B"/>
    <w:rsid w:val="00D77DC0"/>
    <w:rsid w:val="00D80270"/>
    <w:rsid w:val="00D814FD"/>
    <w:rsid w:val="00D81636"/>
    <w:rsid w:val="00D818A8"/>
    <w:rsid w:val="00D82F4E"/>
    <w:rsid w:val="00D8318A"/>
    <w:rsid w:val="00D83209"/>
    <w:rsid w:val="00D833BC"/>
    <w:rsid w:val="00D8372F"/>
    <w:rsid w:val="00D8378A"/>
    <w:rsid w:val="00D839F4"/>
    <w:rsid w:val="00D83F54"/>
    <w:rsid w:val="00D84410"/>
    <w:rsid w:val="00D84BFD"/>
    <w:rsid w:val="00D84C7A"/>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F0A"/>
    <w:rsid w:val="00DD4010"/>
    <w:rsid w:val="00DD453D"/>
    <w:rsid w:val="00DD5026"/>
    <w:rsid w:val="00DD5204"/>
    <w:rsid w:val="00DD52A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380"/>
    <w:rsid w:val="00DE74B6"/>
    <w:rsid w:val="00DE7A74"/>
    <w:rsid w:val="00DE7ABB"/>
    <w:rsid w:val="00DE7F8C"/>
    <w:rsid w:val="00DF01BD"/>
    <w:rsid w:val="00DF0B67"/>
    <w:rsid w:val="00DF1A3F"/>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EC"/>
    <w:rsid w:val="00E150E6"/>
    <w:rsid w:val="00E154E7"/>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6623"/>
    <w:rsid w:val="00E40541"/>
    <w:rsid w:val="00E41B1D"/>
    <w:rsid w:val="00E41EB1"/>
    <w:rsid w:val="00E42762"/>
    <w:rsid w:val="00E42CDB"/>
    <w:rsid w:val="00E42FE9"/>
    <w:rsid w:val="00E43FD9"/>
    <w:rsid w:val="00E444FA"/>
    <w:rsid w:val="00E45011"/>
    <w:rsid w:val="00E4549E"/>
    <w:rsid w:val="00E45AFC"/>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EDF"/>
    <w:rsid w:val="00E55217"/>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64E5"/>
    <w:rsid w:val="00E87385"/>
    <w:rsid w:val="00E87CEF"/>
    <w:rsid w:val="00E9057E"/>
    <w:rsid w:val="00E90A6A"/>
    <w:rsid w:val="00E90A7D"/>
    <w:rsid w:val="00E91855"/>
    <w:rsid w:val="00E91B44"/>
    <w:rsid w:val="00E92AB6"/>
    <w:rsid w:val="00E92AFF"/>
    <w:rsid w:val="00E9325B"/>
    <w:rsid w:val="00E94596"/>
    <w:rsid w:val="00E94774"/>
    <w:rsid w:val="00E95130"/>
    <w:rsid w:val="00E9516D"/>
    <w:rsid w:val="00E956A3"/>
    <w:rsid w:val="00E95763"/>
    <w:rsid w:val="00E95A71"/>
    <w:rsid w:val="00E963B0"/>
    <w:rsid w:val="00E96BEA"/>
    <w:rsid w:val="00E96FA6"/>
    <w:rsid w:val="00E970A4"/>
    <w:rsid w:val="00E97105"/>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47C"/>
    <w:rsid w:val="00ED56E6"/>
    <w:rsid w:val="00ED5D97"/>
    <w:rsid w:val="00ED6A6C"/>
    <w:rsid w:val="00ED6CD0"/>
    <w:rsid w:val="00ED6D89"/>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F64"/>
    <w:rsid w:val="00F071A9"/>
    <w:rsid w:val="00F077F6"/>
    <w:rsid w:val="00F07A2F"/>
    <w:rsid w:val="00F07AB1"/>
    <w:rsid w:val="00F07C4B"/>
    <w:rsid w:val="00F11C7F"/>
    <w:rsid w:val="00F11F0E"/>
    <w:rsid w:val="00F12186"/>
    <w:rsid w:val="00F12D6C"/>
    <w:rsid w:val="00F12F27"/>
    <w:rsid w:val="00F131EF"/>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4299"/>
    <w:rsid w:val="00F34E93"/>
    <w:rsid w:val="00F350AA"/>
    <w:rsid w:val="00F3594C"/>
    <w:rsid w:val="00F35DCF"/>
    <w:rsid w:val="00F35DFC"/>
    <w:rsid w:val="00F404DB"/>
    <w:rsid w:val="00F40BF3"/>
    <w:rsid w:val="00F40DCC"/>
    <w:rsid w:val="00F410C5"/>
    <w:rsid w:val="00F412C5"/>
    <w:rsid w:val="00F425B1"/>
    <w:rsid w:val="00F42E32"/>
    <w:rsid w:val="00F43127"/>
    <w:rsid w:val="00F4391A"/>
    <w:rsid w:val="00F43F8D"/>
    <w:rsid w:val="00F4433D"/>
    <w:rsid w:val="00F449B8"/>
    <w:rsid w:val="00F46ABC"/>
    <w:rsid w:val="00F46B83"/>
    <w:rsid w:val="00F46BAD"/>
    <w:rsid w:val="00F46DC0"/>
    <w:rsid w:val="00F46EF3"/>
    <w:rsid w:val="00F47072"/>
    <w:rsid w:val="00F478E6"/>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6EC"/>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7D80"/>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particuliers/epargne-2/livrets/livret-a-lep-ldd-livret-jeune/livret-a-lep-ldd-livret-jeune/" TargetMode="External"/><Relationship Id="rId18" Type="http://schemas.openxmlformats.org/officeDocument/2006/relationships/hyperlink" Target="http://commerciaux.celca.caisse-epargne.fr/particuliers/epargne-2/les-opcvm/scpi-et-ocpi/scpi-et-ocpi/" TargetMode="External"/><Relationship Id="rId26" Type="http://schemas.openxmlformats.org/officeDocument/2006/relationships/hyperlink" Target="http://commerciaux.celca.caisse-epargne.fr/particuliers/bancarisation-particuliers/bouquet-liberte-et-ses-services-complementaires/bouquet-liberte-et-ses-services-complementaires/" TargetMode="External"/><Relationship Id="rId3" Type="http://schemas.openxmlformats.org/officeDocument/2006/relationships/styles" Target="styles.xml"/><Relationship Id="rId21" Type="http://schemas.openxmlformats.org/officeDocument/2006/relationships/hyperlink" Target="http://commerciaux.celca.caisse-epargne.fr/download/429/outil-prospection-pro/7519/action-large-pros-03-2018.pptx" TargetMode="External"/><Relationship Id="rId34"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wnsgprw1.celca.caisse-epargne.fr/app/bci/INF/DSB_INF_17_05.pdf" TargetMode="External"/><Relationship Id="rId17" Type="http://schemas.openxmlformats.org/officeDocument/2006/relationships/hyperlink" Target="http://commerciaux.celca.caisse-epargne.fr/particuliers/epargne-2/les-opcvm/selection-essentielle/selection-essentielle/" TargetMode="External"/><Relationship Id="rId25" Type="http://schemas.openxmlformats.org/officeDocument/2006/relationships/hyperlink" Target="http://wnsgprw1.celca.caisse-epargne.fr/app/bci/INF/DMA-INF_17.071.pdf" TargetMode="External"/><Relationship Id="rId33" Type="http://schemas.openxmlformats.org/officeDocument/2006/relationships/hyperlink" Target="http://commerciaux.celca.caisse-epargne.fr/download/1176/documents-hors-arbo-2/5429/delai-de-traitement-bdd-dircred-2017.xlsx" TargetMode="External"/><Relationship Id="rId2" Type="http://schemas.openxmlformats.org/officeDocument/2006/relationships/numbering" Target="numbering.xml"/><Relationship Id="rId16" Type="http://schemas.openxmlformats.org/officeDocument/2006/relationships/hyperlink" Target="http://commerciaux.celca.caisse-epargne.fr/download/1157/fichiers-a-traiter/4147/mb_dossiers-domilis-a-saisir-mode-operatoire.docx" TargetMode="External"/><Relationship Id="rId20" Type="http://schemas.openxmlformats.org/officeDocument/2006/relationships/hyperlink" Target="http://commerciaux.celca.caisse-epargne.fr/download/1212/brief-hebdo/7370/brief-audio-2018-semaine-10.docx" TargetMode="External"/><Relationship Id="rId29" Type="http://schemas.openxmlformats.org/officeDocument/2006/relationships/hyperlink" Target="http://commerciaux.celca.caisse-epargne.fr/download/1276/2018/6996/2018_02_01_hdj_dispositif-parade-et-lancement-de-la-carte-dcvv.ppt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particuliers/iard-et-prevoyance-3/surveillance-iard/" TargetMode="External"/><Relationship Id="rId24" Type="http://schemas.openxmlformats.org/officeDocument/2006/relationships/hyperlink" Target="http://commerciaux.celca.caisse-epargne.fr/recherche-de-fichiers/?q=eckert" TargetMode="External"/><Relationship Id="rId32" Type="http://schemas.openxmlformats.org/officeDocument/2006/relationships/hyperlink" Target="http://commerciaux.celca.caisse-epargne.fr/download/1293/iris/7543/suivi-commercialisation-iris.xlsx" TargetMode="External"/><Relationship Id="rId5" Type="http://schemas.openxmlformats.org/officeDocument/2006/relationships/settings" Target="settings.xml"/><Relationship Id="rId15" Type="http://schemas.openxmlformats.org/officeDocument/2006/relationships/hyperlink" Target="http://commerciaux.celca.caisse-epargne.fr/download/1157/fichiers-a-traiter/4960/mb_dossiers-domilis-a-saisir.xls" TargetMode="External"/><Relationship Id="rId23" Type="http://schemas.openxmlformats.org/officeDocument/2006/relationships/hyperlink" Target="http://commerciaux.celca.caisse-epargne.fr/download/439/offre-monetique/7540/presentation-procedure-restitution-tpe.pptx" TargetMode="External"/><Relationship Id="rId28" Type="http://schemas.openxmlformats.org/officeDocument/2006/relationships/hyperlink" Target="http://commerciaux.celca.caisse-epargne.fr/download/1337/le-suivi-des-remises-tarifaires-iard/7535/s11-remises-tarifaires-sur-contrats-iard-2.xls" TargetMode="External"/><Relationship Id="rId36" Type="http://schemas.openxmlformats.org/officeDocument/2006/relationships/theme" Target="theme/theme1.xml"/><Relationship Id="rId10" Type="http://schemas.openxmlformats.org/officeDocument/2006/relationships/hyperlink" Target="http://commerciaux.celca.caisse-epargne.fr/download/329/lutte-anti-resiliation/7548/lutte-anti-resiliation.xlsx" TargetMode="External"/><Relationship Id="rId19" Type="http://schemas.openxmlformats.org/officeDocument/2006/relationships/hyperlink" Target="http://commerciaux.celca.caisse-epargne.fr/download/1294/2018/7536/news-jeunes_mars.pdf" TargetMode="External"/><Relationship Id="rId31" Type="http://schemas.openxmlformats.org/officeDocument/2006/relationships/hyperlink" Target="http://commerciaux.celca.caisse-epargne.fr/download/1273/helios-avril-2028/7541/suivi-commercialisation-helios.xlsx" TargetMode="External"/><Relationship Id="rId4" Type="http://schemas.microsoft.com/office/2007/relationships/stylesWithEffects" Target="stylesWithEffects.xml"/><Relationship Id="rId9" Type="http://schemas.openxmlformats.org/officeDocument/2006/relationships/hyperlink" Target="http://commerciaux.celca.caisse-epargne.fr/download/267/pel-en-non-respect/7544/pel-potentiellement-en-non-respect.xlsx" TargetMode="External"/><Relationship Id="rId14" Type="http://schemas.openxmlformats.org/officeDocument/2006/relationships/hyperlink" Target="http://commerciaux.celca.caisse-epargne.fr/download/267/pel-en-non-respect/7544/pel-potentiellement-en-non-respect.xlsx" TargetMode="External"/><Relationship Id="rId22" Type="http://schemas.openxmlformats.org/officeDocument/2006/relationships/image" Target="media/image1.png"/><Relationship Id="rId27" Type="http://schemas.openxmlformats.org/officeDocument/2006/relationships/hyperlink" Target="http://commerciaux.celca.caisse-epargne.fr/download/1276/2018/7188/2018_02_15_hdj-remises-tarifaires-iard-portefeuille-virtuel.pptx" TargetMode="External"/><Relationship Id="rId30" Type="http://schemas.openxmlformats.org/officeDocument/2006/relationships/hyperlink" Target="http://commerciaux.celca.caisse-epargne.fr/global-bdd/pilotage/le-fond-de-commerce/le-suivi-des-relations-patrimoniales/le-suivi-des-relations-patrimoniales/" TargetMode="External"/><Relationship Id="rId35"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C85129-BE2B-4E13-846E-DAF0440425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1747</TotalTime>
  <Pages>1</Pages>
  <Words>2189</Words>
  <Characters>12044</Characters>
  <Application>Microsoft Office Word</Application>
  <DocSecurity>0</DocSecurity>
  <Lines>100</Lines>
  <Paragraphs>28</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14205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176</cp:revision>
  <dcterms:created xsi:type="dcterms:W3CDTF">2018-01-22T16:25:00Z</dcterms:created>
  <dcterms:modified xsi:type="dcterms:W3CDTF">2018-03-26T12:29:00Z</dcterms:modified>
</cp:coreProperties>
</file>