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4D6530">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B4798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5A0216">
              <w:rPr>
                <w:rFonts w:ascii="Times New Roman" w:hAnsi="Times New Roman" w:cs="Times New Roman"/>
                <w:b/>
                <w:sz w:val="32"/>
                <w:szCs w:val="40"/>
              </w:rPr>
              <w:t>15</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414ED7" w:rsidRPr="00E81F6E" w:rsidTr="00AF3BE3">
        <w:trPr>
          <w:trHeight w:val="515"/>
        </w:trPr>
        <w:tc>
          <w:tcPr>
            <w:tcW w:w="1560" w:type="dxa"/>
            <w:tcBorders>
              <w:bottom w:val="single" w:sz="4" w:space="0" w:color="auto"/>
            </w:tcBorders>
            <w:shd w:val="clear" w:color="auto" w:fill="FFFFFF" w:themeFill="background1"/>
          </w:tcPr>
          <w:p w:rsidR="00414ED7" w:rsidRPr="00CC4E75" w:rsidRDefault="00414ED7">
            <w:pPr>
              <w:rPr>
                <w:rFonts w:ascii="Times New Roman" w:hAnsi="Times New Roman" w:cs="Times New Roman"/>
                <w:b/>
                <w:bCs/>
                <w:sz w:val="20"/>
                <w:szCs w:val="20"/>
              </w:rPr>
            </w:pPr>
            <w:r w:rsidRPr="00CC4E75">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414ED7" w:rsidRPr="00CC4E75" w:rsidRDefault="00414ED7">
            <w:pPr>
              <w:spacing w:after="200" w:line="276" w:lineRule="auto"/>
              <w:rPr>
                <w:rFonts w:ascii="Times New Roman" w:hAnsi="Times New Roman" w:cs="Times New Roman"/>
                <w:b/>
                <w:bCs/>
                <w:sz w:val="20"/>
                <w:szCs w:val="20"/>
              </w:rPr>
            </w:pPr>
            <w:r w:rsidRPr="00CC4E75">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414ED7" w:rsidRPr="00CC4E75" w:rsidRDefault="001350B9" w:rsidP="00CC4E75">
            <w:pPr>
              <w:numPr>
                <w:ilvl w:val="0"/>
                <w:numId w:val="17"/>
              </w:numPr>
              <w:tabs>
                <w:tab w:val="num" w:pos="720"/>
              </w:tabs>
              <w:ind w:left="176" w:hanging="176"/>
              <w:contextualSpacing/>
              <w:jc w:val="both"/>
              <w:rPr>
                <w:rFonts w:ascii="Times New Roman" w:hAnsi="Times New Roman" w:cs="Times New Roman"/>
                <w:sz w:val="20"/>
                <w:szCs w:val="20"/>
                <w:lang w:eastAsia="fr-FR"/>
              </w:rPr>
            </w:pPr>
            <w:hyperlink r:id="rId9" w:history="1">
              <w:r w:rsidR="00CC4E75">
                <w:rPr>
                  <w:rStyle w:val="Lienhypertexte"/>
                  <w:rFonts w:ascii="Times New Roman" w:hAnsi="Times New Roman" w:cs="Times New Roman"/>
                  <w:sz w:val="20"/>
                  <w:szCs w:val="20"/>
                  <w:lang w:eastAsia="fr-FR"/>
                </w:rPr>
                <w:t>CLIQUEZ ICI</w:t>
              </w:r>
            </w:hyperlink>
            <w:r w:rsidR="00CC4E75">
              <w:rPr>
                <w:rFonts w:ascii="Times New Roman" w:hAnsi="Times New Roman" w:cs="Times New Roman"/>
                <w:sz w:val="20"/>
                <w:szCs w:val="20"/>
                <w:lang w:eastAsia="fr-FR"/>
              </w:rPr>
              <w:t xml:space="preserve"> pour trouver le fichier des IZICARTES en attente de saisie d’une date de signature (volumétrie : 227 cartes en attente). Tant que les 2 étapes « mise en force » et « saisie la date de signature » ne seront pas faites, nos clients ne recevront pas leur carte.</w:t>
            </w:r>
          </w:p>
        </w:tc>
      </w:tr>
      <w:tr w:rsidR="005A0216" w:rsidRPr="00E81F6E" w:rsidTr="005A0216">
        <w:trPr>
          <w:trHeight w:val="435"/>
        </w:trPr>
        <w:tc>
          <w:tcPr>
            <w:tcW w:w="1560" w:type="dxa"/>
            <w:tcBorders>
              <w:bottom w:val="single" w:sz="4" w:space="0" w:color="auto"/>
            </w:tcBorders>
            <w:shd w:val="clear" w:color="auto" w:fill="FFFFFF" w:themeFill="background1"/>
          </w:tcPr>
          <w:p w:rsidR="005A0216" w:rsidRPr="005A0216" w:rsidRDefault="005A0216" w:rsidP="005A0216">
            <w:pPr>
              <w:rPr>
                <w:rFonts w:ascii="Times New Roman" w:hAnsi="Times New Roman" w:cs="Times New Roman"/>
                <w:b/>
                <w:bCs/>
                <w:strike/>
                <w:sz w:val="20"/>
                <w:szCs w:val="20"/>
              </w:rPr>
            </w:pPr>
            <w:r>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5A0216" w:rsidRPr="00634FDA" w:rsidRDefault="005A0216" w:rsidP="005A0216">
            <w:pPr>
              <w:rPr>
                <w:rFonts w:ascii="Times New Roman" w:hAnsi="Times New Roman" w:cs="Times New Roman"/>
                <w:sz w:val="20"/>
                <w:szCs w:val="20"/>
              </w:rPr>
            </w:pPr>
            <w:r w:rsidRPr="00634FDA">
              <w:rPr>
                <w:rFonts w:ascii="Times New Roman" w:hAnsi="Times New Roman" w:cs="Times New Roman"/>
                <w:b/>
                <w:bCs/>
                <w:sz w:val="20"/>
                <w:szCs w:val="20"/>
              </w:rPr>
              <w:t>Liste des Crédits Projets</w:t>
            </w:r>
          </w:p>
        </w:tc>
        <w:tc>
          <w:tcPr>
            <w:tcW w:w="12332" w:type="dxa"/>
            <w:tcBorders>
              <w:bottom w:val="single" w:sz="4" w:space="0" w:color="auto"/>
            </w:tcBorders>
            <w:shd w:val="clear" w:color="auto" w:fill="FFFFFF" w:themeFill="background1"/>
          </w:tcPr>
          <w:p w:rsidR="005A0216" w:rsidRPr="005A0216" w:rsidRDefault="001350B9" w:rsidP="005A0216">
            <w:pPr>
              <w:pStyle w:val="Paragraphedeliste"/>
              <w:numPr>
                <w:ilvl w:val="0"/>
                <w:numId w:val="17"/>
              </w:numPr>
              <w:ind w:left="176" w:hanging="176"/>
              <w:jc w:val="both"/>
              <w:rPr>
                <w:rFonts w:ascii="Times New Roman" w:hAnsi="Times New Roman" w:cs="Times New Roman"/>
                <w:sz w:val="20"/>
                <w:szCs w:val="20"/>
              </w:rPr>
            </w:pPr>
            <w:hyperlink r:id="rId10" w:history="1">
              <w:r w:rsidR="005A0216" w:rsidRPr="005A0216">
                <w:rPr>
                  <w:rStyle w:val="Lienhypertexte"/>
                  <w:rFonts w:ascii="Times New Roman" w:hAnsi="Times New Roman" w:cs="Times New Roman"/>
                  <w:sz w:val="20"/>
                  <w:szCs w:val="20"/>
                </w:rPr>
                <w:t>CLIQUEZ ICI</w:t>
              </w:r>
            </w:hyperlink>
            <w:r w:rsidR="005A0216" w:rsidRPr="005A0216">
              <w:rPr>
                <w:rFonts w:ascii="Times New Roman" w:hAnsi="Times New Roman" w:cs="Times New Roman"/>
                <w:sz w:val="20"/>
                <w:szCs w:val="20"/>
              </w:rPr>
              <w:t xml:space="preserve"> pour consulter la liste des crédits projets mis en force entre octobre et mars 2018. </w:t>
            </w:r>
          </w:p>
        </w:tc>
      </w:tr>
      <w:tr w:rsidR="00E8740A" w:rsidRPr="00E81F6E" w:rsidTr="005A0216">
        <w:trPr>
          <w:trHeight w:val="435"/>
        </w:trPr>
        <w:tc>
          <w:tcPr>
            <w:tcW w:w="1560" w:type="dxa"/>
            <w:tcBorders>
              <w:bottom w:val="single" w:sz="4" w:space="0" w:color="auto"/>
            </w:tcBorders>
            <w:shd w:val="clear" w:color="auto" w:fill="FFFFFF" w:themeFill="background1"/>
          </w:tcPr>
          <w:p w:rsidR="00E8740A" w:rsidRDefault="00E8740A" w:rsidP="005A0216">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E8740A" w:rsidRPr="00634FDA" w:rsidRDefault="00E8740A" w:rsidP="00E8740A">
            <w:pPr>
              <w:rPr>
                <w:rFonts w:ascii="Times New Roman" w:hAnsi="Times New Roman" w:cs="Times New Roman"/>
                <w:b/>
                <w:bCs/>
                <w:sz w:val="20"/>
                <w:szCs w:val="20"/>
              </w:rPr>
            </w:pPr>
            <w:r w:rsidRPr="00634FDA">
              <w:rPr>
                <w:rFonts w:ascii="Times New Roman" w:hAnsi="Times New Roman" w:cs="Times New Roman"/>
                <w:b/>
                <w:bCs/>
                <w:sz w:val="20"/>
                <w:szCs w:val="20"/>
              </w:rPr>
              <w:t>MOBILITE BANCAIRE</w:t>
            </w:r>
          </w:p>
        </w:tc>
        <w:tc>
          <w:tcPr>
            <w:tcW w:w="12332" w:type="dxa"/>
            <w:tcBorders>
              <w:bottom w:val="single" w:sz="4" w:space="0" w:color="auto"/>
            </w:tcBorders>
            <w:shd w:val="clear" w:color="auto" w:fill="FFFFFF" w:themeFill="background1"/>
          </w:tcPr>
          <w:p w:rsidR="00E8740A" w:rsidRDefault="001350B9" w:rsidP="00E8740A">
            <w:pPr>
              <w:numPr>
                <w:ilvl w:val="0"/>
                <w:numId w:val="24"/>
              </w:numPr>
              <w:ind w:left="176" w:hanging="176"/>
              <w:contextualSpacing/>
              <w:jc w:val="both"/>
              <w:rPr>
                <w:rFonts w:ascii="Times New Roman" w:hAnsi="Times New Roman" w:cs="Times New Roman"/>
                <w:sz w:val="20"/>
                <w:szCs w:val="20"/>
                <w:lang w:eastAsia="fr-FR"/>
              </w:rPr>
            </w:pPr>
            <w:hyperlink r:id="rId11" w:history="1">
              <w:r w:rsidR="00E8740A">
                <w:rPr>
                  <w:rStyle w:val="Lienhypertexte"/>
                  <w:rFonts w:ascii="Times New Roman" w:hAnsi="Times New Roman" w:cs="Times New Roman"/>
                  <w:sz w:val="20"/>
                  <w:szCs w:val="20"/>
                  <w:lang w:eastAsia="fr-FR"/>
                </w:rPr>
                <w:t>CLIQUEZ ICI</w:t>
              </w:r>
            </w:hyperlink>
            <w:r w:rsidR="00E8740A">
              <w:rPr>
                <w:rStyle w:val="Lienhypertexte"/>
                <w:rFonts w:ascii="Times New Roman" w:hAnsi="Times New Roman" w:cs="Times New Roman"/>
                <w:sz w:val="20"/>
                <w:szCs w:val="20"/>
                <w:lang w:eastAsia="fr-FR"/>
              </w:rPr>
              <w:t xml:space="preserve"> </w:t>
            </w:r>
            <w:r w:rsidR="00E8740A">
              <w:rPr>
                <w:rFonts w:ascii="Times New Roman" w:hAnsi="Times New Roman" w:cs="Times New Roman"/>
                <w:sz w:val="20"/>
                <w:szCs w:val="20"/>
                <w:lang w:eastAsia="fr-FR"/>
              </w:rPr>
              <w:t xml:space="preserve">pour trouver la liste des dossiers </w:t>
            </w:r>
            <w:proofErr w:type="spellStart"/>
            <w:r w:rsidR="00E8740A">
              <w:rPr>
                <w:rFonts w:ascii="Times New Roman" w:hAnsi="Times New Roman" w:cs="Times New Roman"/>
                <w:sz w:val="20"/>
                <w:szCs w:val="20"/>
                <w:lang w:eastAsia="fr-FR"/>
              </w:rPr>
              <w:t>Domilis</w:t>
            </w:r>
            <w:proofErr w:type="spellEnd"/>
            <w:r w:rsidR="00E8740A">
              <w:rPr>
                <w:rFonts w:ascii="Times New Roman" w:hAnsi="Times New Roman" w:cs="Times New Roman"/>
                <w:sz w:val="20"/>
                <w:szCs w:val="20"/>
                <w:lang w:eastAsia="fr-FR"/>
              </w:rPr>
              <w:t xml:space="preserve"> à initier, qui sont pour l’heure en échec suite au rejet des mandats (volumétrie : 546 mandats au 9 avril 2018) </w:t>
            </w:r>
            <w:hyperlink r:id="rId12" w:history="1">
              <w:r w:rsidR="00E8740A">
                <w:rPr>
                  <w:rStyle w:val="Lienhypertexte"/>
                  <w:rFonts w:ascii="Times New Roman" w:hAnsi="Times New Roman" w:cs="Times New Roman"/>
                  <w:sz w:val="20"/>
                  <w:szCs w:val="20"/>
                  <w:lang w:eastAsia="fr-FR"/>
                </w:rPr>
                <w:t>CLIQUEZ ICI</w:t>
              </w:r>
            </w:hyperlink>
            <w:r w:rsidR="00E8740A">
              <w:rPr>
                <w:rFonts w:ascii="Times New Roman" w:hAnsi="Times New Roman" w:cs="Times New Roman"/>
                <w:sz w:val="20"/>
                <w:szCs w:val="20"/>
                <w:lang w:eastAsia="fr-FR"/>
              </w:rPr>
              <w:t xml:space="preserve"> pour accéder au mode opératoire.</w:t>
            </w:r>
          </w:p>
        </w:tc>
      </w:tr>
      <w:tr w:rsidR="00634FDA" w:rsidRPr="00E81F6E" w:rsidTr="005A0216">
        <w:trPr>
          <w:trHeight w:val="435"/>
        </w:trPr>
        <w:tc>
          <w:tcPr>
            <w:tcW w:w="1560"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color w:val="000000"/>
                <w:sz w:val="20"/>
                <w:szCs w:val="20"/>
              </w:rPr>
            </w:pPr>
            <w:r w:rsidRPr="00634FDA">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634FDA" w:rsidRPr="00634FDA" w:rsidRDefault="001350B9" w:rsidP="00634FDA">
            <w:pPr>
              <w:numPr>
                <w:ilvl w:val="0"/>
                <w:numId w:val="25"/>
              </w:numPr>
              <w:ind w:left="176" w:hanging="176"/>
              <w:contextualSpacing/>
              <w:jc w:val="both"/>
              <w:rPr>
                <w:rFonts w:ascii="Times New Roman" w:hAnsi="Times New Roman" w:cs="Times New Roman"/>
                <w:b/>
                <w:bCs/>
                <w:color w:val="000000"/>
                <w:sz w:val="20"/>
                <w:szCs w:val="20"/>
              </w:rPr>
            </w:pPr>
            <w:hyperlink r:id="rId13" w:history="1">
              <w:r w:rsidR="00634FDA" w:rsidRPr="00634FDA">
                <w:rPr>
                  <w:rStyle w:val="Lienhypertexte"/>
                  <w:rFonts w:ascii="Times New Roman" w:hAnsi="Times New Roman" w:cs="Times New Roman"/>
                  <w:sz w:val="20"/>
                  <w:szCs w:val="20"/>
                  <w:lang w:eastAsia="fr-FR"/>
                </w:rPr>
                <w:t>CLIQUEZ ICI</w:t>
              </w:r>
            </w:hyperlink>
            <w:r w:rsidR="00634FDA" w:rsidRPr="00634FDA">
              <w:rPr>
                <w:rFonts w:ascii="Times New Roman" w:hAnsi="Times New Roman" w:cs="Times New Roman"/>
                <w:color w:val="000000"/>
                <w:sz w:val="20"/>
                <w:szCs w:val="20"/>
                <w:lang w:eastAsia="fr-FR"/>
              </w:rPr>
              <w:t xml:space="preserve"> pour accéder à la liste des PEL potentiellement en non-respect arrêté au 26 mars 2018 qui seront clôturés à J+1 de la date anniversaire</w:t>
            </w:r>
            <w:r w:rsidR="00634FDA" w:rsidRPr="00634FDA">
              <w:rPr>
                <w:rFonts w:ascii="Times New Roman" w:hAnsi="Times New Roman" w:cs="Times New Roman"/>
                <w:color w:val="1F497D"/>
                <w:sz w:val="20"/>
                <w:szCs w:val="20"/>
                <w:lang w:eastAsia="fr-FR"/>
              </w:rPr>
              <w:t xml:space="preserve"> </w:t>
            </w:r>
            <w:r w:rsidR="00634FDA" w:rsidRPr="00634FDA">
              <w:rPr>
                <w:rFonts w:ascii="Times New Roman" w:hAnsi="Times New Roman" w:cs="Times New Roman"/>
                <w:color w:val="000000"/>
                <w:sz w:val="20"/>
                <w:szCs w:val="20"/>
                <w:lang w:eastAsia="fr-FR"/>
              </w:rPr>
              <w:t>(volumétrie 223 clients)</w:t>
            </w:r>
          </w:p>
        </w:tc>
      </w:tr>
      <w:tr w:rsidR="00634FDA" w:rsidRPr="00E81F6E" w:rsidTr="005A0216">
        <w:trPr>
          <w:trHeight w:val="435"/>
        </w:trPr>
        <w:tc>
          <w:tcPr>
            <w:tcW w:w="1560"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color w:val="000000"/>
                <w:sz w:val="20"/>
                <w:szCs w:val="20"/>
              </w:rPr>
            </w:pPr>
            <w:r w:rsidRPr="00634FDA">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634FDA" w:rsidRPr="00634FDA" w:rsidRDefault="001350B9" w:rsidP="00634FDA">
            <w:pPr>
              <w:numPr>
                <w:ilvl w:val="0"/>
                <w:numId w:val="25"/>
              </w:numPr>
              <w:ind w:left="176" w:hanging="176"/>
              <w:contextualSpacing/>
              <w:jc w:val="both"/>
              <w:rPr>
                <w:rFonts w:ascii="Times New Roman" w:hAnsi="Times New Roman" w:cs="Times New Roman"/>
                <w:color w:val="000000"/>
                <w:sz w:val="20"/>
                <w:szCs w:val="20"/>
                <w:lang w:eastAsia="fr-FR"/>
              </w:rPr>
            </w:pPr>
            <w:hyperlink r:id="rId14" w:history="1">
              <w:r w:rsidR="00634FDA" w:rsidRPr="00634FDA">
                <w:rPr>
                  <w:rStyle w:val="Lienhypertexte"/>
                  <w:rFonts w:ascii="Times New Roman" w:hAnsi="Times New Roman" w:cs="Times New Roman"/>
                  <w:sz w:val="20"/>
                  <w:szCs w:val="20"/>
                  <w:lang w:eastAsia="fr-FR"/>
                </w:rPr>
                <w:t>CLIQUEZ ICI</w:t>
              </w:r>
            </w:hyperlink>
            <w:r w:rsidR="00634FDA" w:rsidRPr="00634FDA">
              <w:rPr>
                <w:rFonts w:ascii="Times New Roman" w:hAnsi="Times New Roman" w:cs="Times New Roman"/>
                <w:color w:val="000000"/>
                <w:sz w:val="20"/>
                <w:szCs w:val="20"/>
                <w:lang w:eastAsia="fr-FR"/>
              </w:rPr>
              <w:t xml:space="preserve"> pour accéder au fichier Lutte anti-résiliation IARD arrêté au 26 mars 2018 (volumétrie 267 clients). </w:t>
            </w:r>
          </w:p>
        </w:tc>
      </w:tr>
      <w:tr w:rsidR="00634FDA" w:rsidRPr="00E81F6E" w:rsidTr="005A0216">
        <w:trPr>
          <w:trHeight w:val="435"/>
        </w:trPr>
        <w:tc>
          <w:tcPr>
            <w:tcW w:w="1560"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Com. DMA</w:t>
            </w:r>
          </w:p>
        </w:tc>
        <w:tc>
          <w:tcPr>
            <w:tcW w:w="1843"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634FDA" w:rsidRPr="00634FDA" w:rsidRDefault="001350B9" w:rsidP="00634FDA">
            <w:pPr>
              <w:numPr>
                <w:ilvl w:val="0"/>
                <w:numId w:val="25"/>
              </w:numPr>
              <w:ind w:left="176" w:hanging="176"/>
              <w:contextualSpacing/>
              <w:jc w:val="both"/>
              <w:rPr>
                <w:rFonts w:ascii="Times New Roman" w:hAnsi="Times New Roman" w:cs="Times New Roman"/>
                <w:color w:val="000000"/>
                <w:sz w:val="20"/>
                <w:szCs w:val="20"/>
                <w:lang w:eastAsia="fr-FR"/>
              </w:rPr>
            </w:pPr>
            <w:hyperlink r:id="rId15" w:history="1">
              <w:r w:rsidR="00634FDA" w:rsidRPr="00634FDA">
                <w:rPr>
                  <w:rStyle w:val="Lienhypertexte"/>
                  <w:rFonts w:ascii="Times New Roman" w:hAnsi="Times New Roman" w:cs="Times New Roman"/>
                  <w:color w:val="000000"/>
                  <w:sz w:val="20"/>
                  <w:szCs w:val="20"/>
                  <w:lang w:eastAsia="fr-FR"/>
                </w:rPr>
                <w:t>CLIQUEZ ICI</w:t>
              </w:r>
            </w:hyperlink>
            <w:r w:rsidR="00634FDA" w:rsidRPr="00634FDA">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634FDA" w:rsidRPr="00E81F6E" w:rsidTr="005A0216">
        <w:trPr>
          <w:trHeight w:val="435"/>
        </w:trPr>
        <w:tc>
          <w:tcPr>
            <w:tcW w:w="1560"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Com. DSB</w:t>
            </w:r>
          </w:p>
        </w:tc>
        <w:tc>
          <w:tcPr>
            <w:tcW w:w="1843" w:type="dxa"/>
            <w:tcBorders>
              <w:bottom w:val="single" w:sz="4" w:space="0" w:color="auto"/>
            </w:tcBorders>
            <w:shd w:val="clear" w:color="auto" w:fill="FFFFFF" w:themeFill="background1"/>
          </w:tcPr>
          <w:p w:rsidR="00634FDA" w:rsidRPr="00634FDA" w:rsidRDefault="00634FDA">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634FDA" w:rsidRPr="00634FDA" w:rsidRDefault="00634FDA" w:rsidP="00634FDA">
            <w:pPr>
              <w:numPr>
                <w:ilvl w:val="0"/>
                <w:numId w:val="25"/>
              </w:numPr>
              <w:ind w:left="176" w:hanging="176"/>
              <w:contextualSpacing/>
              <w:jc w:val="both"/>
              <w:rPr>
                <w:rFonts w:ascii="Times New Roman" w:hAnsi="Times New Roman" w:cs="Times New Roman"/>
                <w:color w:val="000000"/>
                <w:sz w:val="20"/>
                <w:szCs w:val="20"/>
              </w:rPr>
            </w:pPr>
            <w:r w:rsidRPr="00634FDA">
              <w:rPr>
                <w:rFonts w:ascii="Times New Roman" w:hAnsi="Times New Roman" w:cs="Times New Roman"/>
                <w:color w:val="000000"/>
                <w:sz w:val="20"/>
                <w:szCs w:val="20"/>
                <w:lang w:eastAsia="fr-FR"/>
              </w:rPr>
              <w:t xml:space="preserve">Comme indiqué dans la note </w:t>
            </w:r>
            <w:hyperlink r:id="rId16" w:history="1">
              <w:r w:rsidRPr="00634FDA">
                <w:rPr>
                  <w:rStyle w:val="Lienhypertexte"/>
                  <w:rFonts w:ascii="Times New Roman" w:hAnsi="Times New Roman" w:cs="Times New Roman"/>
                  <w:color w:val="000000"/>
                  <w:sz w:val="20"/>
                  <w:szCs w:val="20"/>
                  <w:lang w:eastAsia="fr-FR"/>
                </w:rPr>
                <w:t>DSB INF17/05</w:t>
              </w:r>
            </w:hyperlink>
            <w:r w:rsidRPr="00634FDA">
              <w:rPr>
                <w:rFonts w:ascii="Times New Roman" w:hAnsi="Times New Roman" w:cs="Times New Roman"/>
                <w:color w:val="000000"/>
                <w:sz w:val="20"/>
                <w:szCs w:val="20"/>
                <w:lang w:eastAsia="fr-FR"/>
              </w:rPr>
              <w:t xml:space="preserve">, vous trouverez la liste des Livrets A ouverts en février suite à clôture à la concurrence en </w:t>
            </w:r>
            <w:r w:rsidRPr="00634FDA">
              <w:rPr>
                <w:rFonts w:ascii="Times New Roman" w:hAnsi="Times New Roman" w:cs="Times New Roman"/>
                <w:sz w:val="20"/>
                <w:szCs w:val="20"/>
                <w:lang w:eastAsia="fr-FR"/>
              </w:rPr>
              <w:t xml:space="preserve">cliquant </w:t>
            </w:r>
            <w:hyperlink r:id="rId17" w:history="1">
              <w:r w:rsidRPr="00634FDA">
                <w:rPr>
                  <w:rStyle w:val="Lienhypertexte"/>
                  <w:rFonts w:ascii="Times New Roman" w:hAnsi="Times New Roman" w:cs="Times New Roman"/>
                  <w:sz w:val="20"/>
                  <w:szCs w:val="20"/>
                  <w:lang w:eastAsia="fr-FR"/>
                </w:rPr>
                <w:t>ici</w:t>
              </w:r>
            </w:hyperlink>
            <w:r w:rsidRPr="00634FDA">
              <w:rPr>
                <w:rFonts w:ascii="Times New Roman" w:hAnsi="Times New Roman" w:cs="Times New Roman"/>
                <w:color w:val="000000"/>
                <w:sz w:val="20"/>
                <w:szCs w:val="20"/>
                <w:lang w:eastAsia="fr-FR"/>
              </w:rPr>
              <w:t xml:space="preserve"> (825 clients)</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AF3BE3" w:rsidRPr="00E81F6E" w:rsidTr="00AF3BE3">
        <w:trPr>
          <w:trHeight w:val="248"/>
        </w:trPr>
        <w:tc>
          <w:tcPr>
            <w:tcW w:w="15735" w:type="dxa"/>
            <w:gridSpan w:val="3"/>
            <w:tcBorders>
              <w:bottom w:val="single" w:sz="4" w:space="0" w:color="auto"/>
            </w:tcBorders>
            <w:shd w:val="pct20" w:color="auto" w:fill="auto"/>
          </w:tcPr>
          <w:p w:rsidR="00AF3BE3" w:rsidRPr="00AF3BE3" w:rsidRDefault="00AF3BE3" w:rsidP="00AF3BE3">
            <w:pPr>
              <w:pStyle w:val="wordsection1"/>
              <w:spacing w:before="0" w:beforeAutospacing="0" w:after="0" w:afterAutospacing="0"/>
              <w:jc w:val="center"/>
              <w:rPr>
                <w:b/>
                <w:sz w:val="20"/>
                <w:szCs w:val="20"/>
                <w:lang w:eastAsia="en-US"/>
              </w:rPr>
            </w:pPr>
            <w:r w:rsidRPr="00AF3BE3">
              <w:rPr>
                <w:b/>
                <w:sz w:val="20"/>
                <w:szCs w:val="20"/>
                <w:lang w:eastAsia="en-US"/>
              </w:rPr>
              <w:t>Epargne</w:t>
            </w:r>
          </w:p>
        </w:tc>
      </w:tr>
      <w:tr w:rsidR="004A53BF" w:rsidRPr="00E81F6E" w:rsidTr="00AF3BE3">
        <w:trPr>
          <w:trHeight w:val="248"/>
        </w:trPr>
        <w:tc>
          <w:tcPr>
            <w:tcW w:w="1560" w:type="dxa"/>
            <w:tcBorders>
              <w:bottom w:val="single" w:sz="4" w:space="0" w:color="auto"/>
            </w:tcBorders>
          </w:tcPr>
          <w:p w:rsidR="004A53BF" w:rsidRPr="003139DE" w:rsidRDefault="004A53BF">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4A53BF" w:rsidRDefault="004A53BF">
            <w:pPr>
              <w:rPr>
                <w:rFonts w:ascii="Calibri" w:hAnsi="Calibri" w:cs="Calibri"/>
                <w:highlight w:val="yellow"/>
              </w:rPr>
            </w:pPr>
            <w:r>
              <w:rPr>
                <w:rFonts w:ascii="Times New Roman" w:hAnsi="Times New Roman" w:cs="Times New Roman"/>
                <w:b/>
                <w:bCs/>
                <w:color w:val="000000"/>
                <w:sz w:val="20"/>
                <w:szCs w:val="20"/>
              </w:rPr>
              <w:t>LEP à justifier pour l’année 2017</w:t>
            </w:r>
          </w:p>
        </w:tc>
        <w:tc>
          <w:tcPr>
            <w:tcW w:w="12332" w:type="dxa"/>
            <w:tcBorders>
              <w:bottom w:val="single" w:sz="4" w:space="0" w:color="auto"/>
            </w:tcBorders>
            <w:shd w:val="clear" w:color="auto" w:fill="auto"/>
          </w:tcPr>
          <w:p w:rsidR="004A53BF" w:rsidRPr="004A53BF" w:rsidRDefault="004A53BF" w:rsidP="004A53BF">
            <w:pPr>
              <w:pStyle w:val="Paragraphedeliste"/>
              <w:numPr>
                <w:ilvl w:val="0"/>
                <w:numId w:val="20"/>
              </w:numPr>
              <w:ind w:left="176" w:hanging="176"/>
              <w:contextualSpacing w:val="0"/>
              <w:jc w:val="both"/>
              <w:rPr>
                <w:rFonts w:ascii="Times New Roman" w:hAnsi="Times New Roman" w:cs="Times New Roman"/>
                <w:color w:val="000000"/>
                <w:sz w:val="20"/>
                <w:szCs w:val="20"/>
                <w:lang w:eastAsia="fr-FR"/>
              </w:rPr>
            </w:pPr>
            <w:r w:rsidRPr="004A53BF">
              <w:rPr>
                <w:rFonts w:ascii="Times New Roman" w:hAnsi="Times New Roman" w:cs="Times New Roman"/>
                <w:color w:val="000000"/>
                <w:sz w:val="20"/>
                <w:szCs w:val="20"/>
                <w:lang w:eastAsia="fr-FR"/>
              </w:rPr>
              <w:t>La clôture réglementaire des LEP en fin de droit a été réalisée le 03/04/2018 et a impacté les résultats commerciaux. Ainsi</w:t>
            </w:r>
            <w:r>
              <w:rPr>
                <w:rFonts w:ascii="Times New Roman" w:hAnsi="Times New Roman" w:cs="Times New Roman"/>
                <w:color w:val="000000"/>
                <w:sz w:val="20"/>
                <w:szCs w:val="20"/>
                <w:lang w:eastAsia="fr-FR"/>
              </w:rPr>
              <w:t>,</w:t>
            </w:r>
            <w:r w:rsidRPr="004A53BF">
              <w:rPr>
                <w:rFonts w:ascii="Times New Roman" w:hAnsi="Times New Roman" w:cs="Times New Roman"/>
                <w:color w:val="000000"/>
                <w:sz w:val="20"/>
                <w:szCs w:val="20"/>
                <w:lang w:eastAsia="fr-FR"/>
              </w:rPr>
              <w:t xml:space="preserve"> 5 538 comptes ont été clôturés pour 11 639 M€</w:t>
            </w:r>
            <w:r w:rsidRPr="004A53BF">
              <w:rPr>
                <w:rFonts w:ascii="Times New Roman" w:hAnsi="Times New Roman" w:cs="Times New Roman"/>
                <w:color w:val="1F497D"/>
                <w:sz w:val="20"/>
                <w:szCs w:val="20"/>
                <w:lang w:eastAsia="fr-FR"/>
              </w:rPr>
              <w:t xml:space="preserve">. </w:t>
            </w:r>
            <w:hyperlink r:id="rId18" w:history="1">
              <w:r w:rsidRPr="00E8740A">
                <w:rPr>
                  <w:rStyle w:val="Lienhypertexte"/>
                  <w:rFonts w:ascii="Times New Roman" w:hAnsi="Times New Roman" w:cs="Times New Roman"/>
                  <w:sz w:val="20"/>
                  <w:szCs w:val="20"/>
                  <w:lang w:eastAsia="fr-FR"/>
                </w:rPr>
                <w:t>Cliquez ici</w:t>
              </w:r>
            </w:hyperlink>
            <w:r w:rsidRPr="004A53BF">
              <w:rPr>
                <w:rFonts w:ascii="Times New Roman" w:hAnsi="Times New Roman" w:cs="Times New Roman"/>
                <w:color w:val="000000"/>
                <w:sz w:val="20"/>
                <w:szCs w:val="20"/>
                <w:lang w:eastAsia="fr-FR"/>
              </w:rPr>
              <w:t xml:space="preserve"> pour retrouver les clients concernés. </w:t>
            </w:r>
          </w:p>
          <w:p w:rsidR="004A53BF" w:rsidRPr="004A53BF" w:rsidRDefault="004A53BF" w:rsidP="004A53BF">
            <w:pPr>
              <w:pStyle w:val="Paragraphedeliste"/>
              <w:numPr>
                <w:ilvl w:val="0"/>
                <w:numId w:val="20"/>
              </w:numPr>
              <w:ind w:left="176" w:hanging="176"/>
              <w:contextualSpacing w:val="0"/>
              <w:jc w:val="both"/>
              <w:rPr>
                <w:color w:val="1F497D"/>
                <w:sz w:val="20"/>
                <w:szCs w:val="20"/>
                <w:lang w:eastAsia="fr-FR"/>
              </w:rPr>
            </w:pPr>
            <w:r w:rsidRPr="004A53BF">
              <w:rPr>
                <w:rFonts w:ascii="Times New Roman" w:hAnsi="Times New Roman" w:cs="Times New Roman"/>
                <w:color w:val="000000"/>
                <w:sz w:val="20"/>
                <w:szCs w:val="20"/>
                <w:lang w:eastAsia="fr-FR"/>
              </w:rPr>
              <w:t>Les fonds versés sur les comptes supports vous offre un excellent prétexte et une belle opportunité afin de réaliser un rendez-vous « Bilan Epargne ».</w:t>
            </w:r>
          </w:p>
        </w:tc>
      </w:tr>
      <w:tr w:rsidR="00B26EA4" w:rsidRPr="00E81F6E" w:rsidTr="00AF3BE3">
        <w:trPr>
          <w:trHeight w:val="248"/>
        </w:trPr>
        <w:tc>
          <w:tcPr>
            <w:tcW w:w="1560" w:type="dxa"/>
            <w:tcBorders>
              <w:bottom w:val="single" w:sz="4" w:space="0" w:color="auto"/>
            </w:tcBorders>
          </w:tcPr>
          <w:p w:rsidR="00B26EA4" w:rsidRDefault="00B26EA4">
            <w:r w:rsidRPr="00D97BF3">
              <w:rPr>
                <w:rFonts w:ascii="Times New Roman" w:hAnsi="Times New Roman" w:cs="Times New Roman"/>
                <w:b/>
                <w:bCs/>
                <w:sz w:val="20"/>
                <w:szCs w:val="20"/>
              </w:rPr>
              <w:t>Com. DMA</w:t>
            </w:r>
          </w:p>
        </w:tc>
        <w:tc>
          <w:tcPr>
            <w:tcW w:w="1843" w:type="dxa"/>
            <w:tcBorders>
              <w:bottom w:val="single" w:sz="4" w:space="0" w:color="auto"/>
            </w:tcBorders>
          </w:tcPr>
          <w:p w:rsidR="00B26EA4" w:rsidRPr="00B26EA4" w:rsidRDefault="00B26EA4">
            <w:pPr>
              <w:pStyle w:val="wordsection1"/>
              <w:rPr>
                <w:b/>
                <w:bCs/>
                <w:sz w:val="20"/>
                <w:szCs w:val="20"/>
                <w:lang w:eastAsia="en-US"/>
              </w:rPr>
            </w:pPr>
            <w:r w:rsidRPr="00B26EA4">
              <w:rPr>
                <w:b/>
                <w:bCs/>
                <w:sz w:val="20"/>
                <w:szCs w:val="20"/>
                <w:lang w:eastAsia="en-US"/>
              </w:rPr>
              <w:t>Parcours client MIF II – Vidéo Portefeuilles Modèles</w:t>
            </w:r>
          </w:p>
        </w:tc>
        <w:tc>
          <w:tcPr>
            <w:tcW w:w="12332" w:type="dxa"/>
            <w:tcBorders>
              <w:bottom w:val="single" w:sz="4" w:space="0" w:color="auto"/>
            </w:tcBorders>
            <w:shd w:val="clear" w:color="auto" w:fill="auto"/>
          </w:tcPr>
          <w:p w:rsidR="00B26EA4" w:rsidRPr="00F13353" w:rsidRDefault="00B26EA4" w:rsidP="00F13353">
            <w:pPr>
              <w:pStyle w:val="wordsection1"/>
              <w:numPr>
                <w:ilvl w:val="0"/>
                <w:numId w:val="21"/>
              </w:numPr>
              <w:ind w:left="187" w:hanging="187"/>
              <w:jc w:val="both"/>
              <w:rPr>
                <w:sz w:val="20"/>
                <w:szCs w:val="20"/>
              </w:rPr>
            </w:pPr>
            <w:r w:rsidRPr="00F13353">
              <w:rPr>
                <w:sz w:val="20"/>
                <w:szCs w:val="20"/>
              </w:rPr>
              <w:t>Dans le cadre des parcours client MIF II, nous vous invitons à visionner cette vidéo</w:t>
            </w:r>
            <w:r w:rsidR="000648AD" w:rsidRPr="00F13353">
              <w:rPr>
                <w:sz w:val="20"/>
                <w:szCs w:val="20"/>
              </w:rPr>
              <w:t>,</w:t>
            </w:r>
            <w:r w:rsidR="00C4150D" w:rsidRPr="00F13353">
              <w:rPr>
                <w:sz w:val="20"/>
                <w:szCs w:val="20"/>
              </w:rPr>
              <w:t xml:space="preserve"> </w:t>
            </w:r>
            <w:r w:rsidR="000648AD" w:rsidRPr="00F13353">
              <w:rPr>
                <w:sz w:val="20"/>
                <w:szCs w:val="20"/>
              </w:rPr>
              <w:t xml:space="preserve">en </w:t>
            </w:r>
            <w:hyperlink r:id="rId19" w:history="1">
              <w:r w:rsidR="000648AD" w:rsidRPr="00F13353">
                <w:rPr>
                  <w:rStyle w:val="Lienhypertexte"/>
                  <w:sz w:val="20"/>
                  <w:szCs w:val="20"/>
                </w:rPr>
                <w:t>cliquant ici</w:t>
              </w:r>
            </w:hyperlink>
            <w:r w:rsidR="000648AD" w:rsidRPr="00F13353">
              <w:rPr>
                <w:sz w:val="20"/>
                <w:szCs w:val="20"/>
              </w:rPr>
              <w:t xml:space="preserve">, </w:t>
            </w:r>
            <w:r w:rsidRPr="00F13353">
              <w:rPr>
                <w:sz w:val="20"/>
                <w:szCs w:val="20"/>
              </w:rPr>
              <w:t>qui vous permettra de découvrir les éléments clés des portefeuilles modèles pour la période transitoire avant l’arrivée de l’outil LEA. 4 min chrono pour se familiariser de manière simple et péd</w:t>
            </w:r>
            <w:r w:rsidR="000648AD" w:rsidRPr="00F13353">
              <w:rPr>
                <w:sz w:val="20"/>
                <w:szCs w:val="20"/>
              </w:rPr>
              <w:t>agogique à ces nouveaux outils !</w:t>
            </w:r>
          </w:p>
          <w:p w:rsidR="00B26EA4" w:rsidRPr="00F13353" w:rsidRDefault="00B26EA4" w:rsidP="00F13353">
            <w:pPr>
              <w:pStyle w:val="wordsection1"/>
              <w:numPr>
                <w:ilvl w:val="0"/>
                <w:numId w:val="21"/>
              </w:numPr>
              <w:spacing w:before="0" w:beforeAutospacing="0" w:after="0" w:afterAutospacing="0"/>
              <w:ind w:left="187" w:hanging="187"/>
              <w:jc w:val="both"/>
              <w:rPr>
                <w:sz w:val="20"/>
                <w:szCs w:val="20"/>
              </w:rPr>
            </w:pPr>
            <w:r w:rsidRPr="00F13353">
              <w:rPr>
                <w:sz w:val="20"/>
                <w:szCs w:val="20"/>
              </w:rPr>
              <w:t xml:space="preserve">Vous y retrouverez : </w:t>
            </w:r>
          </w:p>
          <w:p w:rsidR="00B26EA4" w:rsidRPr="00F13353" w:rsidRDefault="00B26EA4" w:rsidP="00F13353">
            <w:pPr>
              <w:pStyle w:val="Paragraphedeliste"/>
              <w:numPr>
                <w:ilvl w:val="1"/>
                <w:numId w:val="19"/>
              </w:numPr>
              <w:ind w:left="742" w:hanging="425"/>
              <w:contextualSpacing w:val="0"/>
              <w:jc w:val="both"/>
              <w:rPr>
                <w:rFonts w:ascii="Times New Roman" w:hAnsi="Times New Roman" w:cs="Times New Roman"/>
                <w:sz w:val="20"/>
                <w:szCs w:val="20"/>
              </w:rPr>
            </w:pPr>
            <w:r w:rsidRPr="00F13353">
              <w:rPr>
                <w:rFonts w:ascii="Times New Roman" w:hAnsi="Times New Roman" w:cs="Times New Roman"/>
                <w:sz w:val="20"/>
                <w:szCs w:val="20"/>
              </w:rPr>
              <w:t>Les éléments sur la nouvelle règlementation</w:t>
            </w:r>
          </w:p>
          <w:p w:rsidR="00B26EA4" w:rsidRPr="00F13353" w:rsidRDefault="00B26EA4" w:rsidP="00F13353">
            <w:pPr>
              <w:pStyle w:val="Paragraphedeliste"/>
              <w:numPr>
                <w:ilvl w:val="1"/>
                <w:numId w:val="19"/>
              </w:numPr>
              <w:ind w:left="742" w:hanging="425"/>
              <w:contextualSpacing w:val="0"/>
              <w:jc w:val="both"/>
              <w:rPr>
                <w:rFonts w:ascii="Times New Roman" w:hAnsi="Times New Roman" w:cs="Times New Roman"/>
                <w:sz w:val="20"/>
                <w:szCs w:val="20"/>
              </w:rPr>
            </w:pPr>
            <w:r w:rsidRPr="00F13353">
              <w:rPr>
                <w:rFonts w:ascii="Times New Roman" w:hAnsi="Times New Roman" w:cs="Times New Roman"/>
                <w:sz w:val="20"/>
                <w:szCs w:val="20"/>
              </w:rPr>
              <w:t>Le nouveau parcours client</w:t>
            </w:r>
          </w:p>
          <w:p w:rsidR="00B26EA4" w:rsidRPr="00F13353" w:rsidRDefault="00B26EA4" w:rsidP="00F13353">
            <w:pPr>
              <w:pStyle w:val="Paragraphedeliste"/>
              <w:numPr>
                <w:ilvl w:val="1"/>
                <w:numId w:val="19"/>
              </w:numPr>
              <w:ind w:left="742" w:hanging="425"/>
              <w:contextualSpacing w:val="0"/>
              <w:jc w:val="both"/>
              <w:rPr>
                <w:rFonts w:ascii="Times New Roman" w:hAnsi="Times New Roman" w:cs="Times New Roman"/>
                <w:sz w:val="20"/>
                <w:szCs w:val="20"/>
              </w:rPr>
            </w:pPr>
            <w:r w:rsidRPr="00F13353">
              <w:rPr>
                <w:rFonts w:ascii="Times New Roman" w:hAnsi="Times New Roman" w:cs="Times New Roman"/>
                <w:sz w:val="20"/>
                <w:szCs w:val="20"/>
              </w:rPr>
              <w:t>La définition des profils de risque</w:t>
            </w:r>
          </w:p>
          <w:p w:rsidR="00B26EA4" w:rsidRPr="00F13353" w:rsidRDefault="00B26EA4" w:rsidP="00F13353">
            <w:pPr>
              <w:pStyle w:val="Paragraphedeliste"/>
              <w:numPr>
                <w:ilvl w:val="1"/>
                <w:numId w:val="19"/>
              </w:numPr>
              <w:ind w:left="742" w:hanging="425"/>
              <w:contextualSpacing w:val="0"/>
              <w:jc w:val="both"/>
              <w:rPr>
                <w:rFonts w:ascii="Times New Roman" w:hAnsi="Times New Roman" w:cs="Times New Roman"/>
                <w:sz w:val="20"/>
                <w:szCs w:val="20"/>
              </w:rPr>
            </w:pPr>
            <w:r w:rsidRPr="00F13353">
              <w:rPr>
                <w:rFonts w:ascii="Times New Roman" w:hAnsi="Times New Roman" w:cs="Times New Roman"/>
                <w:sz w:val="20"/>
                <w:szCs w:val="20"/>
              </w:rPr>
              <w:t xml:space="preserve">Les portefeuilles modèles proposés en fonction de l’enveloppe fiscale choisie </w:t>
            </w:r>
          </w:p>
          <w:p w:rsidR="00B26EA4" w:rsidRPr="00F13353" w:rsidRDefault="00B26EA4" w:rsidP="00F13353">
            <w:pPr>
              <w:pStyle w:val="Paragraphedeliste"/>
              <w:numPr>
                <w:ilvl w:val="1"/>
                <w:numId w:val="19"/>
              </w:numPr>
              <w:ind w:left="742" w:hanging="425"/>
              <w:contextualSpacing w:val="0"/>
              <w:jc w:val="both"/>
              <w:rPr>
                <w:rFonts w:ascii="Times New Roman" w:hAnsi="Times New Roman" w:cs="Times New Roman"/>
                <w:sz w:val="20"/>
                <w:szCs w:val="20"/>
              </w:rPr>
            </w:pPr>
            <w:r w:rsidRPr="00F13353">
              <w:rPr>
                <w:rFonts w:ascii="Times New Roman" w:hAnsi="Times New Roman" w:cs="Times New Roman"/>
                <w:sz w:val="20"/>
                <w:szCs w:val="20"/>
              </w:rPr>
              <w:t>Les atouts</w:t>
            </w:r>
          </w:p>
          <w:p w:rsidR="00B26EA4" w:rsidRPr="00F13353" w:rsidRDefault="00B26EA4" w:rsidP="00F13353">
            <w:pPr>
              <w:pStyle w:val="Paragraphedeliste"/>
              <w:numPr>
                <w:ilvl w:val="1"/>
                <w:numId w:val="19"/>
              </w:numPr>
              <w:ind w:left="742" w:hanging="425"/>
              <w:contextualSpacing w:val="0"/>
              <w:jc w:val="both"/>
              <w:rPr>
                <w:rFonts w:ascii="Times New Roman" w:hAnsi="Times New Roman" w:cs="Times New Roman"/>
                <w:sz w:val="20"/>
                <w:szCs w:val="20"/>
              </w:rPr>
            </w:pPr>
            <w:r w:rsidRPr="00F13353">
              <w:rPr>
                <w:rFonts w:ascii="Times New Roman" w:hAnsi="Times New Roman" w:cs="Times New Roman"/>
                <w:sz w:val="20"/>
                <w:szCs w:val="20"/>
              </w:rPr>
              <w:t>Le dispositif existant</w:t>
            </w:r>
          </w:p>
          <w:p w:rsidR="00B26EA4" w:rsidRPr="00F13353" w:rsidRDefault="00B26EA4" w:rsidP="00F13353">
            <w:pPr>
              <w:pStyle w:val="wordsection1"/>
              <w:numPr>
                <w:ilvl w:val="0"/>
                <w:numId w:val="21"/>
              </w:numPr>
              <w:spacing w:before="0" w:beforeAutospacing="0" w:after="0" w:afterAutospacing="0"/>
              <w:ind w:left="187" w:hanging="187"/>
              <w:jc w:val="both"/>
              <w:rPr>
                <w:sz w:val="20"/>
                <w:szCs w:val="20"/>
              </w:rPr>
            </w:pPr>
            <w:r w:rsidRPr="00F13353">
              <w:rPr>
                <w:sz w:val="20"/>
                <w:szCs w:val="20"/>
              </w:rPr>
              <w:t xml:space="preserve">Pour rappel, vous trouverez dans la Rubrique des Commerciaux, l’ensemble des éléments concernant le Parcours Client MIF II en </w:t>
            </w:r>
            <w:hyperlink r:id="rId20" w:history="1">
              <w:r w:rsidRPr="00F13353">
                <w:rPr>
                  <w:rStyle w:val="Lienhypertexte"/>
                  <w:sz w:val="20"/>
                  <w:szCs w:val="20"/>
                </w:rPr>
                <w:t>cliquant ici.</w:t>
              </w:r>
            </w:hyperlink>
          </w:p>
        </w:tc>
      </w:tr>
      <w:tr w:rsidR="00B26EA4" w:rsidRPr="00E81F6E" w:rsidTr="000648AD">
        <w:trPr>
          <w:trHeight w:val="1836"/>
        </w:trPr>
        <w:tc>
          <w:tcPr>
            <w:tcW w:w="1560" w:type="dxa"/>
            <w:tcBorders>
              <w:bottom w:val="single" w:sz="4" w:space="0" w:color="auto"/>
            </w:tcBorders>
          </w:tcPr>
          <w:p w:rsidR="00B26EA4" w:rsidRDefault="00B26EA4">
            <w:r w:rsidRPr="00D97BF3">
              <w:rPr>
                <w:rFonts w:ascii="Times New Roman" w:hAnsi="Times New Roman" w:cs="Times New Roman"/>
                <w:b/>
                <w:bCs/>
                <w:sz w:val="20"/>
                <w:szCs w:val="20"/>
              </w:rPr>
              <w:t>Com. DMA</w:t>
            </w:r>
          </w:p>
        </w:tc>
        <w:tc>
          <w:tcPr>
            <w:tcW w:w="1843" w:type="dxa"/>
            <w:tcBorders>
              <w:bottom w:val="single" w:sz="4" w:space="0" w:color="auto"/>
            </w:tcBorders>
          </w:tcPr>
          <w:p w:rsidR="00B26EA4" w:rsidRPr="00B26EA4" w:rsidRDefault="00B26EA4" w:rsidP="000648AD">
            <w:pPr>
              <w:pStyle w:val="wordsection1"/>
              <w:spacing w:before="0" w:beforeAutospacing="0" w:after="0" w:afterAutospacing="0"/>
              <w:rPr>
                <w:b/>
                <w:bCs/>
                <w:sz w:val="20"/>
                <w:szCs w:val="20"/>
                <w:lang w:eastAsia="en-US"/>
              </w:rPr>
            </w:pPr>
            <w:r w:rsidRPr="00B26EA4">
              <w:rPr>
                <w:b/>
                <w:bCs/>
                <w:sz w:val="20"/>
                <w:szCs w:val="20"/>
                <w:lang w:eastAsia="en-US"/>
              </w:rPr>
              <w:t>Identifiants MIF II – Courrier à destination des clients étrangers</w:t>
            </w:r>
          </w:p>
        </w:tc>
        <w:tc>
          <w:tcPr>
            <w:tcW w:w="12332" w:type="dxa"/>
            <w:tcBorders>
              <w:bottom w:val="single" w:sz="4" w:space="0" w:color="auto"/>
            </w:tcBorders>
            <w:shd w:val="clear" w:color="auto" w:fill="auto"/>
          </w:tcPr>
          <w:p w:rsidR="00B26EA4" w:rsidRPr="00F13353" w:rsidRDefault="00B26EA4" w:rsidP="00F13353">
            <w:pPr>
              <w:pStyle w:val="wordsection1"/>
              <w:numPr>
                <w:ilvl w:val="0"/>
                <w:numId w:val="21"/>
              </w:numPr>
              <w:spacing w:before="0" w:beforeAutospacing="0" w:after="0" w:afterAutospacing="0"/>
              <w:ind w:left="187" w:hanging="187"/>
              <w:jc w:val="both"/>
              <w:rPr>
                <w:sz w:val="20"/>
                <w:szCs w:val="20"/>
              </w:rPr>
            </w:pPr>
            <w:r w:rsidRPr="00F13353">
              <w:rPr>
                <w:sz w:val="20"/>
                <w:szCs w:val="20"/>
              </w:rPr>
              <w:t>Depuis le 3 janvier 2018, toutes les transactions boursières doivent être déclarées par les intermédiaires financiers. Pour cela, chaque client doit disposer d’un numéro d’identifiant (ID MIF).</w:t>
            </w:r>
          </w:p>
          <w:p w:rsidR="00B26EA4" w:rsidRPr="00F13353" w:rsidRDefault="00B26EA4" w:rsidP="00F13353">
            <w:pPr>
              <w:pStyle w:val="wordsection1"/>
              <w:numPr>
                <w:ilvl w:val="0"/>
                <w:numId w:val="21"/>
              </w:numPr>
              <w:spacing w:before="0" w:beforeAutospacing="0" w:after="0" w:afterAutospacing="0"/>
              <w:ind w:left="187" w:hanging="187"/>
              <w:jc w:val="both"/>
              <w:rPr>
                <w:sz w:val="20"/>
                <w:szCs w:val="20"/>
              </w:rPr>
            </w:pPr>
            <w:r w:rsidRPr="00F13353">
              <w:rPr>
                <w:sz w:val="20"/>
                <w:szCs w:val="20"/>
              </w:rPr>
              <w:t>Certains de nos clients étrangers résidant en France ne disposent pas d’identifiant MIF et doivent nous faire parvenir un numéro d’identification (propre à chaque pays) afin de pouvoir réaliser des transactions boursières.</w:t>
            </w:r>
          </w:p>
          <w:p w:rsidR="00B26EA4" w:rsidRPr="00F13353" w:rsidRDefault="00B26EA4" w:rsidP="00F13353">
            <w:pPr>
              <w:pStyle w:val="wordsection1"/>
              <w:numPr>
                <w:ilvl w:val="0"/>
                <w:numId w:val="21"/>
              </w:numPr>
              <w:spacing w:before="0" w:beforeAutospacing="0" w:after="0" w:afterAutospacing="0"/>
              <w:ind w:left="187" w:hanging="187"/>
              <w:jc w:val="both"/>
              <w:rPr>
                <w:sz w:val="20"/>
                <w:szCs w:val="20"/>
              </w:rPr>
            </w:pPr>
            <w:r w:rsidRPr="00F13353">
              <w:rPr>
                <w:sz w:val="20"/>
                <w:szCs w:val="20"/>
              </w:rPr>
              <w:t>Un courrier demandant cet identifiant sera transmis prochainement à nos 2 400 clients étrangers résidant en France titulaires d’un compte titres ordinaire ou PEA (30, 33, 34, 36)</w:t>
            </w:r>
            <w:r w:rsidR="00C4150D" w:rsidRPr="00F13353">
              <w:rPr>
                <w:sz w:val="20"/>
                <w:szCs w:val="20"/>
              </w:rPr>
              <w:t xml:space="preserve"> </w:t>
            </w:r>
            <w:r w:rsidRPr="00F13353">
              <w:rPr>
                <w:sz w:val="20"/>
                <w:szCs w:val="20"/>
              </w:rPr>
              <w:t xml:space="preserve">(hors Estonie, Espagne, Islande, Italie, Malte et Pologne, clients pour lesquels nous avons déjà transmis un courrier début janvier- </w:t>
            </w:r>
            <w:proofErr w:type="spellStart"/>
            <w:r w:rsidRPr="00F13353">
              <w:rPr>
                <w:sz w:val="20"/>
                <w:szCs w:val="20"/>
              </w:rPr>
              <w:t>cf</w:t>
            </w:r>
            <w:proofErr w:type="spellEnd"/>
            <w:r w:rsidRPr="00F13353">
              <w:rPr>
                <w:sz w:val="20"/>
                <w:szCs w:val="20"/>
              </w:rPr>
              <w:t xml:space="preserve"> </w:t>
            </w:r>
            <w:proofErr w:type="spellStart"/>
            <w:r w:rsidRPr="00F13353">
              <w:rPr>
                <w:sz w:val="20"/>
                <w:szCs w:val="20"/>
              </w:rPr>
              <w:t>brief</w:t>
            </w:r>
            <w:proofErr w:type="spellEnd"/>
            <w:r w:rsidRPr="00F13353">
              <w:rPr>
                <w:sz w:val="20"/>
                <w:szCs w:val="20"/>
              </w:rPr>
              <w:t xml:space="preserve"> </w:t>
            </w:r>
            <w:hyperlink r:id="rId21" w:history="1">
              <w:r w:rsidRPr="00F13353">
                <w:rPr>
                  <w:rStyle w:val="Lienhypertexte"/>
                  <w:sz w:val="20"/>
                  <w:szCs w:val="20"/>
                </w:rPr>
                <w:t>semaine 1-2018</w:t>
              </w:r>
            </w:hyperlink>
            <w:proofErr w:type="gramStart"/>
            <w:r w:rsidRPr="00F13353">
              <w:rPr>
                <w:sz w:val="20"/>
                <w:szCs w:val="20"/>
              </w:rPr>
              <w:t>)</w:t>
            </w:r>
            <w:r w:rsidRPr="00F13353">
              <w:rPr>
                <w:color w:val="1F497D"/>
                <w:sz w:val="20"/>
                <w:szCs w:val="20"/>
              </w:rPr>
              <w:t xml:space="preserve"> </w:t>
            </w:r>
            <w:r w:rsidRPr="00F13353">
              <w:rPr>
                <w:sz w:val="20"/>
                <w:szCs w:val="20"/>
              </w:rPr>
              <w:t>.</w:t>
            </w:r>
            <w:proofErr w:type="gramEnd"/>
            <w:r w:rsidRPr="00F13353">
              <w:rPr>
                <w:sz w:val="20"/>
                <w:szCs w:val="20"/>
              </w:rPr>
              <w:t xml:space="preserve"> Ce courrier est disponible en </w:t>
            </w:r>
            <w:hyperlink r:id="rId22" w:history="1">
              <w:r w:rsidRPr="00F13353">
                <w:rPr>
                  <w:rStyle w:val="Lienhypertexte"/>
                  <w:sz w:val="20"/>
                  <w:szCs w:val="20"/>
                </w:rPr>
                <w:t>cliquant ici</w:t>
              </w:r>
            </w:hyperlink>
            <w:r w:rsidRPr="00F13353">
              <w:rPr>
                <w:sz w:val="20"/>
                <w:szCs w:val="20"/>
              </w:rPr>
              <w:t>.</w:t>
            </w:r>
          </w:p>
          <w:p w:rsidR="00B26EA4" w:rsidRPr="00F13353" w:rsidRDefault="00B26EA4" w:rsidP="00F13353">
            <w:pPr>
              <w:pStyle w:val="wordsection1"/>
              <w:numPr>
                <w:ilvl w:val="0"/>
                <w:numId w:val="21"/>
              </w:numPr>
              <w:spacing w:before="0" w:beforeAutospacing="0" w:after="0" w:afterAutospacing="0"/>
              <w:ind w:left="187" w:hanging="187"/>
              <w:jc w:val="both"/>
              <w:rPr>
                <w:color w:val="1F497D"/>
                <w:sz w:val="20"/>
                <w:szCs w:val="20"/>
              </w:rPr>
            </w:pPr>
            <w:r w:rsidRPr="00F13353">
              <w:rPr>
                <w:sz w:val="20"/>
                <w:szCs w:val="20"/>
              </w:rPr>
              <w:t>Vous pourrez retrouver la liste des clients concernés</w:t>
            </w:r>
            <w:r w:rsidRPr="00F13353">
              <w:rPr>
                <w:color w:val="1F497D"/>
                <w:sz w:val="20"/>
                <w:szCs w:val="20"/>
              </w:rPr>
              <w:t xml:space="preserve"> </w:t>
            </w:r>
            <w:r w:rsidRPr="00F13353">
              <w:rPr>
                <w:sz w:val="20"/>
                <w:szCs w:val="20"/>
              </w:rPr>
              <w:t xml:space="preserve">en </w:t>
            </w:r>
            <w:hyperlink r:id="rId23" w:history="1">
              <w:r w:rsidRPr="00F13353">
                <w:rPr>
                  <w:rStyle w:val="Lienhypertexte"/>
                  <w:sz w:val="20"/>
                  <w:szCs w:val="20"/>
                </w:rPr>
                <w:t>cliquant ici</w:t>
              </w:r>
            </w:hyperlink>
            <w:r w:rsidRPr="00F13353">
              <w:rPr>
                <w:color w:val="1F497D"/>
                <w:sz w:val="20"/>
                <w:szCs w:val="20"/>
              </w:rPr>
              <w:t>.</w:t>
            </w:r>
          </w:p>
        </w:tc>
      </w:tr>
      <w:tr w:rsidR="00312E9D" w:rsidRPr="00E81F6E" w:rsidTr="0098174C">
        <w:trPr>
          <w:trHeight w:val="248"/>
        </w:trPr>
        <w:tc>
          <w:tcPr>
            <w:tcW w:w="15735" w:type="dxa"/>
            <w:gridSpan w:val="3"/>
            <w:tcBorders>
              <w:bottom w:val="single" w:sz="4" w:space="0" w:color="auto"/>
            </w:tcBorders>
            <w:shd w:val="clear" w:color="auto" w:fill="BFBFBF" w:themeFill="background1" w:themeFillShade="BF"/>
          </w:tcPr>
          <w:p w:rsidR="00312E9D" w:rsidRPr="00317E86" w:rsidRDefault="00DF5ACA" w:rsidP="0098174C">
            <w:pPr>
              <w:contextualSpacing/>
              <w:jc w:val="center"/>
              <w:rPr>
                <w:rFonts w:ascii="Times New Roman" w:hAnsi="Times New Roman" w:cs="Times New Roman"/>
                <w:b/>
                <w:color w:val="000000"/>
                <w:sz w:val="20"/>
                <w:szCs w:val="20"/>
                <w:lang w:eastAsia="fr-FR"/>
              </w:rPr>
            </w:pPr>
            <w:bookmarkStart w:id="0" w:name="_GoBack"/>
            <w:bookmarkEnd w:id="0"/>
            <w:r>
              <w:rPr>
                <w:rFonts w:ascii="Times New Roman" w:hAnsi="Times New Roman" w:cs="Times New Roman"/>
                <w:b/>
                <w:color w:val="000000"/>
                <w:sz w:val="20"/>
                <w:szCs w:val="20"/>
                <w:lang w:eastAsia="fr-FR"/>
              </w:rPr>
              <w:lastRenderedPageBreak/>
              <w:t>Bancarisation</w:t>
            </w:r>
            <w:r w:rsidR="00715B1F">
              <w:rPr>
                <w:rFonts w:ascii="Times New Roman" w:hAnsi="Times New Roman" w:cs="Times New Roman"/>
                <w:b/>
                <w:color w:val="000000"/>
                <w:sz w:val="20"/>
                <w:szCs w:val="20"/>
                <w:lang w:eastAsia="fr-FR"/>
              </w:rPr>
              <w:t>/ IARD</w:t>
            </w:r>
          </w:p>
        </w:tc>
      </w:tr>
      <w:tr w:rsidR="004A53BF" w:rsidRPr="00E81F6E" w:rsidTr="00483F6C">
        <w:trPr>
          <w:trHeight w:val="248"/>
        </w:trPr>
        <w:tc>
          <w:tcPr>
            <w:tcW w:w="1560" w:type="dxa"/>
            <w:tcBorders>
              <w:bottom w:val="single" w:sz="4" w:space="0" w:color="auto"/>
            </w:tcBorders>
          </w:tcPr>
          <w:p w:rsidR="004A53BF" w:rsidRDefault="004A53BF">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4A53BF" w:rsidRPr="004A53BF" w:rsidRDefault="004A53BF">
            <w:pPr>
              <w:rPr>
                <w:rFonts w:ascii="Times New Roman" w:hAnsi="Times New Roman" w:cs="Times New Roman"/>
                <w:b/>
                <w:bCs/>
                <w:sz w:val="20"/>
                <w:szCs w:val="20"/>
              </w:rPr>
            </w:pPr>
            <w:r w:rsidRPr="004A53BF">
              <w:rPr>
                <w:rFonts w:ascii="Times New Roman" w:hAnsi="Times New Roman" w:cs="Times New Roman"/>
                <w:b/>
                <w:bCs/>
                <w:sz w:val="20"/>
                <w:szCs w:val="20"/>
              </w:rPr>
              <w:t>Carte DCVV – communication clients</w:t>
            </w:r>
          </w:p>
        </w:tc>
        <w:tc>
          <w:tcPr>
            <w:tcW w:w="12332" w:type="dxa"/>
            <w:tcBorders>
              <w:bottom w:val="single" w:sz="4" w:space="0" w:color="auto"/>
            </w:tcBorders>
            <w:shd w:val="clear" w:color="auto" w:fill="auto"/>
          </w:tcPr>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sz w:val="20"/>
                <w:szCs w:val="20"/>
                <w:lang w:eastAsia="fr-FR"/>
              </w:rPr>
            </w:pPr>
            <w:r w:rsidRPr="004A53BF">
              <w:rPr>
                <w:rFonts w:ascii="Times New Roman" w:hAnsi="Times New Roman" w:cs="Times New Roman"/>
                <w:sz w:val="20"/>
                <w:szCs w:val="20"/>
              </w:rPr>
              <w:t>Depuis plusieurs semaines, la CELCA commercialise la carte DCVV, une solution innovante et sécurisante pour nos clients : les 3 chiffres du cryptogramme s’affichent sur un mini écran ultra fin et changent toutes les 45 minutes. Ainsi, en cas de vol des données, ce dispositif réduit le risque d’utilisation frauduleuse de la carte, puisque le code aura changé.</w:t>
            </w:r>
          </w:p>
          <w:p w:rsidR="004A53BF" w:rsidRPr="004A53BF" w:rsidRDefault="004A53BF" w:rsidP="004A53BF">
            <w:pPr>
              <w:pStyle w:val="Paragraphedeliste"/>
              <w:numPr>
                <w:ilvl w:val="0"/>
                <w:numId w:val="19"/>
              </w:numPr>
              <w:ind w:left="176" w:hanging="176"/>
              <w:contextualSpacing w:val="0"/>
              <w:jc w:val="both"/>
              <w:rPr>
                <w:rFonts w:ascii="Times New Roman" w:eastAsia="Times New Roman" w:hAnsi="Times New Roman" w:cs="Times New Roman"/>
                <w:sz w:val="20"/>
                <w:szCs w:val="20"/>
              </w:rPr>
            </w:pPr>
            <w:r w:rsidRPr="004A53BF">
              <w:rPr>
                <w:rFonts w:ascii="Times New Roman" w:hAnsi="Times New Roman" w:cs="Times New Roman"/>
                <w:sz w:val="20"/>
                <w:szCs w:val="20"/>
              </w:rPr>
              <w:t xml:space="preserve">La semaine dernière un email mettant la carte DCVV à l’honneur ainsi que notre offre Montée En Gamme a été envoyé à nos clients de 18 à 65 ans ayant un profil Digital. Pour vous aider à mettre en avant ces offres, les clients ciblés sont disponibles dans la GERC. </w:t>
            </w:r>
          </w:p>
          <w:p w:rsidR="004A53BF" w:rsidRPr="004A53BF" w:rsidRDefault="001350B9" w:rsidP="004A53BF">
            <w:pPr>
              <w:pStyle w:val="Paragraphedeliste"/>
              <w:numPr>
                <w:ilvl w:val="0"/>
                <w:numId w:val="19"/>
              </w:numPr>
              <w:ind w:left="176" w:hanging="176"/>
              <w:contextualSpacing w:val="0"/>
              <w:jc w:val="both"/>
              <w:rPr>
                <w:rFonts w:ascii="Times New Roman" w:hAnsi="Times New Roman" w:cs="Times New Roman"/>
                <w:sz w:val="20"/>
                <w:szCs w:val="20"/>
              </w:rPr>
            </w:pPr>
            <w:hyperlink r:id="rId24" w:history="1">
              <w:r w:rsidR="004A53BF" w:rsidRPr="004A53BF">
                <w:rPr>
                  <w:rStyle w:val="Lienhypertexte"/>
                  <w:rFonts w:ascii="Times New Roman" w:hAnsi="Times New Roman" w:cs="Times New Roman"/>
                  <w:sz w:val="20"/>
                  <w:szCs w:val="20"/>
                </w:rPr>
                <w:t>CLIQUEZ ICI</w:t>
              </w:r>
            </w:hyperlink>
            <w:r w:rsidR="004A53BF" w:rsidRPr="004A53BF">
              <w:rPr>
                <w:rFonts w:ascii="Times New Roman" w:hAnsi="Times New Roman" w:cs="Times New Roman"/>
                <w:sz w:val="20"/>
                <w:szCs w:val="20"/>
              </w:rPr>
              <w:t xml:space="preserve"> pour accéder à l’email et retrouvez tous les éléments concernant la carte DCVV dans la </w:t>
            </w:r>
            <w:hyperlink r:id="rId25" w:history="1">
              <w:r w:rsidR="004A53BF" w:rsidRPr="004A53BF">
                <w:rPr>
                  <w:rStyle w:val="Lienhypertexte"/>
                  <w:rFonts w:ascii="Times New Roman" w:hAnsi="Times New Roman" w:cs="Times New Roman"/>
                  <w:sz w:val="20"/>
                  <w:szCs w:val="20"/>
                </w:rPr>
                <w:t>note d’information DMA-INF/18.009</w:t>
              </w:r>
            </w:hyperlink>
          </w:p>
        </w:tc>
      </w:tr>
      <w:tr w:rsidR="004A53BF" w:rsidRPr="00E81F6E" w:rsidTr="00483F6C">
        <w:trPr>
          <w:trHeight w:val="248"/>
        </w:trPr>
        <w:tc>
          <w:tcPr>
            <w:tcW w:w="1560" w:type="dxa"/>
            <w:tcBorders>
              <w:bottom w:val="single" w:sz="4" w:space="0" w:color="auto"/>
            </w:tcBorders>
          </w:tcPr>
          <w:p w:rsidR="004A53BF" w:rsidRPr="00715B1F" w:rsidRDefault="004A53BF">
            <w:pPr>
              <w:rPr>
                <w:rFonts w:ascii="Times New Roman" w:hAnsi="Times New Roman" w:cs="Times New Roman"/>
                <w:b/>
                <w:bCs/>
                <w:sz w:val="20"/>
                <w:szCs w:val="20"/>
              </w:rPr>
            </w:pPr>
            <w:r w:rsidRPr="00715B1F">
              <w:rPr>
                <w:rFonts w:ascii="Times New Roman" w:hAnsi="Times New Roman" w:cs="Times New Roman"/>
                <w:b/>
                <w:bCs/>
                <w:sz w:val="20"/>
                <w:szCs w:val="20"/>
              </w:rPr>
              <w:t>Com. DMA</w:t>
            </w:r>
          </w:p>
        </w:tc>
        <w:tc>
          <w:tcPr>
            <w:tcW w:w="1843" w:type="dxa"/>
            <w:tcBorders>
              <w:bottom w:val="single" w:sz="4" w:space="0" w:color="auto"/>
            </w:tcBorders>
          </w:tcPr>
          <w:p w:rsidR="004A53BF" w:rsidRPr="004A53BF" w:rsidRDefault="004A53BF">
            <w:pPr>
              <w:rPr>
                <w:rFonts w:ascii="Times New Roman" w:hAnsi="Times New Roman" w:cs="Times New Roman"/>
                <w:b/>
                <w:bCs/>
                <w:sz w:val="20"/>
                <w:szCs w:val="20"/>
              </w:rPr>
            </w:pPr>
            <w:r w:rsidRPr="004A53BF">
              <w:rPr>
                <w:rFonts w:ascii="Times New Roman" w:hAnsi="Times New Roman" w:cs="Times New Roman"/>
                <w:b/>
                <w:bCs/>
                <w:sz w:val="20"/>
                <w:szCs w:val="20"/>
              </w:rPr>
              <w:t>Book Bancarisation – mise à jour</w:t>
            </w:r>
          </w:p>
        </w:tc>
        <w:tc>
          <w:tcPr>
            <w:tcW w:w="12332" w:type="dxa"/>
            <w:tcBorders>
              <w:bottom w:val="single" w:sz="4" w:space="0" w:color="auto"/>
            </w:tcBorders>
            <w:shd w:val="clear" w:color="auto" w:fill="auto"/>
          </w:tcPr>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sz w:val="20"/>
                <w:szCs w:val="20"/>
              </w:rPr>
            </w:pPr>
            <w:r w:rsidRPr="004A53BF">
              <w:rPr>
                <w:rFonts w:ascii="Times New Roman" w:hAnsi="Times New Roman" w:cs="Times New Roman"/>
                <w:sz w:val="20"/>
                <w:szCs w:val="20"/>
              </w:rPr>
              <w:t xml:space="preserve">Pour mieux vous accompagner sur les enjeux de l’offre Bancarisation, une définition de la notion d’Entrée en Relation a été ajoutée </w:t>
            </w:r>
            <w:proofErr w:type="spellStart"/>
            <w:r w:rsidRPr="004A53BF">
              <w:rPr>
                <w:rFonts w:ascii="Times New Roman" w:hAnsi="Times New Roman" w:cs="Times New Roman"/>
                <w:sz w:val="20"/>
                <w:szCs w:val="20"/>
              </w:rPr>
              <w:t>slide</w:t>
            </w:r>
            <w:proofErr w:type="spellEnd"/>
            <w:r w:rsidRPr="004A53BF">
              <w:rPr>
                <w:rFonts w:ascii="Times New Roman" w:hAnsi="Times New Roman" w:cs="Times New Roman"/>
                <w:sz w:val="20"/>
                <w:szCs w:val="20"/>
              </w:rPr>
              <w:t xml:space="preserve"> 5 du book bancarisation. </w:t>
            </w:r>
          </w:p>
          <w:p w:rsidR="004A53BF" w:rsidRPr="004A53BF" w:rsidRDefault="004A53BF" w:rsidP="004A53BF">
            <w:pPr>
              <w:pStyle w:val="Paragraphedeliste"/>
              <w:numPr>
                <w:ilvl w:val="0"/>
                <w:numId w:val="19"/>
              </w:numPr>
              <w:ind w:left="176" w:hanging="176"/>
              <w:contextualSpacing w:val="0"/>
              <w:jc w:val="both"/>
              <w:rPr>
                <w:rFonts w:ascii="Times New Roman" w:eastAsia="Times New Roman" w:hAnsi="Times New Roman" w:cs="Times New Roman"/>
                <w:sz w:val="20"/>
                <w:szCs w:val="20"/>
                <w:lang w:eastAsia="fr-FR"/>
              </w:rPr>
            </w:pPr>
            <w:r w:rsidRPr="004A53BF">
              <w:rPr>
                <w:rFonts w:ascii="Times New Roman" w:hAnsi="Times New Roman" w:cs="Times New Roman"/>
                <w:sz w:val="20"/>
                <w:szCs w:val="20"/>
              </w:rPr>
              <w:t>L</w:t>
            </w:r>
            <w:r w:rsidRPr="004A53BF">
              <w:rPr>
                <w:rFonts w:ascii="Times New Roman" w:hAnsi="Times New Roman" w:cs="Times New Roman"/>
                <w:b/>
                <w:bCs/>
                <w:sz w:val="20"/>
                <w:szCs w:val="20"/>
              </w:rPr>
              <w:t>'Entrée En Relation</w:t>
            </w:r>
            <w:r w:rsidRPr="004A53BF">
              <w:rPr>
                <w:rFonts w:ascii="Times New Roman" w:hAnsi="Times New Roman" w:cs="Times New Roman"/>
                <w:sz w:val="20"/>
                <w:szCs w:val="20"/>
              </w:rPr>
              <w:t xml:space="preserve"> correspond à la situation dans laquelle un client noue pour la première fois un contact avec la CELCA. Lors de ce premier contact, les attentes et besoins du client, tous univers confondus (</w:t>
            </w:r>
            <w:proofErr w:type="spellStart"/>
            <w:r w:rsidRPr="004A53BF">
              <w:rPr>
                <w:rFonts w:ascii="Times New Roman" w:hAnsi="Times New Roman" w:cs="Times New Roman"/>
                <w:sz w:val="20"/>
                <w:szCs w:val="20"/>
              </w:rPr>
              <w:t>Banca</w:t>
            </w:r>
            <w:proofErr w:type="spellEnd"/>
            <w:r w:rsidRPr="004A53BF">
              <w:rPr>
                <w:rFonts w:ascii="Times New Roman" w:hAnsi="Times New Roman" w:cs="Times New Roman"/>
                <w:sz w:val="20"/>
                <w:szCs w:val="20"/>
              </w:rPr>
              <w:t>, Crédits, Epargne…), peuvent être évoqués.</w:t>
            </w:r>
          </w:p>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sz w:val="20"/>
                <w:szCs w:val="20"/>
              </w:rPr>
            </w:pPr>
            <w:r w:rsidRPr="004A53BF">
              <w:rPr>
                <w:rFonts w:ascii="Times New Roman" w:hAnsi="Times New Roman" w:cs="Times New Roman"/>
                <w:sz w:val="20"/>
                <w:szCs w:val="20"/>
              </w:rPr>
              <w:t xml:space="preserve">Plus précisément, une </w:t>
            </w:r>
            <w:r w:rsidRPr="004A53BF">
              <w:rPr>
                <w:rFonts w:ascii="Times New Roman" w:hAnsi="Times New Roman" w:cs="Times New Roman"/>
                <w:b/>
                <w:bCs/>
                <w:sz w:val="20"/>
                <w:szCs w:val="20"/>
              </w:rPr>
              <w:t>Entrée En Relation Bancarisation</w:t>
            </w:r>
            <w:r w:rsidRPr="004A53BF">
              <w:rPr>
                <w:rFonts w:ascii="Times New Roman" w:hAnsi="Times New Roman" w:cs="Times New Roman"/>
                <w:sz w:val="20"/>
                <w:szCs w:val="20"/>
              </w:rPr>
              <w:t xml:space="preserve"> correspond à la situation dans laquelle le client est déjà client (par exemple détenteur d’un Livret A) mais non détenteur de carte bancaire. Pour rappel et pour vous aider dans la conquête, plusieurs offres promotionnelles Entrée En Relation sont à votre disposition : </w:t>
            </w:r>
            <w:hyperlink r:id="rId26" w:history="1">
              <w:r w:rsidRPr="004A53BF">
                <w:rPr>
                  <w:rStyle w:val="Lienhypertexte"/>
                  <w:rFonts w:ascii="Times New Roman" w:hAnsi="Times New Roman" w:cs="Times New Roman"/>
                  <w:sz w:val="20"/>
                  <w:szCs w:val="20"/>
                </w:rPr>
                <w:t>CLIQUEZ ICI</w:t>
              </w:r>
            </w:hyperlink>
            <w:r w:rsidRPr="004A53BF">
              <w:rPr>
                <w:rFonts w:ascii="Times New Roman" w:hAnsi="Times New Roman" w:cs="Times New Roman"/>
                <w:color w:val="1F497D"/>
                <w:sz w:val="20"/>
                <w:szCs w:val="20"/>
              </w:rPr>
              <w:t xml:space="preserve"> </w:t>
            </w:r>
            <w:r w:rsidRPr="004A53BF">
              <w:rPr>
                <w:rFonts w:ascii="Times New Roman" w:hAnsi="Times New Roman" w:cs="Times New Roman"/>
                <w:sz w:val="20"/>
                <w:szCs w:val="20"/>
              </w:rPr>
              <w:t>pour accéder au tableau des offres promo.</w:t>
            </w:r>
          </w:p>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sz w:val="20"/>
                <w:szCs w:val="20"/>
              </w:rPr>
            </w:pPr>
            <w:r w:rsidRPr="004A53BF">
              <w:rPr>
                <w:rFonts w:ascii="Times New Roman" w:hAnsi="Times New Roman" w:cs="Times New Roman"/>
                <w:sz w:val="20"/>
                <w:szCs w:val="20"/>
              </w:rPr>
              <w:t>Retrouvez le Book en ligne sous :</w:t>
            </w:r>
          </w:p>
          <w:p w:rsidR="004A53BF" w:rsidRPr="004A53BF" w:rsidRDefault="004A53BF" w:rsidP="004A53BF">
            <w:pPr>
              <w:pStyle w:val="Paragraphedeliste"/>
              <w:numPr>
                <w:ilvl w:val="1"/>
                <w:numId w:val="19"/>
              </w:numPr>
              <w:contextualSpacing w:val="0"/>
              <w:jc w:val="both"/>
              <w:rPr>
                <w:rFonts w:ascii="Times New Roman" w:hAnsi="Times New Roman" w:cs="Times New Roman"/>
                <w:sz w:val="20"/>
                <w:szCs w:val="20"/>
              </w:rPr>
            </w:pPr>
            <w:proofErr w:type="spellStart"/>
            <w:r w:rsidRPr="004A53BF">
              <w:rPr>
                <w:rFonts w:ascii="Times New Roman" w:hAnsi="Times New Roman" w:cs="Times New Roman"/>
                <w:sz w:val="20"/>
                <w:szCs w:val="20"/>
              </w:rPr>
              <w:t>Easynet</w:t>
            </w:r>
            <w:proofErr w:type="spellEnd"/>
            <w:r w:rsidRPr="004A53BF">
              <w:rPr>
                <w:rFonts w:ascii="Times New Roman" w:hAnsi="Times New Roman" w:cs="Times New Roman"/>
                <w:sz w:val="20"/>
                <w:szCs w:val="20"/>
              </w:rPr>
              <w:t> : mot-clé « book » ou « bancarisation »</w:t>
            </w:r>
          </w:p>
          <w:p w:rsidR="004A53BF" w:rsidRPr="004A53BF" w:rsidRDefault="001350B9" w:rsidP="004A53BF">
            <w:pPr>
              <w:pStyle w:val="Paragraphedeliste"/>
              <w:numPr>
                <w:ilvl w:val="1"/>
                <w:numId w:val="19"/>
              </w:numPr>
              <w:contextualSpacing w:val="0"/>
              <w:jc w:val="both"/>
              <w:rPr>
                <w:rFonts w:ascii="Times New Roman" w:hAnsi="Times New Roman" w:cs="Times New Roman"/>
                <w:sz w:val="20"/>
                <w:szCs w:val="20"/>
              </w:rPr>
            </w:pPr>
            <w:hyperlink r:id="rId27" w:history="1">
              <w:r w:rsidR="004A53BF" w:rsidRPr="004A53BF">
                <w:rPr>
                  <w:rStyle w:val="Lienhypertexte"/>
                  <w:rFonts w:ascii="Times New Roman" w:hAnsi="Times New Roman" w:cs="Times New Roman"/>
                  <w:sz w:val="20"/>
                  <w:szCs w:val="20"/>
                </w:rPr>
                <w:t>La Rubrique des Commerciaux</w:t>
              </w:r>
            </w:hyperlink>
            <w:r w:rsidR="004A53BF" w:rsidRPr="004A53BF">
              <w:rPr>
                <w:rFonts w:ascii="Times New Roman" w:hAnsi="Times New Roman" w:cs="Times New Roman"/>
                <w:sz w:val="20"/>
                <w:szCs w:val="20"/>
              </w:rPr>
              <w:t xml:space="preserve"> / Particuliers / Accès Rapides (</w:t>
            </w:r>
            <w:hyperlink r:id="rId28" w:history="1">
              <w:r w:rsidR="004A53BF" w:rsidRPr="004A53BF">
                <w:rPr>
                  <w:rStyle w:val="Lienhypertexte"/>
                  <w:rFonts w:ascii="Times New Roman" w:hAnsi="Times New Roman" w:cs="Times New Roman"/>
                  <w:sz w:val="20"/>
                  <w:szCs w:val="20"/>
                </w:rPr>
                <w:t>CLIQUEZ ICI</w:t>
              </w:r>
            </w:hyperlink>
            <w:r w:rsidR="004A53BF" w:rsidRPr="004A53BF">
              <w:rPr>
                <w:rFonts w:ascii="Times New Roman" w:hAnsi="Times New Roman" w:cs="Times New Roman"/>
                <w:sz w:val="20"/>
                <w:szCs w:val="20"/>
              </w:rPr>
              <w:t xml:space="preserve"> pour y accéder directement) </w:t>
            </w:r>
          </w:p>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sz w:val="20"/>
                <w:szCs w:val="20"/>
              </w:rPr>
            </w:pPr>
            <w:r w:rsidRPr="004A53BF">
              <w:rPr>
                <w:rFonts w:ascii="Times New Roman" w:hAnsi="Times New Roman" w:cs="Times New Roman"/>
                <w:sz w:val="20"/>
                <w:szCs w:val="20"/>
              </w:rPr>
              <w:t>Cette nouvelle version prend en compte la nouvelle tarification au 1</w:t>
            </w:r>
            <w:r w:rsidRPr="004A53BF">
              <w:rPr>
                <w:rFonts w:ascii="Times New Roman" w:hAnsi="Times New Roman" w:cs="Times New Roman"/>
                <w:sz w:val="20"/>
                <w:szCs w:val="20"/>
                <w:vertAlign w:val="superscript"/>
              </w:rPr>
              <w:t>er</w:t>
            </w:r>
            <w:r w:rsidRPr="004A53BF">
              <w:rPr>
                <w:rFonts w:ascii="Times New Roman" w:hAnsi="Times New Roman" w:cs="Times New Roman"/>
                <w:sz w:val="20"/>
                <w:szCs w:val="20"/>
              </w:rPr>
              <w:t xml:space="preserve"> avril 2018.</w:t>
            </w:r>
          </w:p>
        </w:tc>
      </w:tr>
      <w:tr w:rsidR="004A53BF" w:rsidRPr="00E81F6E" w:rsidTr="00483F6C">
        <w:trPr>
          <w:trHeight w:val="248"/>
        </w:trPr>
        <w:tc>
          <w:tcPr>
            <w:tcW w:w="1560" w:type="dxa"/>
            <w:tcBorders>
              <w:bottom w:val="single" w:sz="4" w:space="0" w:color="auto"/>
            </w:tcBorders>
          </w:tcPr>
          <w:p w:rsidR="004A53BF" w:rsidRPr="00715B1F" w:rsidRDefault="004A53BF">
            <w:pPr>
              <w:rPr>
                <w:rFonts w:ascii="Times New Roman" w:hAnsi="Times New Roman" w:cs="Times New Roman"/>
                <w:b/>
                <w:bCs/>
                <w:sz w:val="20"/>
                <w:szCs w:val="20"/>
              </w:rPr>
            </w:pPr>
            <w:r w:rsidRPr="00715B1F">
              <w:rPr>
                <w:rFonts w:ascii="Times New Roman" w:hAnsi="Times New Roman" w:cs="Times New Roman"/>
                <w:b/>
                <w:bCs/>
                <w:sz w:val="20"/>
                <w:szCs w:val="20"/>
              </w:rPr>
              <w:t>Com. DMA</w:t>
            </w:r>
          </w:p>
        </w:tc>
        <w:tc>
          <w:tcPr>
            <w:tcW w:w="1843" w:type="dxa"/>
            <w:tcBorders>
              <w:bottom w:val="single" w:sz="4" w:space="0" w:color="auto"/>
            </w:tcBorders>
          </w:tcPr>
          <w:p w:rsidR="004A53BF" w:rsidRPr="004A53BF" w:rsidRDefault="004A53BF">
            <w:pPr>
              <w:rPr>
                <w:rFonts w:ascii="Times New Roman" w:hAnsi="Times New Roman" w:cs="Times New Roman"/>
                <w:b/>
                <w:bCs/>
                <w:sz w:val="20"/>
                <w:szCs w:val="20"/>
              </w:rPr>
            </w:pPr>
            <w:r w:rsidRPr="004A53BF">
              <w:rPr>
                <w:rFonts w:ascii="Times New Roman" w:hAnsi="Times New Roman" w:cs="Times New Roman"/>
                <w:b/>
                <w:bCs/>
                <w:sz w:val="20"/>
                <w:szCs w:val="20"/>
              </w:rPr>
              <w:t xml:space="preserve">Carte Visa </w:t>
            </w:r>
            <w:proofErr w:type="spellStart"/>
            <w:r w:rsidRPr="004A53BF">
              <w:rPr>
                <w:rFonts w:ascii="Times New Roman" w:hAnsi="Times New Roman" w:cs="Times New Roman"/>
                <w:b/>
                <w:bCs/>
                <w:sz w:val="20"/>
                <w:szCs w:val="20"/>
              </w:rPr>
              <w:t>Infinite</w:t>
            </w:r>
            <w:proofErr w:type="spellEnd"/>
          </w:p>
        </w:tc>
        <w:tc>
          <w:tcPr>
            <w:tcW w:w="12332" w:type="dxa"/>
            <w:tcBorders>
              <w:bottom w:val="single" w:sz="4" w:space="0" w:color="auto"/>
            </w:tcBorders>
            <w:shd w:val="clear" w:color="auto" w:fill="auto"/>
          </w:tcPr>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b/>
                <w:bCs/>
                <w:sz w:val="20"/>
                <w:szCs w:val="20"/>
                <w:lang w:eastAsia="fr-FR"/>
              </w:rPr>
            </w:pPr>
            <w:r w:rsidRPr="004A53BF">
              <w:rPr>
                <w:rFonts w:ascii="Times New Roman" w:hAnsi="Times New Roman" w:cs="Times New Roman"/>
                <w:sz w:val="20"/>
                <w:szCs w:val="20"/>
              </w:rPr>
              <w:t xml:space="preserve">Rares sont les occasions de vivre des moments intenses, des privilèges sur-mesure, des situations exceptionnelles. C’est pourtant ce que nous proposons à nos clients détenteurs d’une </w:t>
            </w:r>
            <w:r w:rsidRPr="004A53BF">
              <w:rPr>
                <w:rFonts w:ascii="Times New Roman" w:hAnsi="Times New Roman" w:cs="Times New Roman"/>
                <w:b/>
                <w:bCs/>
                <w:sz w:val="20"/>
                <w:szCs w:val="20"/>
              </w:rPr>
              <w:t xml:space="preserve">carte Visa </w:t>
            </w:r>
            <w:proofErr w:type="spellStart"/>
            <w:r w:rsidRPr="004A53BF">
              <w:rPr>
                <w:rFonts w:ascii="Times New Roman" w:hAnsi="Times New Roman" w:cs="Times New Roman"/>
                <w:b/>
                <w:bCs/>
                <w:sz w:val="20"/>
                <w:szCs w:val="20"/>
              </w:rPr>
              <w:t>Infinite</w:t>
            </w:r>
            <w:proofErr w:type="spellEnd"/>
            <w:r w:rsidRPr="004A53BF">
              <w:rPr>
                <w:rFonts w:ascii="Times New Roman" w:hAnsi="Times New Roman" w:cs="Times New Roman"/>
                <w:sz w:val="20"/>
                <w:szCs w:val="20"/>
              </w:rPr>
              <w:t xml:space="preserve"> : elle intègre un </w:t>
            </w:r>
            <w:r w:rsidRPr="004A53BF">
              <w:rPr>
                <w:rFonts w:ascii="Times New Roman" w:hAnsi="Times New Roman" w:cs="Times New Roman"/>
                <w:b/>
                <w:bCs/>
                <w:sz w:val="20"/>
                <w:szCs w:val="20"/>
              </w:rPr>
              <w:t>service de conciergerie privée haut de gamme</w:t>
            </w:r>
            <w:r w:rsidRPr="004A53BF">
              <w:rPr>
                <w:rFonts w:ascii="Times New Roman" w:hAnsi="Times New Roman" w:cs="Times New Roman"/>
                <w:sz w:val="20"/>
                <w:szCs w:val="20"/>
              </w:rPr>
              <w:t xml:space="preserve"> et offre ainsi un </w:t>
            </w:r>
            <w:r w:rsidRPr="004A53BF">
              <w:rPr>
                <w:rFonts w:ascii="Times New Roman" w:hAnsi="Times New Roman" w:cs="Times New Roman"/>
                <w:b/>
                <w:bCs/>
                <w:sz w:val="20"/>
                <w:szCs w:val="20"/>
              </w:rPr>
              <w:t>monde d’excellence et de raffinement 7 jours sur 7 et 24 heures sur 24.</w:t>
            </w:r>
          </w:p>
          <w:p w:rsidR="004A53BF" w:rsidRPr="004A53BF" w:rsidRDefault="004A53BF" w:rsidP="004A53BF">
            <w:pPr>
              <w:pStyle w:val="Paragraphedeliste"/>
              <w:numPr>
                <w:ilvl w:val="0"/>
                <w:numId w:val="19"/>
              </w:numPr>
              <w:ind w:left="176" w:hanging="176"/>
              <w:contextualSpacing w:val="0"/>
              <w:jc w:val="both"/>
              <w:rPr>
                <w:rFonts w:ascii="Times New Roman" w:eastAsia="Times New Roman" w:hAnsi="Times New Roman" w:cs="Times New Roman"/>
                <w:sz w:val="20"/>
                <w:szCs w:val="20"/>
              </w:rPr>
            </w:pPr>
            <w:r w:rsidRPr="004A53BF">
              <w:rPr>
                <w:rFonts w:ascii="Times New Roman" w:hAnsi="Times New Roman" w:cs="Times New Roman"/>
                <w:sz w:val="20"/>
                <w:szCs w:val="20"/>
              </w:rPr>
              <w:t xml:space="preserve">Cette semaine les détenteurs d’une carte Visa </w:t>
            </w:r>
            <w:proofErr w:type="spellStart"/>
            <w:r w:rsidRPr="004A53BF">
              <w:rPr>
                <w:rFonts w:ascii="Times New Roman" w:hAnsi="Times New Roman" w:cs="Times New Roman"/>
                <w:sz w:val="20"/>
                <w:szCs w:val="20"/>
              </w:rPr>
              <w:t>Infinite</w:t>
            </w:r>
            <w:proofErr w:type="spellEnd"/>
            <w:r w:rsidRPr="004A53BF">
              <w:rPr>
                <w:rFonts w:ascii="Times New Roman" w:hAnsi="Times New Roman" w:cs="Times New Roman"/>
                <w:sz w:val="20"/>
                <w:szCs w:val="20"/>
              </w:rPr>
              <w:t xml:space="preserve"> recevront dans leur boite aux lettres la brochure </w:t>
            </w:r>
            <w:proofErr w:type="spellStart"/>
            <w:r w:rsidRPr="004A53BF">
              <w:rPr>
                <w:rFonts w:ascii="Times New Roman" w:hAnsi="Times New Roman" w:cs="Times New Roman"/>
                <w:sz w:val="20"/>
                <w:szCs w:val="20"/>
              </w:rPr>
              <w:t>Infinite</w:t>
            </w:r>
            <w:proofErr w:type="spellEnd"/>
            <w:r w:rsidRPr="004A53BF">
              <w:rPr>
                <w:rFonts w:ascii="Times New Roman" w:hAnsi="Times New Roman" w:cs="Times New Roman"/>
                <w:sz w:val="20"/>
                <w:szCs w:val="20"/>
              </w:rPr>
              <w:t xml:space="preserve"> Printemps Eté 2018, reprenant l’ensemble des privilèges, invitations et évènements qui leur sont réservés. </w:t>
            </w:r>
          </w:p>
          <w:p w:rsidR="004A53BF" w:rsidRPr="004A53BF" w:rsidRDefault="004A53BF" w:rsidP="004A53BF">
            <w:pPr>
              <w:pStyle w:val="Paragraphedeliste"/>
              <w:numPr>
                <w:ilvl w:val="0"/>
                <w:numId w:val="19"/>
              </w:numPr>
              <w:ind w:left="176" w:hanging="176"/>
              <w:contextualSpacing w:val="0"/>
              <w:jc w:val="both"/>
              <w:rPr>
                <w:rFonts w:ascii="Times New Roman" w:hAnsi="Times New Roman" w:cs="Times New Roman"/>
                <w:sz w:val="20"/>
                <w:szCs w:val="20"/>
              </w:rPr>
            </w:pPr>
            <w:r w:rsidRPr="004A53BF">
              <w:rPr>
                <w:rFonts w:ascii="Times New Roman" w:hAnsi="Times New Roman" w:cs="Times New Roman"/>
                <w:sz w:val="20"/>
                <w:szCs w:val="20"/>
              </w:rPr>
              <w:t xml:space="preserve">Pour rappel, l’accélérateur suivant est en place : </w:t>
            </w:r>
            <w:r w:rsidRPr="004A53BF">
              <w:rPr>
                <w:rFonts w:ascii="Times New Roman" w:hAnsi="Times New Roman" w:cs="Times New Roman"/>
                <w:b/>
                <w:bCs/>
                <w:sz w:val="20"/>
                <w:szCs w:val="20"/>
              </w:rPr>
              <w:t xml:space="preserve">Bouquet Liberté avec carte Visa </w:t>
            </w:r>
            <w:proofErr w:type="spellStart"/>
            <w:r w:rsidRPr="004A53BF">
              <w:rPr>
                <w:rFonts w:ascii="Times New Roman" w:hAnsi="Times New Roman" w:cs="Times New Roman"/>
                <w:b/>
                <w:bCs/>
                <w:sz w:val="20"/>
                <w:szCs w:val="20"/>
              </w:rPr>
              <w:t>Infinite</w:t>
            </w:r>
            <w:proofErr w:type="spellEnd"/>
            <w:r w:rsidRPr="004A53BF">
              <w:rPr>
                <w:rFonts w:ascii="Times New Roman" w:hAnsi="Times New Roman" w:cs="Times New Roman"/>
                <w:b/>
                <w:bCs/>
                <w:sz w:val="20"/>
                <w:szCs w:val="20"/>
              </w:rPr>
              <w:t xml:space="preserve"> à demi-tarif pendant un an</w:t>
            </w:r>
            <w:r w:rsidRPr="004A53BF">
              <w:rPr>
                <w:rFonts w:ascii="Times New Roman" w:hAnsi="Times New Roman" w:cs="Times New Roman"/>
                <w:sz w:val="20"/>
                <w:szCs w:val="20"/>
              </w:rPr>
              <w:t>. L’offre est réservée aux montées en gamme depuis une carte inférieure.</w:t>
            </w:r>
          </w:p>
        </w:tc>
      </w:tr>
      <w:tr w:rsidR="00C4150D" w:rsidRPr="00E81F6E" w:rsidTr="00483F6C">
        <w:trPr>
          <w:trHeight w:val="248"/>
        </w:trPr>
        <w:tc>
          <w:tcPr>
            <w:tcW w:w="1560" w:type="dxa"/>
            <w:tcBorders>
              <w:bottom w:val="single" w:sz="4" w:space="0" w:color="auto"/>
            </w:tcBorders>
          </w:tcPr>
          <w:p w:rsidR="00C4150D" w:rsidRPr="00715B1F" w:rsidRDefault="00C4150D">
            <w:pPr>
              <w:rPr>
                <w:rFonts w:ascii="Times New Roman" w:hAnsi="Times New Roman" w:cs="Times New Roman"/>
                <w:b/>
                <w:bCs/>
                <w:sz w:val="20"/>
                <w:szCs w:val="20"/>
              </w:rPr>
            </w:pPr>
            <w:r w:rsidRPr="00715B1F">
              <w:rPr>
                <w:rFonts w:ascii="Times New Roman" w:hAnsi="Times New Roman" w:cs="Times New Roman"/>
                <w:b/>
                <w:bCs/>
                <w:sz w:val="20"/>
                <w:szCs w:val="20"/>
              </w:rPr>
              <w:t>Com. DMA</w:t>
            </w:r>
          </w:p>
        </w:tc>
        <w:tc>
          <w:tcPr>
            <w:tcW w:w="1843" w:type="dxa"/>
            <w:tcBorders>
              <w:bottom w:val="single" w:sz="4" w:space="0" w:color="auto"/>
            </w:tcBorders>
          </w:tcPr>
          <w:p w:rsidR="00C4150D" w:rsidRDefault="00C4150D" w:rsidP="000E7193">
            <w:pPr>
              <w:rPr>
                <w:rFonts w:ascii="Times New Roman" w:hAnsi="Times New Roman" w:cs="Times New Roman"/>
                <w:b/>
                <w:bCs/>
                <w:color w:val="000000"/>
                <w:sz w:val="20"/>
                <w:szCs w:val="20"/>
              </w:rPr>
            </w:pPr>
            <w:r>
              <w:rPr>
                <w:rFonts w:ascii="Times New Roman" w:hAnsi="Times New Roman" w:cs="Times New Roman"/>
                <w:b/>
                <w:bCs/>
                <w:color w:val="000000"/>
                <w:sz w:val="20"/>
                <w:szCs w:val="20"/>
              </w:rPr>
              <w:t>OPERATION COMMERCIALE TELESURVEILLANCE</w:t>
            </w:r>
            <w:r>
              <w:rPr>
                <w:lang w:eastAsia="fr-FR"/>
              </w:rPr>
              <w:t xml:space="preserve"> </w:t>
            </w:r>
          </w:p>
        </w:tc>
        <w:tc>
          <w:tcPr>
            <w:tcW w:w="12332" w:type="dxa"/>
            <w:tcBorders>
              <w:bottom w:val="single" w:sz="4" w:space="0" w:color="auto"/>
            </w:tcBorders>
            <w:shd w:val="clear" w:color="auto" w:fill="auto"/>
          </w:tcPr>
          <w:p w:rsidR="00C4150D" w:rsidRPr="004A53BF" w:rsidRDefault="00C4150D" w:rsidP="000E7193">
            <w:pPr>
              <w:pStyle w:val="Paragraphedeliste"/>
              <w:numPr>
                <w:ilvl w:val="0"/>
                <w:numId w:val="20"/>
              </w:numPr>
              <w:ind w:left="176" w:hanging="176"/>
              <w:contextualSpacing w:val="0"/>
              <w:jc w:val="both"/>
              <w:rPr>
                <w:rFonts w:ascii="Times New Roman" w:hAnsi="Times New Roman" w:cs="Times New Roman"/>
                <w:color w:val="000000"/>
                <w:sz w:val="20"/>
                <w:szCs w:val="20"/>
                <w:lang w:eastAsia="fr-FR"/>
              </w:rPr>
            </w:pPr>
            <w:r w:rsidRPr="004A53BF">
              <w:rPr>
                <w:rFonts w:ascii="Times New Roman" w:hAnsi="Times New Roman" w:cs="Times New Roman"/>
                <w:color w:val="000000"/>
                <w:sz w:val="20"/>
                <w:szCs w:val="20"/>
                <w:lang w:eastAsia="fr-FR"/>
              </w:rPr>
              <w:t>L’offre de Télésurveillance de la Caisse d’Epargne (prestataire IMA PROTECT) a reçu la distinction de « meilleure enseigne 2018 » de sa catégorie par la rédaction de Capital</w:t>
            </w:r>
            <w:r w:rsidRPr="004A53BF">
              <w:rPr>
                <w:rFonts w:ascii="Times New Roman" w:hAnsi="Times New Roman" w:cs="Times New Roman"/>
                <w:color w:val="1F497D"/>
                <w:sz w:val="20"/>
                <w:szCs w:val="20"/>
                <w:lang w:eastAsia="fr-FR"/>
              </w:rPr>
              <w:t>.</w:t>
            </w:r>
            <w:r w:rsidRPr="004A53BF">
              <w:rPr>
                <w:rFonts w:ascii="Times New Roman" w:hAnsi="Times New Roman" w:cs="Times New Roman"/>
                <w:color w:val="000000"/>
                <w:sz w:val="20"/>
                <w:szCs w:val="20"/>
                <w:lang w:eastAsia="fr-FR"/>
              </w:rPr>
              <w:t xml:space="preserve"> Après le N°1 QUE CHOISIR en avril 2016, cette distinction vient souligner à nouveau l'excellence de cette prestation auprès des clients.</w:t>
            </w:r>
          </w:p>
          <w:p w:rsidR="00C4150D" w:rsidRPr="004A53BF" w:rsidRDefault="00C4150D" w:rsidP="000E7193">
            <w:pPr>
              <w:pStyle w:val="Paragraphedeliste"/>
              <w:numPr>
                <w:ilvl w:val="0"/>
                <w:numId w:val="20"/>
              </w:numPr>
              <w:ind w:left="176" w:hanging="176"/>
              <w:contextualSpacing w:val="0"/>
              <w:jc w:val="both"/>
              <w:rPr>
                <w:rFonts w:ascii="Times New Roman" w:hAnsi="Times New Roman" w:cs="Times New Roman"/>
                <w:color w:val="000000"/>
                <w:sz w:val="20"/>
                <w:szCs w:val="20"/>
                <w:lang w:eastAsia="fr-FR"/>
              </w:rPr>
            </w:pPr>
            <w:r w:rsidRPr="004A53BF">
              <w:rPr>
                <w:rFonts w:ascii="Times New Roman" w:hAnsi="Times New Roman" w:cs="Times New Roman"/>
                <w:color w:val="000000"/>
                <w:sz w:val="20"/>
                <w:szCs w:val="20"/>
                <w:lang w:eastAsia="fr-FR"/>
              </w:rPr>
              <w:t xml:space="preserve">C’est une période propice pour contacter vos clients. </w:t>
            </w:r>
            <w:r w:rsidRPr="004A53BF">
              <w:rPr>
                <w:rFonts w:ascii="Times New Roman" w:hAnsi="Times New Roman" w:cs="Times New Roman"/>
                <w:b/>
                <w:color w:val="000000"/>
                <w:sz w:val="20"/>
                <w:szCs w:val="20"/>
                <w:lang w:eastAsia="fr-FR"/>
              </w:rPr>
              <w:t>Vous avez jusqu’au 01 juin 2018 pour leur faire profiter d’une remise de 50% sur l’abonnement mensuel soit 5,99€/mois au lieu de 12€/mois. Ce tarif (satisfait ou remboursé pendant 1 mois) est acquis à vie</w:t>
            </w:r>
            <w:r w:rsidRPr="004A53BF">
              <w:rPr>
                <w:rFonts w:ascii="Times New Roman" w:hAnsi="Times New Roman" w:cs="Times New Roman"/>
                <w:b/>
                <w:color w:val="1F497D"/>
                <w:sz w:val="20"/>
                <w:szCs w:val="20"/>
                <w:lang w:eastAsia="fr-FR"/>
              </w:rPr>
              <w:t>, o</w:t>
            </w:r>
            <w:r w:rsidRPr="004A53BF">
              <w:rPr>
                <w:rFonts w:ascii="Times New Roman" w:hAnsi="Times New Roman" w:cs="Times New Roman"/>
                <w:b/>
                <w:color w:val="000000"/>
                <w:sz w:val="20"/>
                <w:szCs w:val="20"/>
                <w:lang w:eastAsia="fr-FR"/>
              </w:rPr>
              <w:t>uvert aux clients et aux</w:t>
            </w:r>
            <w:r w:rsidRPr="004A53BF">
              <w:rPr>
                <w:rFonts w:ascii="Times New Roman" w:hAnsi="Times New Roman" w:cs="Times New Roman"/>
                <w:b/>
                <w:color w:val="1F497D"/>
                <w:sz w:val="20"/>
                <w:szCs w:val="20"/>
                <w:lang w:eastAsia="fr-FR"/>
              </w:rPr>
              <w:t xml:space="preserve"> </w:t>
            </w:r>
            <w:r w:rsidRPr="004A53BF">
              <w:rPr>
                <w:rFonts w:ascii="Times New Roman" w:hAnsi="Times New Roman" w:cs="Times New Roman"/>
                <w:b/>
                <w:color w:val="000000"/>
                <w:sz w:val="20"/>
                <w:szCs w:val="20"/>
                <w:lang w:eastAsia="fr-FR"/>
              </w:rPr>
              <w:t>collaborateurs</w:t>
            </w:r>
            <w:r w:rsidRPr="004A53BF">
              <w:rPr>
                <w:rFonts w:ascii="Times New Roman" w:hAnsi="Times New Roman" w:cs="Times New Roman"/>
                <w:b/>
                <w:color w:val="1F497D"/>
                <w:sz w:val="20"/>
                <w:szCs w:val="20"/>
                <w:lang w:eastAsia="fr-FR"/>
              </w:rPr>
              <w:t>.</w:t>
            </w:r>
            <w:r>
              <w:rPr>
                <w:rFonts w:ascii="Times New Roman" w:hAnsi="Times New Roman" w:cs="Times New Roman"/>
                <w:b/>
                <w:color w:val="1F497D"/>
                <w:sz w:val="20"/>
                <w:szCs w:val="20"/>
                <w:lang w:eastAsia="fr-FR"/>
              </w:rPr>
              <w:t xml:space="preserve"> </w:t>
            </w:r>
            <w:r w:rsidRPr="004A53BF">
              <w:rPr>
                <w:rFonts w:ascii="Times New Roman" w:hAnsi="Times New Roman" w:cs="Times New Roman"/>
                <w:color w:val="000000"/>
                <w:sz w:val="20"/>
                <w:szCs w:val="20"/>
                <w:lang w:eastAsia="fr-FR"/>
              </w:rPr>
              <w:t>Avantage majeur, l’adhésion à l’offre de Télésurveillance permet l’exonération de la franchise vol </w:t>
            </w:r>
            <w:r>
              <w:rPr>
                <w:rFonts w:ascii="Times New Roman" w:hAnsi="Times New Roman" w:cs="Times New Roman"/>
                <w:color w:val="000000"/>
                <w:sz w:val="20"/>
                <w:szCs w:val="20"/>
                <w:lang w:eastAsia="fr-FR"/>
              </w:rPr>
              <w:t xml:space="preserve">pour nos clients détenteurs d’une MRH </w:t>
            </w:r>
            <w:r w:rsidRPr="004A53BF">
              <w:rPr>
                <w:rFonts w:ascii="Times New Roman" w:hAnsi="Times New Roman" w:cs="Times New Roman"/>
                <w:color w:val="000000"/>
                <w:sz w:val="20"/>
                <w:szCs w:val="20"/>
                <w:lang w:eastAsia="fr-FR"/>
              </w:rPr>
              <w:t>!!</w:t>
            </w:r>
          </w:p>
        </w:tc>
      </w:tr>
      <w:tr w:rsidR="005D0506" w:rsidRPr="005A0216" w:rsidTr="005D0506">
        <w:trPr>
          <w:trHeight w:val="248"/>
        </w:trPr>
        <w:tc>
          <w:tcPr>
            <w:tcW w:w="15735" w:type="dxa"/>
            <w:gridSpan w:val="3"/>
            <w:tcBorders>
              <w:bottom w:val="single" w:sz="4" w:space="0" w:color="auto"/>
            </w:tcBorders>
            <w:shd w:val="clear" w:color="auto" w:fill="BFBFBF" w:themeFill="background1" w:themeFillShade="BF"/>
          </w:tcPr>
          <w:p w:rsidR="005D0506" w:rsidRPr="005D0506" w:rsidRDefault="005D0506" w:rsidP="005D0506">
            <w:pPr>
              <w:pStyle w:val="wordsection1"/>
              <w:spacing w:before="0" w:beforeAutospacing="0" w:after="0" w:afterAutospacing="0"/>
              <w:jc w:val="center"/>
              <w:rPr>
                <w:b/>
                <w:sz w:val="20"/>
                <w:szCs w:val="20"/>
                <w:lang w:val="en-US"/>
              </w:rPr>
            </w:pPr>
            <w:proofErr w:type="spellStart"/>
            <w:r w:rsidRPr="005D0506">
              <w:rPr>
                <w:b/>
                <w:sz w:val="20"/>
                <w:szCs w:val="20"/>
                <w:lang w:val="en-US"/>
              </w:rPr>
              <w:t>Multicanal</w:t>
            </w:r>
            <w:proofErr w:type="spellEnd"/>
          </w:p>
        </w:tc>
      </w:tr>
      <w:tr w:rsidR="005D0506" w:rsidRPr="005A0216" w:rsidTr="00AF3BE3">
        <w:trPr>
          <w:trHeight w:val="248"/>
        </w:trPr>
        <w:tc>
          <w:tcPr>
            <w:tcW w:w="1560" w:type="dxa"/>
            <w:tcBorders>
              <w:bottom w:val="single" w:sz="4" w:space="0" w:color="auto"/>
            </w:tcBorders>
          </w:tcPr>
          <w:p w:rsidR="005D0506" w:rsidRPr="007B6E34" w:rsidRDefault="005D0506" w:rsidP="00C3061A">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5D0506" w:rsidRPr="005D0506" w:rsidRDefault="005D0506" w:rsidP="007F54EA">
            <w:pPr>
              <w:rPr>
                <w:rFonts w:ascii="Times New Roman" w:hAnsi="Times New Roman" w:cs="Times New Roman"/>
                <w:b/>
                <w:sz w:val="20"/>
                <w:szCs w:val="20"/>
              </w:rPr>
            </w:pPr>
            <w:r w:rsidRPr="005D0506">
              <w:rPr>
                <w:rFonts w:ascii="Times New Roman" w:hAnsi="Times New Roman" w:cs="Times New Roman"/>
                <w:b/>
                <w:sz w:val="20"/>
                <w:szCs w:val="20"/>
              </w:rPr>
              <w:t>SECURPASS</w:t>
            </w:r>
            <w:r>
              <w:rPr>
                <w:rFonts w:ascii="Times New Roman" w:hAnsi="Times New Roman" w:cs="Times New Roman"/>
                <w:b/>
                <w:sz w:val="20"/>
                <w:szCs w:val="20"/>
              </w:rPr>
              <w:t xml:space="preserve"> - </w:t>
            </w:r>
            <w:r w:rsidRPr="005D0506">
              <w:rPr>
                <w:rFonts w:ascii="Times New Roman" w:hAnsi="Times New Roman" w:cs="Times New Roman"/>
                <w:b/>
                <w:sz w:val="20"/>
                <w:szCs w:val="20"/>
              </w:rPr>
              <w:t>Point de situation</w:t>
            </w:r>
          </w:p>
          <w:p w:rsidR="005D0506" w:rsidRPr="005D0506" w:rsidRDefault="005D0506" w:rsidP="007F54EA">
            <w:pPr>
              <w:rPr>
                <w:rFonts w:ascii="Times New Roman" w:hAnsi="Times New Roman" w:cs="Times New Roman"/>
                <w:b/>
                <w:sz w:val="20"/>
                <w:szCs w:val="20"/>
              </w:rPr>
            </w:pPr>
          </w:p>
          <w:p w:rsidR="005D0506" w:rsidRPr="005D0506" w:rsidRDefault="005D0506" w:rsidP="007F54EA">
            <w:pPr>
              <w:rPr>
                <w:rFonts w:ascii="Times New Roman" w:hAnsi="Times New Roman" w:cs="Times New Roman"/>
                <w:sz w:val="20"/>
                <w:szCs w:val="20"/>
              </w:rPr>
            </w:pPr>
          </w:p>
        </w:tc>
        <w:tc>
          <w:tcPr>
            <w:tcW w:w="12332" w:type="dxa"/>
            <w:tcBorders>
              <w:bottom w:val="single" w:sz="4" w:space="0" w:color="auto"/>
            </w:tcBorders>
            <w:shd w:val="clear" w:color="auto" w:fill="auto"/>
          </w:tcPr>
          <w:p w:rsidR="005D0506" w:rsidRPr="005D0506" w:rsidRDefault="005D0506" w:rsidP="005D0506">
            <w:pPr>
              <w:pStyle w:val="wordsection1"/>
              <w:numPr>
                <w:ilvl w:val="0"/>
                <w:numId w:val="10"/>
              </w:numPr>
              <w:spacing w:before="0" w:beforeAutospacing="0" w:after="0" w:afterAutospacing="0"/>
              <w:ind w:left="187" w:hanging="187"/>
              <w:jc w:val="both"/>
              <w:rPr>
                <w:sz w:val="20"/>
                <w:szCs w:val="20"/>
              </w:rPr>
            </w:pPr>
            <w:r w:rsidRPr="005D0506">
              <w:rPr>
                <w:sz w:val="20"/>
                <w:szCs w:val="20"/>
              </w:rPr>
              <w:t>Une nouvelle phase de tests auprès des collaborateurs et clients de la CEN et CEIDF vient d’être initiée le 28 mars. Une seconde étape concerne</w:t>
            </w:r>
            <w:r>
              <w:rPr>
                <w:sz w:val="20"/>
                <w:szCs w:val="20"/>
              </w:rPr>
              <w:t>,</w:t>
            </w:r>
            <w:r w:rsidRPr="005D0506">
              <w:rPr>
                <w:sz w:val="20"/>
                <w:szCs w:val="20"/>
              </w:rPr>
              <w:t xml:space="preserve"> cette semaine</w:t>
            </w:r>
            <w:r>
              <w:rPr>
                <w:sz w:val="20"/>
                <w:szCs w:val="20"/>
              </w:rPr>
              <w:t>,</w:t>
            </w:r>
            <w:r w:rsidRPr="005D0506">
              <w:rPr>
                <w:sz w:val="20"/>
                <w:szCs w:val="20"/>
              </w:rPr>
              <w:t xml:space="preserve"> 7 CE supplémentaires. </w:t>
            </w:r>
            <w:r w:rsidRPr="005D0506">
              <w:rPr>
                <w:b/>
                <w:sz w:val="20"/>
                <w:szCs w:val="20"/>
              </w:rPr>
              <w:t>Enfin à compter du 18 avril les dernières CE dont la CELCA</w:t>
            </w:r>
            <w:r w:rsidRPr="005D0506">
              <w:rPr>
                <w:sz w:val="20"/>
                <w:szCs w:val="20"/>
              </w:rPr>
              <w:t> seront intégrées au dispositif (test sur quelques collaborateurs, puis la semaine suivante sur l’ensemble des collaborateurs CE).</w:t>
            </w:r>
          </w:p>
          <w:p w:rsidR="005D0506" w:rsidRPr="005D0506" w:rsidRDefault="005D0506" w:rsidP="005D0506">
            <w:pPr>
              <w:pStyle w:val="wordsection1"/>
              <w:numPr>
                <w:ilvl w:val="0"/>
                <w:numId w:val="10"/>
              </w:numPr>
              <w:spacing w:before="0" w:beforeAutospacing="0" w:after="0" w:afterAutospacing="0"/>
              <w:ind w:left="187" w:hanging="187"/>
              <w:jc w:val="both"/>
              <w:rPr>
                <w:sz w:val="20"/>
                <w:szCs w:val="20"/>
              </w:rPr>
            </w:pPr>
            <w:r w:rsidRPr="005D0506">
              <w:rPr>
                <w:b/>
                <w:sz w:val="20"/>
                <w:szCs w:val="20"/>
              </w:rPr>
              <w:t>Rappel :</w:t>
            </w:r>
            <w:r w:rsidRPr="005D0506">
              <w:rPr>
                <w:sz w:val="20"/>
                <w:szCs w:val="20"/>
              </w:rPr>
              <w:t xml:space="preserve"> </w:t>
            </w:r>
            <w:proofErr w:type="spellStart"/>
            <w:r w:rsidRPr="005D0506">
              <w:rPr>
                <w:sz w:val="20"/>
                <w:szCs w:val="20"/>
              </w:rPr>
              <w:t>Secur’Pass</w:t>
            </w:r>
            <w:proofErr w:type="spellEnd"/>
            <w:r w:rsidRPr="005D0506">
              <w:rPr>
                <w:sz w:val="20"/>
                <w:szCs w:val="20"/>
              </w:rPr>
              <w:t xml:space="preserve"> succède à SOL SMS ou CAP. La validation des opérations « sécurisées » sera désormais plus simple :</w:t>
            </w:r>
          </w:p>
          <w:p w:rsidR="005D0506" w:rsidRPr="005D0506" w:rsidRDefault="005D0506" w:rsidP="004A53BF">
            <w:pPr>
              <w:pStyle w:val="Paragraphedeliste"/>
              <w:numPr>
                <w:ilvl w:val="1"/>
                <w:numId w:val="19"/>
              </w:numPr>
              <w:contextualSpacing w:val="0"/>
              <w:jc w:val="both"/>
              <w:rPr>
                <w:rFonts w:ascii="Times New Roman" w:hAnsi="Times New Roman" w:cs="Times New Roman"/>
                <w:sz w:val="20"/>
                <w:szCs w:val="20"/>
              </w:rPr>
            </w:pPr>
            <w:r w:rsidRPr="005D0506">
              <w:rPr>
                <w:rFonts w:ascii="Times New Roman" w:hAnsi="Times New Roman" w:cs="Times New Roman"/>
                <w:sz w:val="20"/>
                <w:szCs w:val="20"/>
              </w:rPr>
              <w:t>c’est un code sur 4 positions choisi par le Client</w:t>
            </w:r>
            <w:r w:rsidR="004A53BF">
              <w:rPr>
                <w:rFonts w:ascii="Times New Roman" w:hAnsi="Times New Roman" w:cs="Times New Roman"/>
                <w:sz w:val="20"/>
                <w:szCs w:val="20"/>
              </w:rPr>
              <w:t>,</w:t>
            </w:r>
            <w:r w:rsidRPr="005D0506">
              <w:rPr>
                <w:rFonts w:ascii="Times New Roman" w:hAnsi="Times New Roman" w:cs="Times New Roman"/>
                <w:sz w:val="20"/>
                <w:szCs w:val="20"/>
              </w:rPr>
              <w:t xml:space="preserve"> </w:t>
            </w:r>
          </w:p>
          <w:p w:rsidR="005D0506" w:rsidRPr="005D0506" w:rsidRDefault="005D0506" w:rsidP="004A53BF">
            <w:pPr>
              <w:pStyle w:val="Paragraphedeliste"/>
              <w:numPr>
                <w:ilvl w:val="1"/>
                <w:numId w:val="19"/>
              </w:numPr>
              <w:contextualSpacing w:val="0"/>
              <w:jc w:val="both"/>
              <w:rPr>
                <w:rFonts w:ascii="Times New Roman" w:hAnsi="Times New Roman" w:cs="Times New Roman"/>
                <w:sz w:val="20"/>
                <w:szCs w:val="20"/>
              </w:rPr>
            </w:pPr>
            <w:r w:rsidRPr="005D0506">
              <w:rPr>
                <w:rFonts w:ascii="Times New Roman" w:hAnsi="Times New Roman" w:cs="Times New Roman"/>
                <w:sz w:val="20"/>
                <w:szCs w:val="20"/>
              </w:rPr>
              <w:t>permet d’effectuer un virement vers un nouveau compte bénéficiaire en France sans délai d’attente (toutefois le délai de 72h00 est maintenu pour les RIB Hors France)</w:t>
            </w:r>
            <w:r w:rsidR="004A53BF">
              <w:rPr>
                <w:rFonts w:ascii="Times New Roman" w:hAnsi="Times New Roman" w:cs="Times New Roman"/>
                <w:sz w:val="20"/>
                <w:szCs w:val="20"/>
              </w:rPr>
              <w:t>,</w:t>
            </w:r>
          </w:p>
          <w:p w:rsidR="005D0506" w:rsidRPr="005D0506" w:rsidRDefault="005D0506" w:rsidP="004A53BF">
            <w:pPr>
              <w:pStyle w:val="Paragraphedeliste"/>
              <w:numPr>
                <w:ilvl w:val="1"/>
                <w:numId w:val="19"/>
              </w:numPr>
              <w:contextualSpacing w:val="0"/>
              <w:jc w:val="both"/>
              <w:rPr>
                <w:rFonts w:ascii="Times New Roman" w:hAnsi="Times New Roman" w:cs="Times New Roman"/>
                <w:sz w:val="20"/>
                <w:szCs w:val="20"/>
              </w:rPr>
            </w:pPr>
            <w:r w:rsidRPr="005D0506">
              <w:rPr>
                <w:rFonts w:ascii="Times New Roman" w:hAnsi="Times New Roman" w:cs="Times New Roman"/>
                <w:sz w:val="20"/>
                <w:szCs w:val="20"/>
              </w:rPr>
              <w:t>fonctionne même sans couverture réseau mobile … une simple connexion Wifi suffit</w:t>
            </w:r>
            <w:r w:rsidR="004A53BF">
              <w:rPr>
                <w:rFonts w:ascii="Times New Roman" w:hAnsi="Times New Roman" w:cs="Times New Roman"/>
                <w:sz w:val="20"/>
                <w:szCs w:val="20"/>
              </w:rPr>
              <w:t>.</w:t>
            </w:r>
          </w:p>
          <w:p w:rsidR="005D0506" w:rsidRPr="005D0506" w:rsidRDefault="005D0506" w:rsidP="005D0506">
            <w:pPr>
              <w:pStyle w:val="wordsection1"/>
              <w:numPr>
                <w:ilvl w:val="0"/>
                <w:numId w:val="10"/>
              </w:numPr>
              <w:spacing w:before="0" w:beforeAutospacing="0" w:after="0" w:afterAutospacing="0"/>
              <w:ind w:left="187" w:hanging="187"/>
              <w:jc w:val="both"/>
              <w:rPr>
                <w:sz w:val="20"/>
                <w:szCs w:val="20"/>
              </w:rPr>
            </w:pPr>
            <w:r w:rsidRPr="005D0506">
              <w:rPr>
                <w:sz w:val="20"/>
                <w:szCs w:val="20"/>
              </w:rPr>
              <w:t xml:space="preserve">Retrouvez toutes les informations dans la note </w:t>
            </w:r>
            <w:hyperlink r:id="rId29" w:history="1">
              <w:r w:rsidRPr="005D0506">
                <w:rPr>
                  <w:rStyle w:val="Lienhypertexte"/>
                  <w:sz w:val="20"/>
                  <w:szCs w:val="20"/>
                </w:rPr>
                <w:t>DMA-INF 18.011</w:t>
              </w:r>
            </w:hyperlink>
            <w:r w:rsidRPr="005D0506">
              <w:rPr>
                <w:sz w:val="20"/>
                <w:szCs w:val="20"/>
              </w:rPr>
              <w:t xml:space="preserve"> disponible sur le portail.</w:t>
            </w:r>
          </w:p>
          <w:p w:rsidR="005D0506" w:rsidRPr="005D0506" w:rsidRDefault="005D0506" w:rsidP="005D0506">
            <w:pPr>
              <w:pStyle w:val="wordsection1"/>
              <w:numPr>
                <w:ilvl w:val="0"/>
                <w:numId w:val="10"/>
              </w:numPr>
              <w:spacing w:before="0" w:beforeAutospacing="0" w:after="0" w:afterAutospacing="0"/>
              <w:ind w:left="187" w:hanging="187"/>
              <w:jc w:val="both"/>
              <w:rPr>
                <w:sz w:val="20"/>
                <w:szCs w:val="20"/>
              </w:rPr>
            </w:pPr>
            <w:r w:rsidRPr="005D0506">
              <w:rPr>
                <w:sz w:val="20"/>
                <w:szCs w:val="20"/>
              </w:rPr>
              <w:t xml:space="preserve">Une campagne nationale de communication sera mise en place courant mai afin de présenter le service à nos clients. En attendant le déploiement auprès de nos clients, découvrez une courte vidéo présentant le parcours d’enrôlement sur Mobile : </w:t>
            </w:r>
            <w:hyperlink r:id="rId30" w:history="1">
              <w:r w:rsidRPr="005D0506">
                <w:rPr>
                  <w:rStyle w:val="Lienhypertexte"/>
                  <w:sz w:val="20"/>
                  <w:szCs w:val="20"/>
                </w:rPr>
                <w:t>Cliquer ici</w:t>
              </w:r>
            </w:hyperlink>
            <w:r w:rsidRPr="005D0506">
              <w:rPr>
                <w:sz w:val="20"/>
                <w:szCs w:val="20"/>
              </w:rPr>
              <w:t xml:space="preserve"> </w:t>
            </w:r>
          </w:p>
        </w:tc>
      </w:tr>
      <w:tr w:rsidR="004A53BF" w:rsidRPr="005A0216" w:rsidTr="00E8740A">
        <w:trPr>
          <w:trHeight w:val="248"/>
        </w:trPr>
        <w:tc>
          <w:tcPr>
            <w:tcW w:w="1560" w:type="dxa"/>
            <w:tcBorders>
              <w:bottom w:val="single" w:sz="4" w:space="0" w:color="auto"/>
            </w:tcBorders>
          </w:tcPr>
          <w:p w:rsidR="004A53BF" w:rsidRDefault="004A53BF" w:rsidP="00C3061A">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4A53BF" w:rsidRPr="004A53BF" w:rsidRDefault="004A53BF" w:rsidP="00B1258A">
            <w:pPr>
              <w:rPr>
                <w:rFonts w:ascii="Times New Roman" w:hAnsi="Times New Roman" w:cs="Times New Roman"/>
                <w:b/>
                <w:sz w:val="20"/>
                <w:szCs w:val="20"/>
              </w:rPr>
            </w:pPr>
            <w:r w:rsidRPr="004A53BF">
              <w:rPr>
                <w:rFonts w:ascii="Times New Roman" w:hAnsi="Times New Roman" w:cs="Times New Roman"/>
                <w:b/>
                <w:sz w:val="20"/>
                <w:szCs w:val="20"/>
              </w:rPr>
              <w:t xml:space="preserve">E-Documents – </w:t>
            </w:r>
            <w:r w:rsidRPr="004A53BF">
              <w:rPr>
                <w:rFonts w:ascii="Times New Roman" w:hAnsi="Times New Roman" w:cs="Times New Roman"/>
                <w:b/>
                <w:sz w:val="20"/>
                <w:szCs w:val="20"/>
              </w:rPr>
              <w:lastRenderedPageBreak/>
              <w:t>souscription lors des EER</w:t>
            </w:r>
          </w:p>
        </w:tc>
        <w:tc>
          <w:tcPr>
            <w:tcW w:w="12332" w:type="dxa"/>
            <w:tcBorders>
              <w:bottom w:val="single" w:sz="4" w:space="0" w:color="auto"/>
            </w:tcBorders>
            <w:shd w:val="clear" w:color="auto" w:fill="auto"/>
          </w:tcPr>
          <w:p w:rsidR="004A53BF" w:rsidRPr="004A53BF" w:rsidRDefault="004A53BF" w:rsidP="004A53BF">
            <w:pPr>
              <w:pStyle w:val="wordsection1"/>
              <w:numPr>
                <w:ilvl w:val="0"/>
                <w:numId w:val="10"/>
              </w:numPr>
              <w:spacing w:before="0" w:beforeAutospacing="0" w:after="0" w:afterAutospacing="0"/>
              <w:ind w:left="187" w:hanging="187"/>
              <w:jc w:val="both"/>
              <w:rPr>
                <w:sz w:val="20"/>
                <w:szCs w:val="20"/>
              </w:rPr>
            </w:pPr>
            <w:r w:rsidRPr="004A53BF">
              <w:rPr>
                <w:sz w:val="20"/>
                <w:szCs w:val="20"/>
              </w:rPr>
              <w:lastRenderedPageBreak/>
              <w:t>La CELCA occupe la 5</w:t>
            </w:r>
            <w:r w:rsidRPr="004A53BF">
              <w:rPr>
                <w:sz w:val="20"/>
                <w:szCs w:val="20"/>
                <w:vertAlign w:val="superscript"/>
              </w:rPr>
              <w:t>ème</w:t>
            </w:r>
            <w:r w:rsidRPr="004A53BF">
              <w:rPr>
                <w:sz w:val="20"/>
                <w:szCs w:val="20"/>
              </w:rPr>
              <w:t xml:space="preserve"> place au niveau national concernant le</w:t>
            </w:r>
            <w:r w:rsidR="00C4150D">
              <w:rPr>
                <w:sz w:val="20"/>
                <w:szCs w:val="20"/>
              </w:rPr>
              <w:t xml:space="preserve"> </w:t>
            </w:r>
            <w:r w:rsidRPr="004A53BF">
              <w:rPr>
                <w:sz w:val="20"/>
                <w:szCs w:val="20"/>
              </w:rPr>
              <w:t>nombre de clients particuliers BAD actifs</w:t>
            </w:r>
            <w:r w:rsidR="00C4150D">
              <w:rPr>
                <w:sz w:val="20"/>
                <w:szCs w:val="20"/>
              </w:rPr>
              <w:t xml:space="preserve"> </w:t>
            </w:r>
            <w:r w:rsidRPr="004A53BF">
              <w:rPr>
                <w:sz w:val="20"/>
                <w:szCs w:val="20"/>
              </w:rPr>
              <w:t xml:space="preserve">équipés du service e-DOCUMENT avec </w:t>
            </w:r>
            <w:r w:rsidRPr="004A53BF">
              <w:rPr>
                <w:sz w:val="20"/>
                <w:szCs w:val="20"/>
              </w:rPr>
              <w:lastRenderedPageBreak/>
              <w:t xml:space="preserve">un score de 66%. </w:t>
            </w:r>
          </w:p>
          <w:p w:rsidR="004A53BF" w:rsidRPr="004A53BF" w:rsidRDefault="004A53BF" w:rsidP="00B1258A">
            <w:pPr>
              <w:pStyle w:val="wordsection1"/>
              <w:numPr>
                <w:ilvl w:val="0"/>
                <w:numId w:val="10"/>
              </w:numPr>
              <w:spacing w:before="0" w:beforeAutospacing="0" w:after="0" w:afterAutospacing="0"/>
              <w:ind w:left="187" w:hanging="187"/>
              <w:jc w:val="both"/>
              <w:rPr>
                <w:sz w:val="20"/>
                <w:szCs w:val="20"/>
              </w:rPr>
            </w:pPr>
            <w:r w:rsidRPr="004A53BF">
              <w:rPr>
                <w:sz w:val="20"/>
                <w:szCs w:val="20"/>
              </w:rPr>
              <w:t xml:space="preserve">Par contre </w:t>
            </w:r>
            <w:r w:rsidRPr="004A53BF">
              <w:rPr>
                <w:b/>
                <w:sz w:val="20"/>
                <w:szCs w:val="20"/>
              </w:rPr>
              <w:t>nous enregistrons un des taux les plus faibles sur la souscription au service lors des entrées en relation.</w:t>
            </w:r>
            <w:r w:rsidRPr="004A53BF">
              <w:rPr>
                <w:sz w:val="20"/>
                <w:szCs w:val="20"/>
              </w:rPr>
              <w:t xml:space="preserve"> Notre caisse se situe à l’avant dernière place avec un taux de 24.5% de souscription au service lors de l’EER. </w:t>
            </w:r>
          </w:p>
          <w:p w:rsidR="004A53BF" w:rsidRPr="004A53BF" w:rsidRDefault="004A53BF" w:rsidP="004A53BF">
            <w:pPr>
              <w:pStyle w:val="wordsection1"/>
              <w:numPr>
                <w:ilvl w:val="0"/>
                <w:numId w:val="10"/>
              </w:numPr>
              <w:spacing w:before="0" w:beforeAutospacing="0" w:after="0" w:afterAutospacing="0"/>
              <w:ind w:left="187" w:hanging="187"/>
              <w:jc w:val="both"/>
              <w:rPr>
                <w:sz w:val="20"/>
                <w:szCs w:val="20"/>
              </w:rPr>
            </w:pPr>
            <w:r w:rsidRPr="004A53BF">
              <w:rPr>
                <w:sz w:val="20"/>
                <w:szCs w:val="20"/>
              </w:rPr>
              <w:t xml:space="preserve">Remobilisons-nous afin de proposer ce service qui présente de nombreux avantages : </w:t>
            </w:r>
          </w:p>
          <w:p w:rsidR="004A53BF" w:rsidRPr="004A53BF" w:rsidRDefault="004A53BF" w:rsidP="004A53BF">
            <w:pPr>
              <w:pStyle w:val="Paragraphedeliste"/>
              <w:numPr>
                <w:ilvl w:val="1"/>
                <w:numId w:val="19"/>
              </w:numPr>
              <w:contextualSpacing w:val="0"/>
              <w:jc w:val="both"/>
              <w:rPr>
                <w:rFonts w:ascii="Times New Roman" w:hAnsi="Times New Roman" w:cs="Times New Roman"/>
                <w:sz w:val="20"/>
                <w:szCs w:val="20"/>
              </w:rPr>
            </w:pPr>
            <w:r w:rsidRPr="004A53BF">
              <w:rPr>
                <w:rFonts w:ascii="Times New Roman" w:hAnsi="Times New Roman" w:cs="Times New Roman"/>
                <w:sz w:val="20"/>
                <w:szCs w:val="20"/>
              </w:rPr>
              <w:t>La préservation de l’environnement</w:t>
            </w:r>
            <w:r>
              <w:rPr>
                <w:rFonts w:ascii="Times New Roman" w:hAnsi="Times New Roman" w:cs="Times New Roman"/>
                <w:sz w:val="20"/>
                <w:szCs w:val="20"/>
              </w:rPr>
              <w:t>,</w:t>
            </w:r>
            <w:r w:rsidRPr="004A53BF">
              <w:rPr>
                <w:rFonts w:ascii="Times New Roman" w:hAnsi="Times New Roman" w:cs="Times New Roman"/>
                <w:sz w:val="20"/>
                <w:szCs w:val="20"/>
              </w:rPr>
              <w:t xml:space="preserve"> </w:t>
            </w:r>
          </w:p>
          <w:p w:rsidR="004A53BF" w:rsidRPr="004A53BF" w:rsidRDefault="004A53BF" w:rsidP="004A53BF">
            <w:pPr>
              <w:pStyle w:val="Paragraphedeliste"/>
              <w:numPr>
                <w:ilvl w:val="1"/>
                <w:numId w:val="19"/>
              </w:numPr>
              <w:contextualSpacing w:val="0"/>
              <w:jc w:val="both"/>
              <w:rPr>
                <w:rFonts w:ascii="Times New Roman" w:hAnsi="Times New Roman" w:cs="Times New Roman"/>
                <w:sz w:val="20"/>
                <w:szCs w:val="20"/>
              </w:rPr>
            </w:pPr>
            <w:r w:rsidRPr="004A53BF">
              <w:rPr>
                <w:rFonts w:ascii="Times New Roman" w:hAnsi="Times New Roman" w:cs="Times New Roman"/>
                <w:sz w:val="20"/>
                <w:szCs w:val="20"/>
              </w:rPr>
              <w:t>La mise en place d’une organisation performante</w:t>
            </w:r>
            <w:r w:rsidR="00C4150D">
              <w:rPr>
                <w:rFonts w:ascii="Times New Roman" w:hAnsi="Times New Roman" w:cs="Times New Roman"/>
                <w:sz w:val="20"/>
                <w:szCs w:val="20"/>
              </w:rPr>
              <w:t xml:space="preserve"> </w:t>
            </w:r>
            <w:r w:rsidRPr="004A53BF">
              <w:rPr>
                <w:rFonts w:ascii="Times New Roman" w:hAnsi="Times New Roman" w:cs="Times New Roman"/>
                <w:sz w:val="20"/>
                <w:szCs w:val="20"/>
              </w:rPr>
              <w:t>tant coté Caisse d’Epargne (archivage dans PLAN DE CLASS.), que coté client (archivage via la BAD, accessible 24/7)</w:t>
            </w:r>
            <w:r>
              <w:rPr>
                <w:rFonts w:ascii="Times New Roman" w:hAnsi="Times New Roman" w:cs="Times New Roman"/>
                <w:sz w:val="20"/>
                <w:szCs w:val="20"/>
              </w:rPr>
              <w:t>,</w:t>
            </w:r>
          </w:p>
          <w:p w:rsidR="004A53BF" w:rsidRPr="004A53BF" w:rsidRDefault="004A53BF" w:rsidP="004A53BF">
            <w:pPr>
              <w:pStyle w:val="Paragraphedeliste"/>
              <w:numPr>
                <w:ilvl w:val="1"/>
                <w:numId w:val="19"/>
              </w:numPr>
              <w:contextualSpacing w:val="0"/>
              <w:jc w:val="both"/>
              <w:rPr>
                <w:rFonts w:ascii="Times New Roman" w:hAnsi="Times New Roman" w:cs="Times New Roman"/>
                <w:sz w:val="20"/>
                <w:szCs w:val="20"/>
              </w:rPr>
            </w:pPr>
            <w:r w:rsidRPr="004A53BF">
              <w:rPr>
                <w:rFonts w:ascii="Times New Roman" w:hAnsi="Times New Roman" w:cs="Times New Roman"/>
                <w:sz w:val="20"/>
                <w:szCs w:val="20"/>
              </w:rPr>
              <w:t>Source d’économies pour la Caisse d’Epargne (édition et affranchissement) comme pour le client (gain de temps, suppression des coûts d’archivage et de demande de duplicata…)</w:t>
            </w:r>
            <w:r>
              <w:rPr>
                <w:rFonts w:ascii="Times New Roman" w:hAnsi="Times New Roman" w:cs="Times New Roman"/>
                <w:sz w:val="20"/>
                <w:szCs w:val="20"/>
              </w:rPr>
              <w:t>.</w:t>
            </w:r>
          </w:p>
        </w:tc>
      </w:tr>
      <w:tr w:rsidR="00E8740A" w:rsidRPr="005A0216" w:rsidTr="00E8740A">
        <w:trPr>
          <w:trHeight w:val="248"/>
        </w:trPr>
        <w:tc>
          <w:tcPr>
            <w:tcW w:w="15735" w:type="dxa"/>
            <w:gridSpan w:val="3"/>
            <w:tcBorders>
              <w:bottom w:val="single" w:sz="4" w:space="0" w:color="auto"/>
            </w:tcBorders>
            <w:shd w:val="clear" w:color="auto" w:fill="BFBFBF" w:themeFill="background1" w:themeFillShade="BF"/>
          </w:tcPr>
          <w:p w:rsidR="00E8740A" w:rsidRPr="00E8740A" w:rsidRDefault="00E8740A" w:rsidP="00E8740A">
            <w:pPr>
              <w:pStyle w:val="wordsection1"/>
              <w:spacing w:before="0" w:beforeAutospacing="0" w:after="0" w:afterAutospacing="0"/>
              <w:jc w:val="center"/>
              <w:rPr>
                <w:b/>
                <w:sz w:val="20"/>
                <w:szCs w:val="20"/>
              </w:rPr>
            </w:pPr>
            <w:r w:rsidRPr="00E8740A">
              <w:rPr>
                <w:b/>
                <w:sz w:val="20"/>
                <w:szCs w:val="20"/>
              </w:rPr>
              <w:lastRenderedPageBreak/>
              <w:t>Pros</w:t>
            </w:r>
          </w:p>
        </w:tc>
      </w:tr>
      <w:tr w:rsidR="00E8740A" w:rsidRPr="005A0216" w:rsidTr="00AF3BE3">
        <w:trPr>
          <w:trHeight w:val="248"/>
        </w:trPr>
        <w:tc>
          <w:tcPr>
            <w:tcW w:w="1560" w:type="dxa"/>
            <w:tcBorders>
              <w:bottom w:val="single" w:sz="4" w:space="0" w:color="auto"/>
            </w:tcBorders>
          </w:tcPr>
          <w:p w:rsidR="00E8740A" w:rsidRDefault="00E8740A"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E8740A" w:rsidRDefault="00E8740A">
            <w:pPr>
              <w:rPr>
                <w:rFonts w:ascii="Calibri" w:hAnsi="Calibri" w:cs="Calibri"/>
                <w:sz w:val="20"/>
                <w:szCs w:val="20"/>
              </w:rPr>
            </w:pPr>
            <w:r>
              <w:rPr>
                <w:rFonts w:ascii="Times New Roman" w:hAnsi="Times New Roman" w:cs="Times New Roman"/>
                <w:b/>
                <w:bCs/>
                <w:sz w:val="20"/>
                <w:szCs w:val="20"/>
              </w:rPr>
              <w:t>SIRET fictif – impact sur la monétique</w:t>
            </w:r>
          </w:p>
        </w:tc>
        <w:tc>
          <w:tcPr>
            <w:tcW w:w="12332" w:type="dxa"/>
            <w:tcBorders>
              <w:bottom w:val="single" w:sz="4" w:space="0" w:color="auto"/>
            </w:tcBorders>
            <w:shd w:val="clear" w:color="auto" w:fill="auto"/>
          </w:tcPr>
          <w:p w:rsidR="00E8740A" w:rsidRDefault="00E8740A" w:rsidP="00E8740A">
            <w:pPr>
              <w:numPr>
                <w:ilvl w:val="0"/>
                <w:numId w:val="23"/>
              </w:numPr>
              <w:ind w:left="176" w:hanging="176"/>
              <w:contextualSpacing/>
              <w:rPr>
                <w:rFonts w:ascii="Times New Roman" w:hAnsi="Times New Roman" w:cs="Times New Roman"/>
                <w:color w:val="1F497D"/>
                <w:sz w:val="20"/>
                <w:szCs w:val="20"/>
                <w:lang w:eastAsia="fr-FR"/>
              </w:rPr>
            </w:pPr>
            <w:r>
              <w:rPr>
                <w:rFonts w:ascii="Times New Roman" w:hAnsi="Times New Roman" w:cs="Times New Roman"/>
                <w:sz w:val="20"/>
                <w:szCs w:val="20"/>
                <w:lang w:eastAsia="fr-FR"/>
              </w:rPr>
              <w:t xml:space="preserve">Suite à la mise en place de nouveaux contrôles par le GIE de </w:t>
            </w:r>
            <w:proofErr w:type="spellStart"/>
            <w:r>
              <w:rPr>
                <w:rFonts w:ascii="Times New Roman" w:hAnsi="Times New Roman" w:cs="Times New Roman"/>
                <w:sz w:val="20"/>
                <w:szCs w:val="20"/>
                <w:lang w:eastAsia="fr-FR"/>
              </w:rPr>
              <w:t>Natixis</w:t>
            </w:r>
            <w:proofErr w:type="spellEnd"/>
            <w:r>
              <w:rPr>
                <w:rFonts w:ascii="Times New Roman" w:hAnsi="Times New Roman" w:cs="Times New Roman"/>
                <w:sz w:val="20"/>
                <w:szCs w:val="20"/>
                <w:lang w:eastAsia="fr-FR"/>
              </w:rPr>
              <w:t xml:space="preserve"> Payement Solutions, il a été constaté une utilisation abusive des SIRET fictif. Nous vous rappelons que l’usage du SIRET fictif à usage temporaire n’est toléré que pendant 3 mois.</w:t>
            </w:r>
          </w:p>
          <w:p w:rsidR="00E8740A" w:rsidRDefault="00E8740A" w:rsidP="00E8740A">
            <w:pPr>
              <w:numPr>
                <w:ilvl w:val="0"/>
                <w:numId w:val="23"/>
              </w:numPr>
              <w:ind w:left="176" w:hanging="176"/>
              <w:contextualSpacing/>
              <w:rPr>
                <w:rFonts w:ascii="Times New Roman" w:hAnsi="Times New Roman" w:cs="Times New Roman"/>
                <w:color w:val="1F497D"/>
                <w:sz w:val="20"/>
                <w:szCs w:val="20"/>
                <w:lang w:eastAsia="fr-FR"/>
              </w:rPr>
            </w:pPr>
            <w:r>
              <w:rPr>
                <w:rFonts w:ascii="Times New Roman" w:hAnsi="Times New Roman" w:cs="Times New Roman"/>
                <w:sz w:val="20"/>
                <w:szCs w:val="20"/>
                <w:lang w:eastAsia="fr-FR"/>
              </w:rPr>
              <w:t>Au-delà des 3 mois les SIRET temporaires vont désormais être identifiés comme « invalides » par le GIE. La conséquence étant, en cas de litige, le risque d’impayés pour le commerçant au motif 17 pour cause « Siret invalide ».</w:t>
            </w:r>
          </w:p>
          <w:p w:rsidR="00E8740A" w:rsidRDefault="00E8740A" w:rsidP="00E8740A">
            <w:pPr>
              <w:numPr>
                <w:ilvl w:val="0"/>
                <w:numId w:val="23"/>
              </w:numPr>
              <w:ind w:left="176" w:hanging="176"/>
              <w:contextualSpacing/>
              <w:rPr>
                <w:rFonts w:ascii="Times New Roman" w:hAnsi="Times New Roman" w:cs="Times New Roman"/>
                <w:color w:val="1F497D"/>
                <w:sz w:val="20"/>
                <w:szCs w:val="20"/>
                <w:lang w:eastAsia="fr-FR"/>
              </w:rPr>
            </w:pPr>
            <w:r>
              <w:rPr>
                <w:rFonts w:ascii="Times New Roman" w:hAnsi="Times New Roman" w:cs="Times New Roman"/>
                <w:sz w:val="20"/>
                <w:szCs w:val="20"/>
                <w:lang w:eastAsia="fr-FR"/>
              </w:rPr>
              <w:t xml:space="preserve">Retrouvez en cliquant </w:t>
            </w:r>
            <w:hyperlink r:id="rId31" w:history="1">
              <w:r>
                <w:rPr>
                  <w:rStyle w:val="Lienhypertexte"/>
                  <w:rFonts w:ascii="Times New Roman" w:hAnsi="Times New Roman" w:cs="Times New Roman"/>
                  <w:sz w:val="20"/>
                  <w:szCs w:val="20"/>
                  <w:lang w:eastAsia="fr-FR"/>
                </w:rPr>
                <w:t>ICI</w:t>
              </w:r>
            </w:hyperlink>
            <w:r>
              <w:rPr>
                <w:rFonts w:ascii="Times New Roman" w:hAnsi="Times New Roman" w:cs="Times New Roman"/>
                <w:sz w:val="20"/>
                <w:szCs w:val="20"/>
                <w:lang w:eastAsia="fr-FR"/>
              </w:rPr>
              <w:t xml:space="preserve"> la liste des clients pour lesquels le SIRET doit être modifié sur MYSYS et dans OSC.</w:t>
            </w:r>
          </w:p>
        </w:tc>
      </w:tr>
      <w:tr w:rsidR="00E8740A" w:rsidRPr="005A0216" w:rsidTr="00AF3BE3">
        <w:trPr>
          <w:trHeight w:val="248"/>
        </w:trPr>
        <w:tc>
          <w:tcPr>
            <w:tcW w:w="1560" w:type="dxa"/>
            <w:tcBorders>
              <w:bottom w:val="single" w:sz="4" w:space="0" w:color="auto"/>
            </w:tcBorders>
          </w:tcPr>
          <w:p w:rsidR="00E8740A" w:rsidRDefault="00E8740A"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E8740A" w:rsidRDefault="00E8740A">
            <w:pPr>
              <w:rPr>
                <w:rFonts w:ascii="Calibri" w:hAnsi="Calibri" w:cs="Calibri"/>
                <w:sz w:val="20"/>
                <w:szCs w:val="20"/>
              </w:rPr>
            </w:pPr>
            <w:r>
              <w:rPr>
                <w:rFonts w:ascii="Times New Roman" w:hAnsi="Times New Roman" w:cs="Times New Roman"/>
                <w:b/>
                <w:bCs/>
                <w:sz w:val="20"/>
                <w:szCs w:val="20"/>
              </w:rPr>
              <w:t>Suivi du Fonds de Commerce</w:t>
            </w:r>
          </w:p>
        </w:tc>
        <w:tc>
          <w:tcPr>
            <w:tcW w:w="12332" w:type="dxa"/>
            <w:tcBorders>
              <w:bottom w:val="single" w:sz="4" w:space="0" w:color="auto"/>
            </w:tcBorders>
            <w:shd w:val="clear" w:color="auto" w:fill="auto"/>
          </w:tcPr>
          <w:p w:rsidR="00E8740A" w:rsidRDefault="00E8740A" w:rsidP="00E8740A">
            <w:pPr>
              <w:numPr>
                <w:ilvl w:val="0"/>
                <w:numId w:val="23"/>
              </w:numPr>
              <w:ind w:left="176" w:hanging="176"/>
              <w:contextualSpacing/>
              <w:rPr>
                <w:rFonts w:ascii="Calibri" w:hAnsi="Calibri" w:cs="Calibri"/>
                <w:sz w:val="20"/>
                <w:szCs w:val="20"/>
              </w:rPr>
            </w:pPr>
            <w:r>
              <w:rPr>
                <w:rFonts w:ascii="Times New Roman" w:hAnsi="Times New Roman" w:cs="Times New Roman"/>
                <w:color w:val="000000"/>
                <w:sz w:val="20"/>
                <w:szCs w:val="20"/>
                <w:lang w:eastAsia="fr-FR"/>
              </w:rPr>
              <w:t>Le suivi du Fon</w:t>
            </w:r>
            <w:r>
              <w:rPr>
                <w:rFonts w:ascii="Times New Roman" w:hAnsi="Times New Roman" w:cs="Times New Roman"/>
                <w:sz w:val="20"/>
                <w:szCs w:val="20"/>
                <w:lang w:eastAsia="fr-FR"/>
              </w:rPr>
              <w:t>ds de Commerce Pro à fin février</w:t>
            </w:r>
            <w:r>
              <w:rPr>
                <w:rFonts w:ascii="Times New Roman" w:hAnsi="Times New Roman" w:cs="Times New Roman"/>
                <w:color w:val="000000"/>
                <w:sz w:val="20"/>
                <w:szCs w:val="20"/>
                <w:lang w:eastAsia="fr-FR"/>
              </w:rPr>
              <w:t xml:space="preserve"> est disponible dans </w:t>
            </w:r>
            <w:hyperlink r:id="rId32" w:history="1">
              <w:r>
                <w:rPr>
                  <w:rStyle w:val="Lienhypertexte"/>
                  <w:rFonts w:ascii="Times New Roman" w:hAnsi="Times New Roman" w:cs="Times New Roman"/>
                  <w:sz w:val="20"/>
                  <w:szCs w:val="20"/>
                  <w:lang w:eastAsia="fr-FR"/>
                </w:rPr>
                <w:t>l’Espace Pros de la Rubrique des Commerciaux / Fonds de Commerce / Résultats Fonds de Commerce Pros / 20180228 Résultats Fonds de Commerce Pro.</w:t>
              </w:r>
            </w:hyperlink>
          </w:p>
        </w:tc>
      </w:tr>
      <w:tr w:rsidR="00E8740A" w:rsidRPr="005A0216" w:rsidTr="00AF3BE3">
        <w:trPr>
          <w:trHeight w:val="248"/>
        </w:trPr>
        <w:tc>
          <w:tcPr>
            <w:tcW w:w="1560" w:type="dxa"/>
            <w:tcBorders>
              <w:bottom w:val="single" w:sz="4" w:space="0" w:color="auto"/>
            </w:tcBorders>
          </w:tcPr>
          <w:p w:rsidR="00E8740A" w:rsidRDefault="00E8740A" w:rsidP="00C3061A">
            <w:pPr>
              <w:rPr>
                <w:rFonts w:ascii="Times New Roman" w:hAnsi="Times New Roman" w:cs="Times New Roman"/>
                <w:b/>
                <w:bCs/>
                <w:sz w:val="20"/>
                <w:szCs w:val="20"/>
              </w:rPr>
            </w:pPr>
            <w:r>
              <w:rPr>
                <w:rFonts w:ascii="Times New Roman" w:hAnsi="Times New Roman" w:cs="Times New Roman"/>
                <w:b/>
                <w:bCs/>
                <w:sz w:val="20"/>
                <w:szCs w:val="20"/>
              </w:rPr>
              <w:t>Com. DMP</w:t>
            </w:r>
          </w:p>
        </w:tc>
        <w:tc>
          <w:tcPr>
            <w:tcW w:w="1843" w:type="dxa"/>
            <w:tcBorders>
              <w:bottom w:val="single" w:sz="4" w:space="0" w:color="auto"/>
            </w:tcBorders>
          </w:tcPr>
          <w:p w:rsidR="00E8740A" w:rsidRDefault="00E8740A">
            <w:pPr>
              <w:rPr>
                <w:rFonts w:ascii="Times New Roman" w:hAnsi="Times New Roman" w:cs="Times New Roman"/>
                <w:b/>
                <w:bCs/>
                <w:sz w:val="20"/>
                <w:szCs w:val="20"/>
              </w:rPr>
            </w:pPr>
            <w:r>
              <w:rPr>
                <w:rFonts w:ascii="Times New Roman" w:hAnsi="Times New Roman" w:cs="Times New Roman"/>
                <w:b/>
                <w:bCs/>
                <w:sz w:val="20"/>
                <w:szCs w:val="20"/>
              </w:rPr>
              <w:t>Prêt Relais TVA</w:t>
            </w:r>
          </w:p>
        </w:tc>
        <w:tc>
          <w:tcPr>
            <w:tcW w:w="12332" w:type="dxa"/>
            <w:tcBorders>
              <w:bottom w:val="single" w:sz="4" w:space="0" w:color="auto"/>
            </w:tcBorders>
            <w:shd w:val="clear" w:color="auto" w:fill="auto"/>
          </w:tcPr>
          <w:p w:rsidR="00E8740A" w:rsidRDefault="00E8740A" w:rsidP="00E8740A">
            <w:pPr>
              <w:numPr>
                <w:ilvl w:val="0"/>
                <w:numId w:val="23"/>
              </w:numPr>
              <w:ind w:left="176" w:hanging="176"/>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 xml:space="preserve">Pour mémoire, un prêt relais TVA permet au client de palier au décalage entre la dépense et le remboursement de la TVA par l’Etat. </w:t>
            </w:r>
          </w:p>
          <w:p w:rsidR="00E8740A" w:rsidRDefault="00E8740A">
            <w:pPr>
              <w:ind w:left="176"/>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C’est pourquoi, dans le cadre de financement de travaux ou de construction, le client demande souvent un financement court terme sous forme de prêt relais. Celui-ci est toujours accompagné d’un prêt amortissable pour le financement du HT.</w:t>
            </w:r>
          </w:p>
          <w:p w:rsidR="00E8740A" w:rsidRDefault="00E8740A" w:rsidP="00E8740A">
            <w:pPr>
              <w:numPr>
                <w:ilvl w:val="0"/>
                <w:numId w:val="23"/>
              </w:numPr>
              <w:ind w:left="176" w:hanging="176"/>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Il est constaté aujourd’hui de plus en plus de dossiers sur lesquels le prêt relais a été surestimé.</w:t>
            </w:r>
          </w:p>
          <w:p w:rsidR="00E8740A" w:rsidRDefault="00E8740A" w:rsidP="00E8740A">
            <w:pPr>
              <w:numPr>
                <w:ilvl w:val="0"/>
                <w:numId w:val="23"/>
              </w:numPr>
              <w:ind w:left="176" w:hanging="176"/>
              <w:contextualSpacing/>
              <w:rPr>
                <w:rFonts w:ascii="Times New Roman" w:hAnsi="Times New Roman" w:cs="Times New Roman"/>
                <w:b/>
                <w:bCs/>
                <w:sz w:val="20"/>
                <w:szCs w:val="20"/>
                <w:lang w:eastAsia="fr-FR"/>
              </w:rPr>
            </w:pPr>
            <w:r>
              <w:rPr>
                <w:rFonts w:ascii="Times New Roman" w:hAnsi="Times New Roman" w:cs="Times New Roman"/>
                <w:b/>
                <w:bCs/>
                <w:sz w:val="20"/>
                <w:szCs w:val="20"/>
                <w:lang w:eastAsia="fr-FR"/>
              </w:rPr>
              <w:t>Désormais, il a été convenu ce qui suit :</w:t>
            </w:r>
          </w:p>
          <w:p w:rsidR="00E8740A" w:rsidRDefault="00E8740A" w:rsidP="00E8740A">
            <w:pPr>
              <w:numPr>
                <w:ilvl w:val="1"/>
                <w:numId w:val="23"/>
              </w:numPr>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Lors du contrôle du dossier : le service crédit vérifie que le montant du prêt relais ne dépasse pas 20% du prêt amortissable (partie travaux/construction hors acquisition). Si le prêt relais est supérieur, demandez à l’instructeur de remonter un dossier cohérent.</w:t>
            </w:r>
          </w:p>
          <w:p w:rsidR="00E8740A" w:rsidRDefault="00E8740A" w:rsidP="00E8740A">
            <w:pPr>
              <w:numPr>
                <w:ilvl w:val="1"/>
                <w:numId w:val="23"/>
              </w:numPr>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Lors du versement des fonds : le service crédit débloque le HT à partir prêt amortissable et la TVA à partir du prêt relais (sur justificatif)</w:t>
            </w:r>
          </w:p>
          <w:p w:rsidR="00E8740A" w:rsidRDefault="00E8740A" w:rsidP="00E8740A">
            <w:pPr>
              <w:numPr>
                <w:ilvl w:val="1"/>
                <w:numId w:val="23"/>
              </w:numPr>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Aux derniers versements : si le prêt amortissable est entièrement versé et qu’il reste un reliquat sur le prêt relais, le service crédit pourra débloquer le prêt relais si et seulement si les conditions suivantes sont réunies :</w:t>
            </w:r>
          </w:p>
          <w:p w:rsidR="00E8740A" w:rsidRDefault="00E8740A" w:rsidP="00E8740A">
            <w:pPr>
              <w:numPr>
                <w:ilvl w:val="2"/>
                <w:numId w:val="23"/>
              </w:numPr>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Sur présentation de factures complémentaires</w:t>
            </w:r>
          </w:p>
          <w:p w:rsidR="00E8740A" w:rsidRDefault="00E8740A" w:rsidP="00E8740A">
            <w:pPr>
              <w:numPr>
                <w:ilvl w:val="2"/>
                <w:numId w:val="23"/>
              </w:numPr>
              <w:contextualSpacing/>
              <w:rPr>
                <w:rFonts w:ascii="Times New Roman" w:hAnsi="Times New Roman" w:cs="Times New Roman"/>
                <w:sz w:val="20"/>
                <w:szCs w:val="20"/>
                <w:lang w:eastAsia="fr-FR"/>
              </w:rPr>
            </w:pPr>
            <w:r>
              <w:rPr>
                <w:rFonts w:ascii="Times New Roman" w:hAnsi="Times New Roman" w:cs="Times New Roman"/>
                <w:sz w:val="20"/>
                <w:szCs w:val="20"/>
                <w:lang w:eastAsia="fr-FR"/>
              </w:rPr>
              <w:t>Le montant du prêt relais ne dépasse pas 20% du montant du prêt amortissable »</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7067C1"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7067C1" w:rsidRPr="002F4398" w:rsidRDefault="002F433C" w:rsidP="0036331E">
            <w:pPr>
              <w:rPr>
                <w:rFonts w:ascii="Times New Roman" w:hAnsi="Times New Roman" w:cs="Times New Roman"/>
                <w:b/>
                <w:bCs/>
                <w:strike/>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7067C1" w:rsidRPr="00634FDA" w:rsidRDefault="005A0216" w:rsidP="00A57700">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Suivi des GAB défaillants</w:t>
            </w:r>
          </w:p>
        </w:tc>
        <w:tc>
          <w:tcPr>
            <w:tcW w:w="12332" w:type="dxa"/>
            <w:tcBorders>
              <w:top w:val="single" w:sz="4" w:space="0" w:color="auto"/>
              <w:left w:val="single" w:sz="4" w:space="0" w:color="auto"/>
              <w:bottom w:val="single" w:sz="4" w:space="0" w:color="auto"/>
              <w:right w:val="single" w:sz="4" w:space="0" w:color="auto"/>
            </w:tcBorders>
          </w:tcPr>
          <w:p w:rsidR="007067C1" w:rsidRPr="005A0216" w:rsidRDefault="005A0216" w:rsidP="00CC4E75">
            <w:pPr>
              <w:pStyle w:val="wordsection1"/>
              <w:numPr>
                <w:ilvl w:val="0"/>
                <w:numId w:val="6"/>
              </w:numPr>
              <w:spacing w:before="0" w:beforeAutospacing="0" w:after="0" w:afterAutospacing="0"/>
              <w:ind w:left="187" w:hanging="187"/>
              <w:jc w:val="both"/>
              <w:rPr>
                <w:color w:val="1F497D"/>
              </w:rPr>
            </w:pPr>
            <w:r w:rsidRPr="005A0216">
              <w:rPr>
                <w:b/>
                <w:sz w:val="20"/>
                <w:szCs w:val="20"/>
              </w:rPr>
              <w:t>Retrouvez le suivi des GAB vides à fin mars 2018</w:t>
            </w:r>
            <w:r w:rsidRPr="005A0216">
              <w:rPr>
                <w:sz w:val="20"/>
                <w:szCs w:val="20"/>
              </w:rPr>
              <w:t xml:space="preserve"> dans votre espace Pilotage de la Rubrique des Commerciaux (</w:t>
            </w:r>
            <w:hyperlink r:id="rId33" w:history="1">
              <w:r w:rsidRPr="00CC4E75">
                <w:rPr>
                  <w:rStyle w:val="Lienhypertexte"/>
                  <w:sz w:val="20"/>
                  <w:szCs w:val="20"/>
                </w:rPr>
                <w:t>cliquez ici</w:t>
              </w:r>
            </w:hyperlink>
            <w:r w:rsidRPr="005A0216">
              <w:rPr>
                <w:sz w:val="20"/>
                <w:szCs w:val="20"/>
              </w:rPr>
              <w:t>).</w:t>
            </w:r>
            <w:r>
              <w:rPr>
                <w:color w:val="1F497D"/>
              </w:rPr>
              <w:t xml:space="preserve"> </w:t>
            </w:r>
            <w:r w:rsidR="00CC4E75" w:rsidRPr="00CC4E75">
              <w:rPr>
                <w:sz w:val="20"/>
                <w:szCs w:val="20"/>
              </w:rPr>
              <w:t xml:space="preserve">Sur le mois </w:t>
            </w:r>
            <w:r w:rsidR="00CC4E75">
              <w:rPr>
                <w:sz w:val="20"/>
                <w:szCs w:val="20"/>
              </w:rPr>
              <w:t>de mars, la CELCA a enregistré 31</w:t>
            </w:r>
            <w:r w:rsidR="00CC4E75" w:rsidRPr="00CC4E75">
              <w:rPr>
                <w:sz w:val="20"/>
                <w:szCs w:val="20"/>
              </w:rPr>
              <w:t xml:space="preserve"> défaillances</w:t>
            </w:r>
            <w:r w:rsidR="00CC4E75">
              <w:rPr>
                <w:sz w:val="20"/>
                <w:szCs w:val="20"/>
              </w:rPr>
              <w:t xml:space="preserve"> et 80 en cumul depuis le 1</w:t>
            </w:r>
            <w:r w:rsidR="00CC4E75" w:rsidRPr="00CC4E75">
              <w:rPr>
                <w:sz w:val="20"/>
                <w:szCs w:val="20"/>
                <w:vertAlign w:val="superscript"/>
              </w:rPr>
              <w:t>er</w:t>
            </w:r>
            <w:r w:rsidR="00CC4E75">
              <w:rPr>
                <w:sz w:val="20"/>
                <w:szCs w:val="20"/>
              </w:rPr>
              <w:t xml:space="preserve"> janvier 2018. </w:t>
            </w:r>
          </w:p>
        </w:tc>
      </w:tr>
      <w:tr w:rsidR="00634FDA"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634FDA" w:rsidRPr="002E53AA" w:rsidRDefault="00634FDA" w:rsidP="0036331E">
            <w:pPr>
              <w:rPr>
                <w:rFonts w:ascii="Times New Roman" w:hAnsi="Times New Roman" w:cs="Times New Roman"/>
                <w:b/>
                <w:bCs/>
                <w:sz w:val="20"/>
                <w:szCs w:val="20"/>
              </w:rPr>
            </w:pPr>
            <w:r w:rsidRPr="002E53AA">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634FDA" w:rsidRPr="00634FDA" w:rsidRDefault="00634FDA" w:rsidP="00634FDA">
            <w:pPr>
              <w:pStyle w:val="wordsection1"/>
              <w:rPr>
                <w:b/>
                <w:bCs/>
                <w:sz w:val="20"/>
                <w:szCs w:val="20"/>
                <w:lang w:eastAsia="en-US"/>
              </w:rPr>
            </w:pPr>
            <w:r w:rsidRPr="00634FDA">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634FDA" w:rsidRDefault="00634FDA" w:rsidP="00634FDA">
            <w:pPr>
              <w:pStyle w:val="wordsection1"/>
              <w:numPr>
                <w:ilvl w:val="0"/>
                <w:numId w:val="25"/>
              </w:numPr>
              <w:spacing w:before="0" w:beforeAutospacing="0" w:after="0" w:afterAutospacing="0"/>
              <w:ind w:left="187" w:hanging="187"/>
              <w:rPr>
                <w:color w:val="1F497D"/>
                <w:sz w:val="20"/>
                <w:szCs w:val="20"/>
              </w:rPr>
            </w:pPr>
            <w:r>
              <w:rPr>
                <w:sz w:val="20"/>
                <w:szCs w:val="20"/>
              </w:rPr>
              <w:t>Vous trouverez en cliquant</w:t>
            </w:r>
            <w:r>
              <w:rPr>
                <w:color w:val="1F497D"/>
                <w:sz w:val="20"/>
                <w:szCs w:val="20"/>
              </w:rPr>
              <w:t xml:space="preserve"> </w:t>
            </w:r>
            <w:hyperlink r:id="rId34" w:history="1">
              <w:r>
                <w:rPr>
                  <w:rStyle w:val="Lienhypertexte"/>
                  <w:sz w:val="20"/>
                  <w:szCs w:val="20"/>
                </w:rPr>
                <w:t>ici</w:t>
              </w:r>
            </w:hyperlink>
            <w:r>
              <w:rPr>
                <w:sz w:val="20"/>
                <w:szCs w:val="20"/>
              </w:rPr>
              <w:t xml:space="preserve">, le suivi de commercialisation d’IRIS (commercialisation du 17/01 au 13/06/2018). Au 09/04/2018, 156% des fonds sont placés. </w:t>
            </w:r>
          </w:p>
        </w:tc>
      </w:tr>
      <w:tr w:rsidR="00E8740A"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E8740A" w:rsidRPr="00B820CE" w:rsidRDefault="00E8740A" w:rsidP="00FF0458">
            <w:pPr>
              <w:rPr>
                <w:rFonts w:ascii="Times New Roman" w:hAnsi="Times New Roman" w:cs="Times New Roman"/>
                <w:b/>
                <w:bCs/>
                <w:sz w:val="20"/>
                <w:szCs w:val="20"/>
              </w:rPr>
            </w:pPr>
            <w:r w:rsidRPr="00B820CE">
              <w:rPr>
                <w:rFonts w:ascii="Times New Roman" w:hAnsi="Times New Roman" w:cs="Times New Roman"/>
                <w:b/>
                <w:bCs/>
                <w:sz w:val="20"/>
                <w:szCs w:val="20"/>
              </w:rPr>
              <w:t>Com. Crédits</w:t>
            </w:r>
          </w:p>
        </w:tc>
        <w:tc>
          <w:tcPr>
            <w:tcW w:w="1843" w:type="dxa"/>
            <w:tcBorders>
              <w:top w:val="single" w:sz="4" w:space="0" w:color="auto"/>
              <w:left w:val="single" w:sz="4" w:space="0" w:color="auto"/>
              <w:bottom w:val="single" w:sz="4" w:space="0" w:color="auto"/>
              <w:right w:val="single" w:sz="4" w:space="0" w:color="auto"/>
            </w:tcBorders>
          </w:tcPr>
          <w:p w:rsidR="00E8740A" w:rsidRPr="00634FDA" w:rsidRDefault="00E8740A" w:rsidP="00FF0458">
            <w:pPr>
              <w:rPr>
                <w:rFonts w:ascii="Times New Roman" w:hAnsi="Times New Roman" w:cs="Times New Roman"/>
                <w:b/>
                <w:bCs/>
                <w:color w:val="000000"/>
                <w:sz w:val="20"/>
                <w:szCs w:val="20"/>
              </w:rPr>
            </w:pPr>
            <w:r w:rsidRPr="00634FDA">
              <w:rPr>
                <w:rFonts w:ascii="Times New Roman" w:hAnsi="Times New Roman" w:cs="Times New Roman"/>
                <w:b/>
                <w:bCs/>
                <w:color w:val="000000"/>
                <w:sz w:val="20"/>
                <w:szCs w:val="20"/>
              </w:rPr>
              <w:t>Météo</w:t>
            </w:r>
          </w:p>
        </w:tc>
        <w:tc>
          <w:tcPr>
            <w:tcW w:w="12332" w:type="dxa"/>
            <w:tcBorders>
              <w:top w:val="single" w:sz="4" w:space="0" w:color="auto"/>
              <w:left w:val="single" w:sz="4" w:space="0" w:color="auto"/>
              <w:bottom w:val="single" w:sz="4" w:space="0" w:color="auto"/>
              <w:right w:val="single" w:sz="4" w:space="0" w:color="auto"/>
            </w:tcBorders>
          </w:tcPr>
          <w:p w:rsidR="00E8740A" w:rsidRPr="00B820CE" w:rsidRDefault="00E8740A" w:rsidP="00FF0458">
            <w:pPr>
              <w:pStyle w:val="Paragraphedeliste"/>
              <w:numPr>
                <w:ilvl w:val="0"/>
                <w:numId w:val="2"/>
              </w:numPr>
              <w:ind w:left="176" w:hanging="176"/>
              <w:jc w:val="both"/>
              <w:rPr>
                <w:rFonts w:ascii="Times New Roman" w:hAnsi="Times New Roman" w:cs="Times New Roman"/>
                <w:bCs/>
                <w:sz w:val="20"/>
                <w:szCs w:val="20"/>
                <w:lang w:eastAsia="fr-FR"/>
              </w:rPr>
            </w:pPr>
            <w:r w:rsidRPr="00B820CE">
              <w:rPr>
                <w:rFonts w:ascii="Times New Roman" w:hAnsi="Times New Roman" w:cs="Times New Roman"/>
                <w:sz w:val="20"/>
                <w:szCs w:val="20"/>
              </w:rPr>
              <w:t xml:space="preserve">Vous trouverez </w:t>
            </w:r>
            <w:hyperlink r:id="rId35" w:history="1">
              <w:r w:rsidRPr="00B820CE">
                <w:rPr>
                  <w:rStyle w:val="Lienhypertexte"/>
                  <w:rFonts w:ascii="Times New Roman" w:hAnsi="Times New Roman" w:cs="Times New Roman"/>
                  <w:sz w:val="20"/>
                  <w:szCs w:val="20"/>
                </w:rPr>
                <w:t>en cliquant ici</w:t>
              </w:r>
            </w:hyperlink>
            <w:r w:rsidRPr="00B820CE">
              <w:rPr>
                <w:rFonts w:ascii="Times New Roman" w:hAnsi="Times New Roman" w:cs="Times New Roman"/>
                <w:sz w:val="20"/>
                <w:szCs w:val="20"/>
              </w:rPr>
              <w:t xml:space="preserve"> </w:t>
            </w:r>
            <w:r w:rsidRPr="00B820CE">
              <w:rPr>
                <w:rFonts w:ascii="Times New Roman" w:hAnsi="Times New Roman" w:cs="Times New Roman"/>
                <w:b/>
                <w:sz w:val="20"/>
                <w:szCs w:val="20"/>
              </w:rPr>
              <w:t>la</w:t>
            </w:r>
            <w:r>
              <w:rPr>
                <w:rFonts w:ascii="Times New Roman" w:hAnsi="Times New Roman" w:cs="Times New Roman"/>
                <w:b/>
                <w:sz w:val="20"/>
                <w:szCs w:val="20"/>
              </w:rPr>
              <w:t xml:space="preserve"> météo des crédits arrêtée au 06/04</w:t>
            </w:r>
            <w:r w:rsidRPr="00B820CE">
              <w:rPr>
                <w:rFonts w:ascii="Times New Roman" w:hAnsi="Times New Roman" w:cs="Times New Roman"/>
                <w:b/>
                <w:sz w:val="20"/>
                <w:szCs w:val="20"/>
              </w:rPr>
              <w:t>/2017.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6"/>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50B9" w:rsidRDefault="001350B9" w:rsidP="0035465A">
      <w:pPr>
        <w:spacing w:after="0" w:line="240" w:lineRule="auto"/>
      </w:pPr>
      <w:r>
        <w:separator/>
      </w:r>
    </w:p>
  </w:endnote>
  <w:endnote w:type="continuationSeparator" w:id="0">
    <w:p w:rsidR="001350B9" w:rsidRDefault="001350B9"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50B9" w:rsidRDefault="001350B9" w:rsidP="0035465A">
      <w:pPr>
        <w:spacing w:after="0" w:line="240" w:lineRule="auto"/>
      </w:pPr>
      <w:r>
        <w:separator/>
      </w:r>
    </w:p>
  </w:footnote>
  <w:footnote w:type="continuationSeparator" w:id="0">
    <w:p w:rsidR="001350B9" w:rsidRDefault="001350B9"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0751648D"/>
    <w:multiLevelType w:val="hybridMultilevel"/>
    <w:tmpl w:val="98489AA4"/>
    <w:lvl w:ilvl="0" w:tplc="315C0690">
      <w:start w:val="1"/>
      <w:numFmt w:val="bullet"/>
      <w:lvlText w:val="o"/>
      <w:lvlJc w:val="left"/>
      <w:pPr>
        <w:ind w:left="1068" w:hanging="360"/>
      </w:pPr>
      <w:rPr>
        <w:rFonts w:ascii="Courier New" w:hAnsi="Courier New" w:cs="Courier New" w:hint="default"/>
        <w:color w:val="000000"/>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
    <w:nsid w:val="171952C4"/>
    <w:multiLevelType w:val="hybridMultilevel"/>
    <w:tmpl w:val="C6E4C686"/>
    <w:lvl w:ilvl="0" w:tplc="040C0003">
      <w:start w:val="1"/>
      <w:numFmt w:val="bullet"/>
      <w:lvlText w:val="o"/>
      <w:lvlJc w:val="left"/>
      <w:pPr>
        <w:ind w:left="547" w:hanging="360"/>
      </w:pPr>
      <w:rPr>
        <w:rFonts w:ascii="Courier New" w:hAnsi="Courier New" w:cs="Courier New" w:hint="default"/>
      </w:rPr>
    </w:lvl>
    <w:lvl w:ilvl="1" w:tplc="040C0003">
      <w:start w:val="1"/>
      <w:numFmt w:val="bullet"/>
      <w:lvlText w:val="o"/>
      <w:lvlJc w:val="left"/>
      <w:pPr>
        <w:ind w:left="1267" w:hanging="360"/>
      </w:pPr>
      <w:rPr>
        <w:rFonts w:ascii="Courier New" w:hAnsi="Courier New" w:cs="Courier New" w:hint="default"/>
      </w:rPr>
    </w:lvl>
    <w:lvl w:ilvl="2" w:tplc="040C0005">
      <w:start w:val="1"/>
      <w:numFmt w:val="bullet"/>
      <w:lvlText w:val=""/>
      <w:lvlJc w:val="left"/>
      <w:pPr>
        <w:ind w:left="1987" w:hanging="360"/>
      </w:pPr>
      <w:rPr>
        <w:rFonts w:ascii="Wingdings" w:hAnsi="Wingdings" w:hint="default"/>
      </w:rPr>
    </w:lvl>
    <w:lvl w:ilvl="3" w:tplc="040C0001">
      <w:start w:val="1"/>
      <w:numFmt w:val="bullet"/>
      <w:lvlText w:val=""/>
      <w:lvlJc w:val="left"/>
      <w:pPr>
        <w:ind w:left="2707" w:hanging="360"/>
      </w:pPr>
      <w:rPr>
        <w:rFonts w:ascii="Symbol" w:hAnsi="Symbol" w:hint="default"/>
      </w:rPr>
    </w:lvl>
    <w:lvl w:ilvl="4" w:tplc="040C0003">
      <w:start w:val="1"/>
      <w:numFmt w:val="bullet"/>
      <w:lvlText w:val="o"/>
      <w:lvlJc w:val="left"/>
      <w:pPr>
        <w:ind w:left="3427" w:hanging="360"/>
      </w:pPr>
      <w:rPr>
        <w:rFonts w:ascii="Courier New" w:hAnsi="Courier New" w:cs="Courier New" w:hint="default"/>
      </w:rPr>
    </w:lvl>
    <w:lvl w:ilvl="5" w:tplc="040C0005">
      <w:start w:val="1"/>
      <w:numFmt w:val="bullet"/>
      <w:lvlText w:val=""/>
      <w:lvlJc w:val="left"/>
      <w:pPr>
        <w:ind w:left="4147" w:hanging="360"/>
      </w:pPr>
      <w:rPr>
        <w:rFonts w:ascii="Wingdings" w:hAnsi="Wingdings" w:hint="default"/>
      </w:rPr>
    </w:lvl>
    <w:lvl w:ilvl="6" w:tplc="040C0001">
      <w:start w:val="1"/>
      <w:numFmt w:val="bullet"/>
      <w:lvlText w:val=""/>
      <w:lvlJc w:val="left"/>
      <w:pPr>
        <w:ind w:left="4867" w:hanging="360"/>
      </w:pPr>
      <w:rPr>
        <w:rFonts w:ascii="Symbol" w:hAnsi="Symbol" w:hint="default"/>
      </w:rPr>
    </w:lvl>
    <w:lvl w:ilvl="7" w:tplc="040C0003">
      <w:start w:val="1"/>
      <w:numFmt w:val="bullet"/>
      <w:lvlText w:val="o"/>
      <w:lvlJc w:val="left"/>
      <w:pPr>
        <w:ind w:left="5587" w:hanging="360"/>
      </w:pPr>
      <w:rPr>
        <w:rFonts w:ascii="Courier New" w:hAnsi="Courier New" w:cs="Courier New" w:hint="default"/>
      </w:rPr>
    </w:lvl>
    <w:lvl w:ilvl="8" w:tplc="040C0005">
      <w:start w:val="1"/>
      <w:numFmt w:val="bullet"/>
      <w:lvlText w:val=""/>
      <w:lvlJc w:val="left"/>
      <w:pPr>
        <w:ind w:left="6307" w:hanging="360"/>
      </w:pPr>
      <w:rPr>
        <w:rFonts w:ascii="Wingdings" w:hAnsi="Wingdings" w:hint="default"/>
      </w:rPr>
    </w:lvl>
  </w:abstractNum>
  <w:abstractNum w:abstractNumId="4">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389E449A"/>
    <w:multiLevelType w:val="hybridMultilevel"/>
    <w:tmpl w:val="FA5ADAB6"/>
    <w:lvl w:ilvl="0" w:tplc="040C0001">
      <w:start w:val="1"/>
      <w:numFmt w:val="bullet"/>
      <w:lvlText w:val=""/>
      <w:lvlJc w:val="left"/>
      <w:pPr>
        <w:ind w:left="360" w:hanging="360"/>
      </w:pPr>
      <w:rPr>
        <w:rFonts w:ascii="Symbol" w:hAnsi="Symbol" w:hint="default"/>
        <w:strike w:val="0"/>
        <w:dstrike w:val="0"/>
        <w:color w:val="000000"/>
        <w:sz w:val="20"/>
        <w:szCs w:val="20"/>
        <w:u w:val="none"/>
        <w:effect w:val="none"/>
      </w:rPr>
    </w:lvl>
    <w:lvl w:ilvl="1" w:tplc="040C0003">
      <w:start w:val="1"/>
      <w:numFmt w:val="bullet"/>
      <w:lvlText w:val="o"/>
      <w:lvlJc w:val="left"/>
      <w:pPr>
        <w:ind w:left="764"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nsid w:val="3F475714"/>
    <w:multiLevelType w:val="hybridMultilevel"/>
    <w:tmpl w:val="3A90FE08"/>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3FD50506"/>
    <w:multiLevelType w:val="hybridMultilevel"/>
    <w:tmpl w:val="53E61D90"/>
    <w:lvl w:ilvl="0" w:tplc="040C0003">
      <w:start w:val="1"/>
      <w:numFmt w:val="bullet"/>
      <w:lvlText w:val="o"/>
      <w:lvlJc w:val="left"/>
      <w:pPr>
        <w:ind w:left="896" w:hanging="360"/>
      </w:pPr>
      <w:rPr>
        <w:rFonts w:ascii="Courier New" w:hAnsi="Courier New" w:cs="Courier New" w:hint="default"/>
      </w:rPr>
    </w:lvl>
    <w:lvl w:ilvl="1" w:tplc="040C0003">
      <w:start w:val="1"/>
      <w:numFmt w:val="bullet"/>
      <w:lvlText w:val="o"/>
      <w:lvlJc w:val="left"/>
      <w:pPr>
        <w:ind w:left="1616" w:hanging="360"/>
      </w:pPr>
      <w:rPr>
        <w:rFonts w:ascii="Courier New" w:hAnsi="Courier New" w:cs="Courier New" w:hint="default"/>
      </w:rPr>
    </w:lvl>
    <w:lvl w:ilvl="2" w:tplc="040C0005">
      <w:start w:val="1"/>
      <w:numFmt w:val="bullet"/>
      <w:lvlText w:val=""/>
      <w:lvlJc w:val="left"/>
      <w:pPr>
        <w:ind w:left="2336" w:hanging="360"/>
      </w:pPr>
      <w:rPr>
        <w:rFonts w:ascii="Wingdings" w:hAnsi="Wingdings" w:hint="default"/>
      </w:rPr>
    </w:lvl>
    <w:lvl w:ilvl="3" w:tplc="040C0001">
      <w:start w:val="1"/>
      <w:numFmt w:val="bullet"/>
      <w:lvlText w:val=""/>
      <w:lvlJc w:val="left"/>
      <w:pPr>
        <w:ind w:left="3056" w:hanging="360"/>
      </w:pPr>
      <w:rPr>
        <w:rFonts w:ascii="Symbol" w:hAnsi="Symbol" w:hint="default"/>
      </w:rPr>
    </w:lvl>
    <w:lvl w:ilvl="4" w:tplc="040C0003">
      <w:start w:val="1"/>
      <w:numFmt w:val="bullet"/>
      <w:lvlText w:val="o"/>
      <w:lvlJc w:val="left"/>
      <w:pPr>
        <w:ind w:left="3776" w:hanging="360"/>
      </w:pPr>
      <w:rPr>
        <w:rFonts w:ascii="Courier New" w:hAnsi="Courier New" w:cs="Courier New" w:hint="default"/>
      </w:rPr>
    </w:lvl>
    <w:lvl w:ilvl="5" w:tplc="040C0005">
      <w:start w:val="1"/>
      <w:numFmt w:val="bullet"/>
      <w:lvlText w:val=""/>
      <w:lvlJc w:val="left"/>
      <w:pPr>
        <w:ind w:left="4496" w:hanging="360"/>
      </w:pPr>
      <w:rPr>
        <w:rFonts w:ascii="Wingdings" w:hAnsi="Wingdings" w:hint="default"/>
      </w:rPr>
    </w:lvl>
    <w:lvl w:ilvl="6" w:tplc="040C0001">
      <w:start w:val="1"/>
      <w:numFmt w:val="bullet"/>
      <w:lvlText w:val=""/>
      <w:lvlJc w:val="left"/>
      <w:pPr>
        <w:ind w:left="5216" w:hanging="360"/>
      </w:pPr>
      <w:rPr>
        <w:rFonts w:ascii="Symbol" w:hAnsi="Symbol" w:hint="default"/>
      </w:rPr>
    </w:lvl>
    <w:lvl w:ilvl="7" w:tplc="040C0003">
      <w:start w:val="1"/>
      <w:numFmt w:val="bullet"/>
      <w:lvlText w:val="o"/>
      <w:lvlJc w:val="left"/>
      <w:pPr>
        <w:ind w:left="5936" w:hanging="360"/>
      </w:pPr>
      <w:rPr>
        <w:rFonts w:ascii="Courier New" w:hAnsi="Courier New" w:cs="Courier New" w:hint="default"/>
      </w:rPr>
    </w:lvl>
    <w:lvl w:ilvl="8" w:tplc="040C0005">
      <w:start w:val="1"/>
      <w:numFmt w:val="bullet"/>
      <w:lvlText w:val=""/>
      <w:lvlJc w:val="left"/>
      <w:pPr>
        <w:ind w:left="6656" w:hanging="360"/>
      </w:pPr>
      <w:rPr>
        <w:rFonts w:ascii="Wingdings" w:hAnsi="Wingdings" w:hint="default"/>
      </w:rPr>
    </w:lvl>
  </w:abstractNum>
  <w:abstractNum w:abstractNumId="10">
    <w:nsid w:val="4DBF57E9"/>
    <w:multiLevelType w:val="hybridMultilevel"/>
    <w:tmpl w:val="95229E4E"/>
    <w:lvl w:ilvl="0" w:tplc="8536DB74">
      <w:start w:val="1"/>
      <w:numFmt w:val="bullet"/>
      <w:lvlText w:val="■"/>
      <w:lvlJc w:val="left"/>
      <w:pPr>
        <w:tabs>
          <w:tab w:val="num" w:pos="720"/>
        </w:tabs>
        <w:ind w:left="720" w:hanging="360"/>
      </w:pPr>
      <w:rPr>
        <w:rFonts w:ascii="Arial Narrow" w:hAnsi="Arial Narrow" w:hint="default"/>
      </w:rPr>
    </w:lvl>
    <w:lvl w:ilvl="1" w:tplc="8C02CEB6">
      <w:start w:val="1"/>
      <w:numFmt w:val="bullet"/>
      <w:lvlText w:val="■"/>
      <w:lvlJc w:val="left"/>
      <w:pPr>
        <w:tabs>
          <w:tab w:val="num" w:pos="1440"/>
        </w:tabs>
        <w:ind w:left="1440" w:hanging="360"/>
      </w:pPr>
      <w:rPr>
        <w:rFonts w:ascii="Arial Narrow" w:hAnsi="Arial Narrow" w:hint="default"/>
      </w:rPr>
    </w:lvl>
    <w:lvl w:ilvl="2" w:tplc="9232F38E" w:tentative="1">
      <w:start w:val="1"/>
      <w:numFmt w:val="bullet"/>
      <w:lvlText w:val="■"/>
      <w:lvlJc w:val="left"/>
      <w:pPr>
        <w:tabs>
          <w:tab w:val="num" w:pos="2160"/>
        </w:tabs>
        <w:ind w:left="2160" w:hanging="360"/>
      </w:pPr>
      <w:rPr>
        <w:rFonts w:ascii="Arial Narrow" w:hAnsi="Arial Narrow" w:hint="default"/>
      </w:rPr>
    </w:lvl>
    <w:lvl w:ilvl="3" w:tplc="2D487F4C" w:tentative="1">
      <w:start w:val="1"/>
      <w:numFmt w:val="bullet"/>
      <w:lvlText w:val="■"/>
      <w:lvlJc w:val="left"/>
      <w:pPr>
        <w:tabs>
          <w:tab w:val="num" w:pos="2880"/>
        </w:tabs>
        <w:ind w:left="2880" w:hanging="360"/>
      </w:pPr>
      <w:rPr>
        <w:rFonts w:ascii="Arial Narrow" w:hAnsi="Arial Narrow" w:hint="default"/>
      </w:rPr>
    </w:lvl>
    <w:lvl w:ilvl="4" w:tplc="09F20C0E" w:tentative="1">
      <w:start w:val="1"/>
      <w:numFmt w:val="bullet"/>
      <w:lvlText w:val="■"/>
      <w:lvlJc w:val="left"/>
      <w:pPr>
        <w:tabs>
          <w:tab w:val="num" w:pos="3600"/>
        </w:tabs>
        <w:ind w:left="3600" w:hanging="360"/>
      </w:pPr>
      <w:rPr>
        <w:rFonts w:ascii="Arial Narrow" w:hAnsi="Arial Narrow" w:hint="default"/>
      </w:rPr>
    </w:lvl>
    <w:lvl w:ilvl="5" w:tplc="C35C124E" w:tentative="1">
      <w:start w:val="1"/>
      <w:numFmt w:val="bullet"/>
      <w:lvlText w:val="■"/>
      <w:lvlJc w:val="left"/>
      <w:pPr>
        <w:tabs>
          <w:tab w:val="num" w:pos="4320"/>
        </w:tabs>
        <w:ind w:left="4320" w:hanging="360"/>
      </w:pPr>
      <w:rPr>
        <w:rFonts w:ascii="Arial Narrow" w:hAnsi="Arial Narrow" w:hint="default"/>
      </w:rPr>
    </w:lvl>
    <w:lvl w:ilvl="6" w:tplc="9028D7B8" w:tentative="1">
      <w:start w:val="1"/>
      <w:numFmt w:val="bullet"/>
      <w:lvlText w:val="■"/>
      <w:lvlJc w:val="left"/>
      <w:pPr>
        <w:tabs>
          <w:tab w:val="num" w:pos="5040"/>
        </w:tabs>
        <w:ind w:left="5040" w:hanging="360"/>
      </w:pPr>
      <w:rPr>
        <w:rFonts w:ascii="Arial Narrow" w:hAnsi="Arial Narrow" w:hint="default"/>
      </w:rPr>
    </w:lvl>
    <w:lvl w:ilvl="7" w:tplc="49CEC8D4" w:tentative="1">
      <w:start w:val="1"/>
      <w:numFmt w:val="bullet"/>
      <w:lvlText w:val="■"/>
      <w:lvlJc w:val="left"/>
      <w:pPr>
        <w:tabs>
          <w:tab w:val="num" w:pos="5760"/>
        </w:tabs>
        <w:ind w:left="5760" w:hanging="360"/>
      </w:pPr>
      <w:rPr>
        <w:rFonts w:ascii="Arial Narrow" w:hAnsi="Arial Narrow" w:hint="default"/>
      </w:rPr>
    </w:lvl>
    <w:lvl w:ilvl="8" w:tplc="E89EA832" w:tentative="1">
      <w:start w:val="1"/>
      <w:numFmt w:val="bullet"/>
      <w:lvlText w:val="■"/>
      <w:lvlJc w:val="left"/>
      <w:pPr>
        <w:tabs>
          <w:tab w:val="num" w:pos="6480"/>
        </w:tabs>
        <w:ind w:left="6480" w:hanging="360"/>
      </w:pPr>
      <w:rPr>
        <w:rFonts w:ascii="Arial Narrow" w:hAnsi="Arial Narrow" w:hint="default"/>
      </w:rPr>
    </w:lvl>
  </w:abstractNum>
  <w:abstractNum w:abstractNumId="11">
    <w:nsid w:val="579E1231"/>
    <w:multiLevelType w:val="hybridMultilevel"/>
    <w:tmpl w:val="1AB023BA"/>
    <w:lvl w:ilvl="0" w:tplc="3E6AD152">
      <w:start w:val="1"/>
      <w:numFmt w:val="bullet"/>
      <w:lvlText w:val=""/>
      <w:lvlJc w:val="left"/>
      <w:pPr>
        <w:ind w:left="360" w:hanging="360"/>
      </w:pPr>
      <w:rPr>
        <w:rFonts w:ascii="Symbol" w:hAnsi="Symbol" w:hint="default"/>
        <w:color w:val="000000"/>
      </w:rPr>
    </w:lvl>
    <w:lvl w:ilvl="1" w:tplc="F75C1C94">
      <w:start w:val="1"/>
      <w:numFmt w:val="bullet"/>
      <w:lvlText w:val="−"/>
      <w:lvlJc w:val="left"/>
      <w:pPr>
        <w:ind w:left="1080" w:hanging="360"/>
      </w:pPr>
      <w:rPr>
        <w:rFonts w:ascii="Times New Roman" w:hAnsi="Times New Roman"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57CB54D6"/>
    <w:multiLevelType w:val="hybridMultilevel"/>
    <w:tmpl w:val="97EA67FC"/>
    <w:lvl w:ilvl="0" w:tplc="F32EC7B2">
      <w:numFmt w:val="bullet"/>
      <w:lvlText w:val="­"/>
      <w:lvlJc w:val="left"/>
      <w:pPr>
        <w:ind w:left="72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nsid w:val="594211C6"/>
    <w:multiLevelType w:val="hybridMultilevel"/>
    <w:tmpl w:val="06AE89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0"/>
  </w:num>
  <w:num w:numId="6">
    <w:abstractNumId w:val="8"/>
  </w:num>
  <w:num w:numId="7">
    <w:abstractNumId w:val="8"/>
  </w:num>
  <w:num w:numId="8">
    <w:abstractNumId w:val="8"/>
  </w:num>
  <w:num w:numId="9">
    <w:abstractNumId w:val="11"/>
  </w:num>
  <w:num w:numId="10">
    <w:abstractNumId w:val="8"/>
  </w:num>
  <w:num w:numId="11">
    <w:abstractNumId w:val="7"/>
  </w:num>
  <w:num w:numId="12">
    <w:abstractNumId w:val="8"/>
  </w:num>
  <w:num w:numId="13">
    <w:abstractNumId w:val="1"/>
  </w:num>
  <w:num w:numId="14">
    <w:abstractNumId w:val="7"/>
  </w:num>
  <w:num w:numId="15">
    <w:abstractNumId w:val="9"/>
  </w:num>
  <w:num w:numId="16">
    <w:abstractNumId w:val="10"/>
  </w:num>
  <w:num w:numId="17">
    <w:abstractNumId w:val="8"/>
  </w:num>
  <w:num w:numId="18">
    <w:abstractNumId w:val="13"/>
  </w:num>
  <w:num w:numId="19">
    <w:abstractNumId w:val="8"/>
  </w:num>
  <w:num w:numId="20">
    <w:abstractNumId w:val="5"/>
  </w:num>
  <w:num w:numId="21">
    <w:abstractNumId w:val="8"/>
  </w:num>
  <w:num w:numId="22">
    <w:abstractNumId w:val="12"/>
  </w:num>
  <w:num w:numId="23">
    <w:abstractNumId w:val="7"/>
  </w:num>
  <w:num w:numId="24">
    <w:abstractNumId w:val="8"/>
  </w:num>
  <w:num w:numId="25">
    <w:abstractNumId w:val="8"/>
  </w:num>
  <w:num w:numId="26">
    <w:abstractNumId w:val="8"/>
  </w:num>
  <w:num w:numId="27">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AB8"/>
    <w:rsid w:val="00004DE7"/>
    <w:rsid w:val="0000556A"/>
    <w:rsid w:val="000058A4"/>
    <w:rsid w:val="000061FB"/>
    <w:rsid w:val="0000670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0B9"/>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6D70"/>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938"/>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692"/>
    <w:rsid w:val="00477AB6"/>
    <w:rsid w:val="00477BA4"/>
    <w:rsid w:val="00477CCE"/>
    <w:rsid w:val="0048044F"/>
    <w:rsid w:val="00481059"/>
    <w:rsid w:val="00481BC2"/>
    <w:rsid w:val="00481CFA"/>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999"/>
    <w:rsid w:val="00564F97"/>
    <w:rsid w:val="00566BD8"/>
    <w:rsid w:val="00567190"/>
    <w:rsid w:val="005672DC"/>
    <w:rsid w:val="005673D7"/>
    <w:rsid w:val="00570332"/>
    <w:rsid w:val="00570577"/>
    <w:rsid w:val="0057079F"/>
    <w:rsid w:val="00570C75"/>
    <w:rsid w:val="00571255"/>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6B6D"/>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3E6F"/>
    <w:rsid w:val="006E46CF"/>
    <w:rsid w:val="006E4AB1"/>
    <w:rsid w:val="006E52E9"/>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594F"/>
    <w:rsid w:val="00726826"/>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C0B89"/>
    <w:rsid w:val="007C0C5C"/>
    <w:rsid w:val="007C0CC2"/>
    <w:rsid w:val="007C1CBE"/>
    <w:rsid w:val="007C22C0"/>
    <w:rsid w:val="007C29A2"/>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0C6"/>
    <w:rsid w:val="008E7802"/>
    <w:rsid w:val="008F0154"/>
    <w:rsid w:val="008F01A3"/>
    <w:rsid w:val="008F16A1"/>
    <w:rsid w:val="008F17E7"/>
    <w:rsid w:val="008F1FFE"/>
    <w:rsid w:val="008F2114"/>
    <w:rsid w:val="008F28B0"/>
    <w:rsid w:val="008F3423"/>
    <w:rsid w:val="008F52E1"/>
    <w:rsid w:val="008F532D"/>
    <w:rsid w:val="008F5385"/>
    <w:rsid w:val="008F63BB"/>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4011"/>
    <w:rsid w:val="00B5455F"/>
    <w:rsid w:val="00B5523A"/>
    <w:rsid w:val="00B55274"/>
    <w:rsid w:val="00B554CD"/>
    <w:rsid w:val="00B5575E"/>
    <w:rsid w:val="00B55F08"/>
    <w:rsid w:val="00B561D4"/>
    <w:rsid w:val="00B5628D"/>
    <w:rsid w:val="00B56497"/>
    <w:rsid w:val="00B56858"/>
    <w:rsid w:val="00B57282"/>
    <w:rsid w:val="00B574BE"/>
    <w:rsid w:val="00B57692"/>
    <w:rsid w:val="00B57F13"/>
    <w:rsid w:val="00B603CF"/>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FF7"/>
    <w:rsid w:val="00C32DED"/>
    <w:rsid w:val="00C33426"/>
    <w:rsid w:val="00C34E36"/>
    <w:rsid w:val="00C35058"/>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5FC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D6D89"/>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4299"/>
    <w:rsid w:val="00F34E93"/>
    <w:rsid w:val="00F350AA"/>
    <w:rsid w:val="00F3594C"/>
    <w:rsid w:val="00F35DCF"/>
    <w:rsid w:val="00F35DFC"/>
    <w:rsid w:val="00F404DB"/>
    <w:rsid w:val="00F40BF3"/>
    <w:rsid w:val="00F40DCC"/>
    <w:rsid w:val="00F410C5"/>
    <w:rsid w:val="00F412C5"/>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download/267/pel-en-non-respect/7704/pel-potentiellement-en-non-respect.xlsx" TargetMode="External"/><Relationship Id="rId18" Type="http://schemas.openxmlformats.org/officeDocument/2006/relationships/hyperlink" Target="http://commerciaux.celca.caisse-epargne.fr/download/296/lep/7701/lep-clos-au-03042018.xlsx" TargetMode="External"/><Relationship Id="rId26" Type="http://schemas.openxmlformats.org/officeDocument/2006/relationships/hyperlink" Target="http://commerciaux.celca.caisse-epargne.fr/download/341/tarification/6274/offres-promo-en-cours.ppt" TargetMode="External"/><Relationship Id="rId3" Type="http://schemas.openxmlformats.org/officeDocument/2006/relationships/styles" Target="styles.xml"/><Relationship Id="rId21" Type="http://schemas.openxmlformats.org/officeDocument/2006/relationships/hyperlink" Target="http://commerciaux.celca.caisse-epargne.fr/download/1212/brief-hebdo/6522/brief-audio-2018-semaine-1.docx" TargetMode="External"/><Relationship Id="rId34" Type="http://schemas.openxmlformats.org/officeDocument/2006/relationships/hyperlink" Target="http://commerciaux.celca.caisse-epargne.fr/download/1293/iris/7703/suivi-commercialisation-iris.xlsx" TargetMode="External"/><Relationship Id="rId7" Type="http://schemas.openxmlformats.org/officeDocument/2006/relationships/footnotes" Target="footnotes.xml"/><Relationship Id="rId12" Type="http://schemas.openxmlformats.org/officeDocument/2006/relationships/hyperlink" Target="http://commerciaux.celca.caisse-epargne.fr/download/1157/fichiers-a-traiter/4147/mb_dossiers-domilis-a-saisir-mode-operatoire.docx" TargetMode="External"/><Relationship Id="rId17" Type="http://schemas.openxmlformats.org/officeDocument/2006/relationships/hyperlink" Target="http://commerciaux.celca.caisse-epargne.fr/download/295/livret-a-ldds/7707/rdc-livrets-a-cloture-a-la-concurrence-mars-2018.xlsx" TargetMode="External"/><Relationship Id="rId25" Type="http://schemas.openxmlformats.org/officeDocument/2006/relationships/hyperlink" Target="http://wnsgprw1.celca.caisse-epargne.fr/app/bci/INF/INF_N009_18_Lancement_de_la_carte_DCVV.pdf" TargetMode="External"/><Relationship Id="rId33" Type="http://schemas.openxmlformats.org/officeDocument/2006/relationships/hyperlink" Target="http://commerciaux.celca.caisse-epargne.fr/download/1045/les-gab-defaillants/7662/suivi-gab-vides-2018-03.xls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nsgprw1.celca.caisse-epargne.fr/app/bci/INF/DSB_INF_17_05.pdf" TargetMode="External"/><Relationship Id="rId20" Type="http://schemas.openxmlformats.org/officeDocument/2006/relationships/hyperlink" Target="http://commerciaux.celca.caisse-epargne.fr/particuliers/epargne-2/directive-mif-iiddapriips/" TargetMode="External"/><Relationship Id="rId29" Type="http://schemas.openxmlformats.org/officeDocument/2006/relationships/hyperlink" Target="http://wnsgprw1.celca.caisse-epargne.fr/app/bci/INF/DMA_INF_N_011_18.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1157/fichiers-a-traiter/4960/mb_dossiers-domilis-a-saisir.xls" TargetMode="External"/><Relationship Id="rId24" Type="http://schemas.openxmlformats.org/officeDocument/2006/relationships/hyperlink" Target="http://commerciaux.celca.caisse-epargne.fr/download/1033/du-trimestre-en-cours/7653/email-carte-dcvv.pdf" TargetMode="External"/><Relationship Id="rId32" Type="http://schemas.openxmlformats.org/officeDocument/2006/relationships/hyperlink" Target="http://commerciaux.celca.caisse-epargne.fr/download/431/resultats-fdc-pros/7591/20180228_resultats-fdc-pros.xlsx"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ommerciaux.celca.caisse-epargne.fr/particuliers/iard-et-prevoyance-3/surveillance-iard/" TargetMode="External"/><Relationship Id="rId23" Type="http://schemas.openxmlformats.org/officeDocument/2006/relationships/hyperlink" Target="http://commerciaux.celca.caisse-epargne.fr/download/1176/documents-hors-arbo-2/7682/req-clients-etrangers-avec-cto-pea-adresses.xlsx" TargetMode="External"/><Relationship Id="rId28" Type="http://schemas.openxmlformats.org/officeDocument/2006/relationships/hyperlink" Target="http://commerciaux.celca.caisse-epargne.fr/download/198/bancarisation/4624/book-bancarisation.ppt" TargetMode="External"/><Relationship Id="rId36" Type="http://schemas.openxmlformats.org/officeDocument/2006/relationships/footer" Target="footer1.xml"/><Relationship Id="rId10" Type="http://schemas.openxmlformats.org/officeDocument/2006/relationships/hyperlink" Target="http://commerciaux.celca.caisse-epargne.fr/particuliers/credits-particuliers/credits-a-la-consommation/liste-des-credits-projet/" TargetMode="External"/><Relationship Id="rId19" Type="http://schemas.openxmlformats.org/officeDocument/2006/relationships/hyperlink" Target="http://www.webtv.ostrum.com/VideoWidget?widget=22983" TargetMode="External"/><Relationship Id="rId31" Type="http://schemas.openxmlformats.org/officeDocument/2006/relationships/hyperlink" Target="http://commerciaux.celca.caisse-epargne.fr/download/439/offre-monetique/7687/2080406-siret-temporaires-ko.xlsx" TargetMode="Externa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download/329/lutte-anti-resiliation/7548/lutte-anti-resiliation.xlsx" TargetMode="External"/><Relationship Id="rId22" Type="http://schemas.openxmlformats.org/officeDocument/2006/relationships/hyperlink" Target="http://commerciaux.celca.caisse-epargne.fr/download/1176/documents-hors-arbo-2/7683/courrier-maquette-demande-mif2-autres-nationalites.docx" TargetMode="External"/><Relationship Id="rId27" Type="http://schemas.openxmlformats.org/officeDocument/2006/relationships/hyperlink" Target="http://commerciaux.celca.caisse-epargne.fr/global-bdd/actions-commerciales/actions-commerciales/" TargetMode="External"/><Relationship Id="rId30" Type="http://schemas.openxmlformats.org/officeDocument/2006/relationships/hyperlink" Target="https://cvc-front-itce.damdy.com/celca/secur-pass-ce-enrolement-video-3271.html" TargetMode="External"/><Relationship Id="rId35" Type="http://schemas.openxmlformats.org/officeDocument/2006/relationships/hyperlink" Target="http://commerciaux.celca.caisse-epargne.fr/download/1176/documents-hors-arbo-2/5429/delai-de-traitement-bdd-dircred-2017.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BE807-D6BC-4A52-AA3F-F73F14DB5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2006</TotalTime>
  <Pages>3</Pages>
  <Words>2340</Words>
  <Characters>12871</Characters>
  <Application>Microsoft Office Word</Application>
  <DocSecurity>0</DocSecurity>
  <Lines>107</Lines>
  <Paragraphs>30</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15181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207</cp:revision>
  <dcterms:created xsi:type="dcterms:W3CDTF">2018-01-22T16:25:00Z</dcterms:created>
  <dcterms:modified xsi:type="dcterms:W3CDTF">2018-04-09T09:21:00Z</dcterms:modified>
</cp:coreProperties>
</file>