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C425A1">
        <w:trPr>
          <w:trHeight w:val="416"/>
        </w:trPr>
        <w:tc>
          <w:tcPr>
            <w:tcW w:w="15735" w:type="dxa"/>
            <w:tcBorders>
              <w:bottom w:val="single" w:sz="4" w:space="0" w:color="auto"/>
            </w:tcBorders>
          </w:tcPr>
          <w:p w:rsidR="0035465A" w:rsidRPr="00EC6CB9" w:rsidRDefault="00111FE2" w:rsidP="00BB7708">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B6235F">
              <w:rPr>
                <w:rFonts w:ascii="Times New Roman" w:hAnsi="Times New Roman" w:cs="Times New Roman"/>
                <w:b/>
                <w:sz w:val="32"/>
                <w:szCs w:val="40"/>
              </w:rPr>
              <w:t>BRIEF DES ACTUALITES</w:t>
            </w:r>
            <w:r w:rsidR="00BB7708">
              <w:rPr>
                <w:rFonts w:ascii="Times New Roman" w:hAnsi="Times New Roman" w:cs="Times New Roman"/>
                <w:b/>
                <w:sz w:val="32"/>
                <w:szCs w:val="40"/>
              </w:rPr>
              <w:t xml:space="preserve"> 2018</w:t>
            </w:r>
            <w:r w:rsidR="00CF26D8">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Pr>
                <w:rFonts w:ascii="Times New Roman" w:hAnsi="Times New Roman" w:cs="Times New Roman"/>
                <w:b/>
                <w:sz w:val="32"/>
                <w:szCs w:val="40"/>
              </w:rPr>
              <w:t xml:space="preserve"> </w:t>
            </w:r>
            <w:r w:rsidR="00EE03E5">
              <w:rPr>
                <w:rFonts w:ascii="Times New Roman" w:hAnsi="Times New Roman" w:cs="Times New Roman"/>
                <w:b/>
                <w:sz w:val="32"/>
                <w:szCs w:val="40"/>
              </w:rPr>
              <w:t>16</w:t>
            </w:r>
            <w:r w:rsidR="00BB7708">
              <w:rPr>
                <w:rFonts w:ascii="Times New Roman" w:hAnsi="Times New Roman" w:cs="Times New Roman"/>
                <w:b/>
                <w:sz w:val="32"/>
                <w:szCs w:val="40"/>
              </w:rPr>
              <w:t> </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E81F6E" w:rsidTr="00AF3BE3">
        <w:trPr>
          <w:trHeight w:val="290"/>
        </w:trPr>
        <w:tc>
          <w:tcPr>
            <w:tcW w:w="1560"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Plan</w:t>
            </w:r>
          </w:p>
        </w:tc>
      </w:tr>
      <w:tr w:rsidR="0051254F" w:rsidRPr="00E81F6E" w:rsidTr="002F4398">
        <w:trPr>
          <w:trHeight w:val="393"/>
        </w:trPr>
        <w:tc>
          <w:tcPr>
            <w:tcW w:w="15735" w:type="dxa"/>
            <w:gridSpan w:val="3"/>
            <w:tcBorders>
              <w:bottom w:val="single" w:sz="4" w:space="0" w:color="auto"/>
            </w:tcBorders>
            <w:shd w:val="clear" w:color="auto" w:fill="548DD4" w:themeFill="text2" w:themeFillTint="99"/>
            <w:vAlign w:val="center"/>
          </w:tcPr>
          <w:p w:rsidR="0051254F" w:rsidRPr="00E81F6E" w:rsidRDefault="005D7D64" w:rsidP="002F4398">
            <w:pPr>
              <w:jc w:val="center"/>
              <w:rPr>
                <w:rFonts w:ascii="Times New Roman" w:hAnsi="Times New Roman" w:cs="Times New Roman"/>
                <w:b/>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ACTION</w:t>
            </w:r>
          </w:p>
        </w:tc>
      </w:tr>
      <w:tr w:rsidR="00E5474A" w:rsidRPr="00E81F6E" w:rsidTr="00AF3BE3">
        <w:trPr>
          <w:trHeight w:val="515"/>
        </w:trPr>
        <w:tc>
          <w:tcPr>
            <w:tcW w:w="1560" w:type="dxa"/>
            <w:tcBorders>
              <w:bottom w:val="single" w:sz="4" w:space="0" w:color="auto"/>
            </w:tcBorders>
            <w:shd w:val="clear" w:color="auto" w:fill="FFFFFF" w:themeFill="background1"/>
          </w:tcPr>
          <w:p w:rsidR="00E5474A" w:rsidRPr="00E5474A" w:rsidRDefault="00E5474A">
            <w:pPr>
              <w:rPr>
                <w:rFonts w:ascii="Times New Roman" w:hAnsi="Times New Roman" w:cs="Times New Roman"/>
                <w:b/>
                <w:bCs/>
                <w:sz w:val="20"/>
                <w:szCs w:val="20"/>
              </w:rPr>
            </w:pPr>
            <w:r w:rsidRPr="00E5474A">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E5474A" w:rsidRDefault="00E5474A">
            <w:pPr>
              <w:spacing w:after="200" w:line="276" w:lineRule="auto"/>
              <w:rPr>
                <w:rFonts w:ascii="Times New Roman" w:hAnsi="Times New Roman" w:cs="Times New Roman"/>
                <w:b/>
                <w:bCs/>
                <w:sz w:val="20"/>
                <w:szCs w:val="20"/>
              </w:rPr>
            </w:pPr>
            <w:r>
              <w:rPr>
                <w:rFonts w:ascii="Times New Roman" w:hAnsi="Times New Roman" w:cs="Times New Roman"/>
                <w:b/>
                <w:bCs/>
                <w:sz w:val="20"/>
                <w:szCs w:val="20"/>
              </w:rPr>
              <w:t>IZICARTE</w:t>
            </w:r>
          </w:p>
        </w:tc>
        <w:tc>
          <w:tcPr>
            <w:tcW w:w="12332" w:type="dxa"/>
            <w:tcBorders>
              <w:bottom w:val="single" w:sz="4" w:space="0" w:color="auto"/>
            </w:tcBorders>
            <w:shd w:val="clear" w:color="auto" w:fill="FFFFFF" w:themeFill="background1"/>
          </w:tcPr>
          <w:p w:rsidR="00E5474A" w:rsidRPr="007B7C4B" w:rsidRDefault="00202702" w:rsidP="007B7C4B">
            <w:pPr>
              <w:numPr>
                <w:ilvl w:val="0"/>
                <w:numId w:val="38"/>
              </w:numPr>
              <w:spacing w:line="276" w:lineRule="auto"/>
              <w:ind w:left="176" w:hanging="176"/>
              <w:contextualSpacing/>
              <w:jc w:val="both"/>
              <w:rPr>
                <w:rFonts w:ascii="Times New Roman" w:hAnsi="Times New Roman" w:cs="Times New Roman"/>
                <w:sz w:val="20"/>
                <w:szCs w:val="20"/>
                <w:lang w:eastAsia="fr-FR"/>
              </w:rPr>
            </w:pPr>
            <w:hyperlink r:id="rId9" w:history="1">
              <w:r w:rsidR="00E5474A" w:rsidRPr="007B7C4B">
                <w:rPr>
                  <w:rStyle w:val="Lienhypertexte"/>
                  <w:rFonts w:ascii="Times New Roman" w:hAnsi="Times New Roman" w:cs="Times New Roman"/>
                  <w:sz w:val="20"/>
                  <w:szCs w:val="20"/>
                  <w:lang w:eastAsia="fr-FR"/>
                </w:rPr>
                <w:t>CLIQUEZ ICI</w:t>
              </w:r>
            </w:hyperlink>
            <w:r w:rsidR="00E5474A" w:rsidRPr="007B7C4B">
              <w:rPr>
                <w:rFonts w:ascii="Times New Roman" w:hAnsi="Times New Roman" w:cs="Times New Roman"/>
                <w:sz w:val="20"/>
                <w:szCs w:val="20"/>
                <w:lang w:eastAsia="fr-FR"/>
              </w:rPr>
              <w:t xml:space="preserve"> pour trouver le fichier des IZICARTES en attente de saisie d’une date de signature (volumétrie : 235 cartes en attente). Tant que les 2 étapes « mise en force » et « saisie la date de signature » ne seront pas faites, nos clients ne recevront pas leur carte.</w:t>
            </w:r>
          </w:p>
        </w:tc>
      </w:tr>
      <w:tr w:rsidR="001F7292" w:rsidRPr="00E81F6E" w:rsidTr="00AF3BE3">
        <w:trPr>
          <w:trHeight w:val="515"/>
        </w:trPr>
        <w:tc>
          <w:tcPr>
            <w:tcW w:w="1560" w:type="dxa"/>
            <w:tcBorders>
              <w:bottom w:val="single" w:sz="4" w:space="0" w:color="auto"/>
            </w:tcBorders>
            <w:shd w:val="clear" w:color="auto" w:fill="FFFFFF" w:themeFill="background1"/>
          </w:tcPr>
          <w:p w:rsidR="001F7292" w:rsidRPr="00E5474A" w:rsidRDefault="001F7292">
            <w:pPr>
              <w:rPr>
                <w:rFonts w:ascii="Times New Roman" w:hAnsi="Times New Roman" w:cs="Times New Roman"/>
                <w:b/>
                <w:bCs/>
                <w:sz w:val="20"/>
                <w:szCs w:val="20"/>
              </w:rPr>
            </w:pPr>
            <w:r w:rsidRPr="00E5474A">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1F7292" w:rsidRDefault="001F7292" w:rsidP="001F7292">
            <w:pPr>
              <w:rPr>
                <w:rFonts w:ascii="Times New Roman" w:hAnsi="Times New Roman" w:cs="Times New Roman"/>
                <w:b/>
                <w:bCs/>
                <w:sz w:val="20"/>
                <w:szCs w:val="20"/>
              </w:rPr>
            </w:pPr>
            <w:r>
              <w:rPr>
                <w:rFonts w:ascii="Times New Roman" w:hAnsi="Times New Roman" w:cs="Times New Roman"/>
                <w:b/>
                <w:bCs/>
                <w:sz w:val="20"/>
                <w:szCs w:val="20"/>
              </w:rPr>
              <w:t>MOBILITE BANCAIRE</w:t>
            </w:r>
          </w:p>
        </w:tc>
        <w:tc>
          <w:tcPr>
            <w:tcW w:w="12332" w:type="dxa"/>
            <w:tcBorders>
              <w:bottom w:val="single" w:sz="4" w:space="0" w:color="auto"/>
            </w:tcBorders>
            <w:shd w:val="clear" w:color="auto" w:fill="FFFFFF" w:themeFill="background1"/>
          </w:tcPr>
          <w:p w:rsidR="001F7292" w:rsidRPr="007B7C4B" w:rsidRDefault="00202702" w:rsidP="007B7C4B">
            <w:pPr>
              <w:numPr>
                <w:ilvl w:val="0"/>
                <w:numId w:val="39"/>
              </w:numPr>
              <w:ind w:left="176" w:hanging="176"/>
              <w:contextualSpacing/>
              <w:jc w:val="both"/>
              <w:rPr>
                <w:rFonts w:ascii="Times New Roman" w:hAnsi="Times New Roman" w:cs="Times New Roman"/>
                <w:sz w:val="20"/>
                <w:szCs w:val="20"/>
                <w:lang w:eastAsia="fr-FR"/>
              </w:rPr>
            </w:pPr>
            <w:hyperlink r:id="rId10" w:history="1">
              <w:r w:rsidR="001F7292" w:rsidRPr="007B7C4B">
                <w:rPr>
                  <w:rStyle w:val="Lienhypertexte"/>
                  <w:rFonts w:ascii="Times New Roman" w:hAnsi="Times New Roman" w:cs="Times New Roman"/>
                  <w:sz w:val="20"/>
                  <w:szCs w:val="20"/>
                  <w:lang w:eastAsia="fr-FR"/>
                </w:rPr>
                <w:t>CLIQUEZ ICI</w:t>
              </w:r>
            </w:hyperlink>
            <w:r w:rsidR="001F7292" w:rsidRPr="007B7C4B">
              <w:rPr>
                <w:rStyle w:val="Lienhypertexte"/>
                <w:rFonts w:ascii="Times New Roman" w:hAnsi="Times New Roman" w:cs="Times New Roman"/>
                <w:sz w:val="20"/>
                <w:szCs w:val="20"/>
                <w:lang w:eastAsia="fr-FR"/>
              </w:rPr>
              <w:t xml:space="preserve"> </w:t>
            </w:r>
            <w:r w:rsidR="001F7292" w:rsidRPr="007B7C4B">
              <w:rPr>
                <w:rFonts w:ascii="Times New Roman" w:hAnsi="Times New Roman" w:cs="Times New Roman"/>
                <w:sz w:val="20"/>
                <w:szCs w:val="20"/>
                <w:lang w:eastAsia="fr-FR"/>
              </w:rPr>
              <w:t>pour trouver</w:t>
            </w:r>
            <w:r w:rsidR="00B57131">
              <w:rPr>
                <w:rFonts w:ascii="Times New Roman" w:hAnsi="Times New Roman" w:cs="Times New Roman"/>
                <w:sz w:val="20"/>
                <w:szCs w:val="20"/>
                <w:lang w:eastAsia="fr-FR"/>
              </w:rPr>
              <w:t xml:space="preserve"> </w:t>
            </w:r>
            <w:r w:rsidR="001F7292" w:rsidRPr="007B7C4B">
              <w:rPr>
                <w:rFonts w:ascii="Times New Roman" w:hAnsi="Times New Roman" w:cs="Times New Roman"/>
                <w:sz w:val="20"/>
                <w:szCs w:val="20"/>
                <w:lang w:eastAsia="fr-FR"/>
              </w:rPr>
              <w:t xml:space="preserve">la liste des dossiers </w:t>
            </w:r>
            <w:proofErr w:type="spellStart"/>
            <w:r w:rsidR="001F7292" w:rsidRPr="007B7C4B">
              <w:rPr>
                <w:rFonts w:ascii="Times New Roman" w:hAnsi="Times New Roman" w:cs="Times New Roman"/>
                <w:sz w:val="20"/>
                <w:szCs w:val="20"/>
                <w:lang w:eastAsia="fr-FR"/>
              </w:rPr>
              <w:t>Domilis</w:t>
            </w:r>
            <w:proofErr w:type="spellEnd"/>
            <w:r w:rsidR="001F7292" w:rsidRPr="007B7C4B">
              <w:rPr>
                <w:rFonts w:ascii="Times New Roman" w:hAnsi="Times New Roman" w:cs="Times New Roman"/>
                <w:sz w:val="20"/>
                <w:szCs w:val="20"/>
                <w:lang w:eastAsia="fr-FR"/>
              </w:rPr>
              <w:t xml:space="preserve"> à initier, qui sont pour l’heure en échec suite au rejet des mandats (volumétrie : 557</w:t>
            </w:r>
            <w:r w:rsidR="00B57131">
              <w:rPr>
                <w:rFonts w:ascii="Times New Roman" w:hAnsi="Times New Roman" w:cs="Times New Roman"/>
                <w:sz w:val="20"/>
                <w:szCs w:val="20"/>
                <w:lang w:eastAsia="fr-FR"/>
              </w:rPr>
              <w:t xml:space="preserve"> </w:t>
            </w:r>
            <w:r w:rsidR="001F7292" w:rsidRPr="007B7C4B">
              <w:rPr>
                <w:rFonts w:ascii="Times New Roman" w:hAnsi="Times New Roman" w:cs="Times New Roman"/>
                <w:sz w:val="20"/>
                <w:szCs w:val="20"/>
                <w:lang w:eastAsia="fr-FR"/>
              </w:rPr>
              <w:t xml:space="preserve">mandats au 16 avril 2018) </w:t>
            </w:r>
            <w:hyperlink r:id="rId11" w:history="1">
              <w:r w:rsidR="001F7292" w:rsidRPr="007B7C4B">
                <w:rPr>
                  <w:rStyle w:val="Lienhypertexte"/>
                  <w:rFonts w:ascii="Times New Roman" w:hAnsi="Times New Roman" w:cs="Times New Roman"/>
                  <w:sz w:val="20"/>
                  <w:szCs w:val="20"/>
                  <w:lang w:eastAsia="fr-FR"/>
                </w:rPr>
                <w:t>CLIQUEZ ICI</w:t>
              </w:r>
            </w:hyperlink>
            <w:r w:rsidR="001F7292" w:rsidRPr="007B7C4B">
              <w:rPr>
                <w:rFonts w:ascii="Times New Roman" w:hAnsi="Times New Roman" w:cs="Times New Roman"/>
                <w:sz w:val="20"/>
                <w:szCs w:val="20"/>
                <w:lang w:eastAsia="fr-FR"/>
              </w:rPr>
              <w:t xml:space="preserve"> pour accéder au mode opératoire.</w:t>
            </w:r>
          </w:p>
        </w:tc>
      </w:tr>
      <w:tr w:rsidR="007B7C4B" w:rsidRPr="00E81F6E" w:rsidTr="00AF3BE3">
        <w:trPr>
          <w:trHeight w:val="515"/>
        </w:trPr>
        <w:tc>
          <w:tcPr>
            <w:tcW w:w="1560" w:type="dxa"/>
            <w:tcBorders>
              <w:bottom w:val="single" w:sz="4" w:space="0" w:color="auto"/>
            </w:tcBorders>
            <w:shd w:val="clear" w:color="auto" w:fill="FFFFFF" w:themeFill="background1"/>
          </w:tcPr>
          <w:p w:rsidR="007B7C4B" w:rsidRDefault="007B7C4B">
            <w:r w:rsidRPr="00EA19C8">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7B7C4B" w:rsidRPr="007B7C4B" w:rsidRDefault="007B7C4B">
            <w:pPr>
              <w:rPr>
                <w:rFonts w:ascii="Times New Roman" w:hAnsi="Times New Roman" w:cs="Times New Roman"/>
                <w:b/>
                <w:bCs/>
                <w:color w:val="000000"/>
                <w:sz w:val="20"/>
                <w:szCs w:val="20"/>
              </w:rPr>
            </w:pPr>
            <w:r w:rsidRPr="007B7C4B">
              <w:rPr>
                <w:rFonts w:ascii="Times New Roman" w:hAnsi="Times New Roman" w:cs="Times New Roman"/>
                <w:b/>
                <w:bCs/>
                <w:color w:val="000000"/>
                <w:sz w:val="20"/>
                <w:szCs w:val="20"/>
              </w:rPr>
              <w:t>PEL non-respect</w:t>
            </w:r>
          </w:p>
        </w:tc>
        <w:tc>
          <w:tcPr>
            <w:tcW w:w="12332" w:type="dxa"/>
            <w:tcBorders>
              <w:bottom w:val="single" w:sz="4" w:space="0" w:color="auto"/>
            </w:tcBorders>
            <w:shd w:val="clear" w:color="auto" w:fill="FFFFFF" w:themeFill="background1"/>
          </w:tcPr>
          <w:p w:rsidR="007B7C4B" w:rsidRPr="007B7C4B" w:rsidRDefault="00202702" w:rsidP="007B7C4B">
            <w:pPr>
              <w:numPr>
                <w:ilvl w:val="0"/>
                <w:numId w:val="40"/>
              </w:numPr>
              <w:ind w:left="176" w:hanging="176"/>
              <w:contextualSpacing/>
              <w:jc w:val="both"/>
              <w:rPr>
                <w:rFonts w:ascii="Times New Roman" w:hAnsi="Times New Roman" w:cs="Times New Roman"/>
                <w:b/>
                <w:bCs/>
                <w:color w:val="000000"/>
                <w:sz w:val="20"/>
                <w:szCs w:val="20"/>
              </w:rPr>
            </w:pPr>
            <w:hyperlink r:id="rId12" w:history="1">
              <w:r w:rsidR="007B7C4B" w:rsidRPr="007B7C4B">
                <w:rPr>
                  <w:rStyle w:val="Lienhypertexte"/>
                  <w:rFonts w:ascii="Times New Roman" w:hAnsi="Times New Roman" w:cs="Times New Roman"/>
                  <w:sz w:val="20"/>
                  <w:szCs w:val="20"/>
                  <w:lang w:eastAsia="fr-FR"/>
                </w:rPr>
                <w:t>CLIQUEZ ICI</w:t>
              </w:r>
            </w:hyperlink>
            <w:r w:rsidR="007B7C4B" w:rsidRPr="007B7C4B">
              <w:rPr>
                <w:rFonts w:ascii="Times New Roman" w:hAnsi="Times New Roman" w:cs="Times New Roman"/>
                <w:color w:val="000000"/>
                <w:sz w:val="20"/>
                <w:szCs w:val="20"/>
                <w:lang w:eastAsia="fr-FR"/>
              </w:rPr>
              <w:t xml:space="preserve"> pour accéder à la liste des PEL potentiellement en non-respect arrêté au 16 avril 2018 qui seront clôturés à J+1 de la date anniversaire</w:t>
            </w:r>
            <w:r w:rsidR="007B7C4B" w:rsidRPr="007B7C4B">
              <w:rPr>
                <w:rFonts w:ascii="Times New Roman" w:hAnsi="Times New Roman" w:cs="Times New Roman"/>
                <w:color w:val="1F497D"/>
                <w:sz w:val="20"/>
                <w:szCs w:val="20"/>
                <w:lang w:eastAsia="fr-FR"/>
              </w:rPr>
              <w:t xml:space="preserve"> </w:t>
            </w:r>
            <w:r w:rsidR="007B7C4B" w:rsidRPr="007B7C4B">
              <w:rPr>
                <w:rFonts w:ascii="Times New Roman" w:hAnsi="Times New Roman" w:cs="Times New Roman"/>
                <w:color w:val="000000"/>
                <w:sz w:val="20"/>
                <w:szCs w:val="20"/>
                <w:lang w:eastAsia="fr-FR"/>
              </w:rPr>
              <w:t>(volumétrie 197 clients)</w:t>
            </w:r>
          </w:p>
        </w:tc>
      </w:tr>
      <w:tr w:rsidR="007B7C4B" w:rsidRPr="00E81F6E" w:rsidTr="002A6D9D">
        <w:trPr>
          <w:trHeight w:val="380"/>
        </w:trPr>
        <w:tc>
          <w:tcPr>
            <w:tcW w:w="1560" w:type="dxa"/>
            <w:tcBorders>
              <w:bottom w:val="single" w:sz="4" w:space="0" w:color="auto"/>
            </w:tcBorders>
            <w:shd w:val="clear" w:color="auto" w:fill="FFFFFF" w:themeFill="background1"/>
          </w:tcPr>
          <w:p w:rsidR="007B7C4B" w:rsidRDefault="007B7C4B">
            <w:r w:rsidRPr="00EA19C8">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7B7C4B" w:rsidRPr="007B7C4B" w:rsidRDefault="007B7C4B">
            <w:pPr>
              <w:rPr>
                <w:rFonts w:ascii="Times New Roman" w:hAnsi="Times New Roman" w:cs="Times New Roman"/>
                <w:b/>
                <w:bCs/>
                <w:color w:val="000000"/>
                <w:sz w:val="20"/>
                <w:szCs w:val="20"/>
              </w:rPr>
            </w:pPr>
            <w:r w:rsidRPr="007B7C4B">
              <w:rPr>
                <w:rFonts w:ascii="Times New Roman" w:hAnsi="Times New Roman" w:cs="Times New Roman"/>
                <w:b/>
                <w:bCs/>
                <w:color w:val="000000"/>
                <w:sz w:val="20"/>
                <w:szCs w:val="20"/>
              </w:rPr>
              <w:t>Anti-résiliation</w:t>
            </w:r>
          </w:p>
        </w:tc>
        <w:tc>
          <w:tcPr>
            <w:tcW w:w="12332" w:type="dxa"/>
            <w:tcBorders>
              <w:bottom w:val="single" w:sz="4" w:space="0" w:color="auto"/>
            </w:tcBorders>
            <w:shd w:val="clear" w:color="auto" w:fill="FFFFFF" w:themeFill="background1"/>
          </w:tcPr>
          <w:p w:rsidR="007B7C4B" w:rsidRPr="007B7C4B" w:rsidRDefault="00202702" w:rsidP="007B7C4B">
            <w:pPr>
              <w:numPr>
                <w:ilvl w:val="0"/>
                <w:numId w:val="40"/>
              </w:numPr>
              <w:ind w:left="176" w:hanging="176"/>
              <w:contextualSpacing/>
              <w:jc w:val="both"/>
              <w:rPr>
                <w:rFonts w:ascii="Times New Roman" w:hAnsi="Times New Roman" w:cs="Times New Roman"/>
                <w:color w:val="000000"/>
                <w:sz w:val="20"/>
                <w:szCs w:val="20"/>
                <w:lang w:eastAsia="fr-FR"/>
              </w:rPr>
            </w:pPr>
            <w:hyperlink r:id="rId13" w:history="1">
              <w:r w:rsidR="007B7C4B" w:rsidRPr="007B7C4B">
                <w:rPr>
                  <w:rStyle w:val="Lienhypertexte"/>
                  <w:rFonts w:ascii="Times New Roman" w:hAnsi="Times New Roman" w:cs="Times New Roman"/>
                  <w:sz w:val="20"/>
                  <w:szCs w:val="20"/>
                  <w:lang w:eastAsia="fr-FR"/>
                </w:rPr>
                <w:t>CLIQUEZ ICI</w:t>
              </w:r>
            </w:hyperlink>
            <w:r w:rsidR="007B7C4B" w:rsidRPr="007B7C4B">
              <w:rPr>
                <w:rFonts w:ascii="Times New Roman" w:hAnsi="Times New Roman" w:cs="Times New Roman"/>
                <w:color w:val="000000"/>
                <w:sz w:val="20"/>
                <w:szCs w:val="20"/>
                <w:lang w:eastAsia="fr-FR"/>
              </w:rPr>
              <w:t xml:space="preserve"> pour accéder au fichier Lutte anti-résiliation IARD arrêté au 16 avril 2018 (volumétrie 267 clients). </w:t>
            </w:r>
          </w:p>
        </w:tc>
      </w:tr>
      <w:tr w:rsidR="007B7C4B" w:rsidRPr="00E81F6E" w:rsidTr="002A6D9D">
        <w:trPr>
          <w:trHeight w:val="288"/>
        </w:trPr>
        <w:tc>
          <w:tcPr>
            <w:tcW w:w="1560" w:type="dxa"/>
            <w:tcBorders>
              <w:bottom w:val="single" w:sz="4" w:space="0" w:color="auto"/>
            </w:tcBorders>
            <w:shd w:val="clear" w:color="auto" w:fill="FFFFFF" w:themeFill="background1"/>
          </w:tcPr>
          <w:p w:rsidR="007B7C4B" w:rsidRDefault="007B7C4B">
            <w:r w:rsidRPr="00EA19C8">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7B7C4B" w:rsidRPr="007B7C4B" w:rsidRDefault="007B7C4B">
            <w:pPr>
              <w:rPr>
                <w:rFonts w:ascii="Times New Roman" w:hAnsi="Times New Roman" w:cs="Times New Roman"/>
                <w:b/>
                <w:bCs/>
                <w:color w:val="000000"/>
                <w:sz w:val="20"/>
                <w:szCs w:val="20"/>
              </w:rPr>
            </w:pPr>
            <w:r w:rsidRPr="007B7C4B">
              <w:rPr>
                <w:rFonts w:ascii="Times New Roman" w:hAnsi="Times New Roman" w:cs="Times New Roman"/>
                <w:b/>
                <w:bCs/>
                <w:color w:val="000000"/>
                <w:sz w:val="20"/>
                <w:szCs w:val="20"/>
              </w:rPr>
              <w:t>Surveillance</w:t>
            </w:r>
          </w:p>
        </w:tc>
        <w:tc>
          <w:tcPr>
            <w:tcW w:w="12332" w:type="dxa"/>
            <w:tcBorders>
              <w:bottom w:val="single" w:sz="4" w:space="0" w:color="auto"/>
            </w:tcBorders>
            <w:shd w:val="clear" w:color="auto" w:fill="FFFFFF" w:themeFill="background1"/>
          </w:tcPr>
          <w:p w:rsidR="007B7C4B" w:rsidRPr="007B7C4B" w:rsidRDefault="00202702" w:rsidP="007B7C4B">
            <w:pPr>
              <w:numPr>
                <w:ilvl w:val="0"/>
                <w:numId w:val="40"/>
              </w:numPr>
              <w:ind w:left="176" w:hanging="176"/>
              <w:contextualSpacing/>
              <w:jc w:val="both"/>
              <w:rPr>
                <w:rFonts w:ascii="Times New Roman" w:hAnsi="Times New Roman" w:cs="Times New Roman"/>
                <w:color w:val="000000"/>
                <w:sz w:val="20"/>
                <w:szCs w:val="20"/>
                <w:lang w:eastAsia="fr-FR"/>
              </w:rPr>
            </w:pPr>
            <w:hyperlink r:id="rId14" w:history="1">
              <w:r w:rsidR="007B7C4B" w:rsidRPr="007B7C4B">
                <w:rPr>
                  <w:rStyle w:val="Lienhypertexte"/>
                  <w:rFonts w:ascii="Times New Roman" w:hAnsi="Times New Roman" w:cs="Times New Roman"/>
                  <w:sz w:val="20"/>
                  <w:szCs w:val="20"/>
                  <w:lang w:eastAsia="fr-FR"/>
                </w:rPr>
                <w:t>CLIQUEZ ICI</w:t>
              </w:r>
            </w:hyperlink>
            <w:r w:rsidR="007B7C4B" w:rsidRPr="007B7C4B">
              <w:rPr>
                <w:rFonts w:ascii="Times New Roman" w:hAnsi="Times New Roman" w:cs="Times New Roman"/>
                <w:color w:val="000000"/>
                <w:sz w:val="20"/>
                <w:szCs w:val="20"/>
                <w:lang w:eastAsia="fr-FR"/>
              </w:rPr>
              <w:t xml:space="preserve"> pour accéder au fichier de surveillance IARD du mois de mai 2018 (volumétrie 91 clients).</w:t>
            </w:r>
          </w:p>
        </w:tc>
      </w:tr>
      <w:tr w:rsidR="007B7C4B" w:rsidRPr="00E81F6E" w:rsidTr="002A6D9D">
        <w:trPr>
          <w:trHeight w:val="403"/>
        </w:trPr>
        <w:tc>
          <w:tcPr>
            <w:tcW w:w="1560" w:type="dxa"/>
            <w:tcBorders>
              <w:bottom w:val="single" w:sz="4" w:space="0" w:color="auto"/>
            </w:tcBorders>
            <w:shd w:val="clear" w:color="auto" w:fill="FFFFFF" w:themeFill="background1"/>
          </w:tcPr>
          <w:p w:rsidR="007B7C4B" w:rsidRDefault="007B7C4B">
            <w:r w:rsidRPr="00EA19C8">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7B7C4B" w:rsidRPr="007B7C4B" w:rsidRDefault="007B7C4B">
            <w:pPr>
              <w:rPr>
                <w:rFonts w:ascii="Times New Roman" w:hAnsi="Times New Roman" w:cs="Times New Roman"/>
                <w:b/>
                <w:bCs/>
                <w:color w:val="000000"/>
                <w:sz w:val="20"/>
                <w:szCs w:val="20"/>
              </w:rPr>
            </w:pPr>
            <w:r w:rsidRPr="007B7C4B">
              <w:rPr>
                <w:rFonts w:ascii="Times New Roman" w:hAnsi="Times New Roman" w:cs="Times New Roman"/>
                <w:b/>
                <w:bCs/>
                <w:color w:val="000000"/>
                <w:sz w:val="20"/>
                <w:szCs w:val="20"/>
              </w:rPr>
              <w:t>Livret A</w:t>
            </w:r>
          </w:p>
        </w:tc>
        <w:tc>
          <w:tcPr>
            <w:tcW w:w="12332" w:type="dxa"/>
            <w:tcBorders>
              <w:bottom w:val="single" w:sz="4" w:space="0" w:color="auto"/>
            </w:tcBorders>
            <w:shd w:val="clear" w:color="auto" w:fill="FFFFFF" w:themeFill="background1"/>
          </w:tcPr>
          <w:p w:rsidR="007B7C4B" w:rsidRPr="007B7C4B" w:rsidRDefault="007B7C4B" w:rsidP="007B7C4B">
            <w:pPr>
              <w:numPr>
                <w:ilvl w:val="0"/>
                <w:numId w:val="40"/>
              </w:numPr>
              <w:ind w:left="176" w:hanging="176"/>
              <w:contextualSpacing/>
              <w:jc w:val="both"/>
              <w:rPr>
                <w:rFonts w:ascii="Times New Roman" w:hAnsi="Times New Roman" w:cs="Times New Roman"/>
                <w:color w:val="000000"/>
                <w:sz w:val="20"/>
                <w:szCs w:val="20"/>
              </w:rPr>
            </w:pPr>
            <w:r w:rsidRPr="007B7C4B">
              <w:rPr>
                <w:rFonts w:ascii="Times New Roman" w:hAnsi="Times New Roman" w:cs="Times New Roman"/>
                <w:color w:val="000000"/>
                <w:sz w:val="20"/>
                <w:szCs w:val="20"/>
                <w:lang w:eastAsia="fr-FR"/>
              </w:rPr>
              <w:t xml:space="preserve">Comme indiqué dans la note </w:t>
            </w:r>
            <w:hyperlink r:id="rId15" w:history="1">
              <w:r w:rsidRPr="007B7C4B">
                <w:rPr>
                  <w:rStyle w:val="Lienhypertexte"/>
                  <w:rFonts w:ascii="Times New Roman" w:hAnsi="Times New Roman" w:cs="Times New Roman"/>
                  <w:color w:val="000000"/>
                  <w:sz w:val="20"/>
                  <w:szCs w:val="20"/>
                  <w:lang w:eastAsia="fr-FR"/>
                </w:rPr>
                <w:t>DSB INF17/05</w:t>
              </w:r>
            </w:hyperlink>
            <w:r w:rsidRPr="007B7C4B">
              <w:rPr>
                <w:rFonts w:ascii="Times New Roman" w:hAnsi="Times New Roman" w:cs="Times New Roman"/>
                <w:color w:val="000000"/>
                <w:sz w:val="20"/>
                <w:szCs w:val="20"/>
                <w:lang w:eastAsia="fr-FR"/>
              </w:rPr>
              <w:t xml:space="preserve">, vous trouverez la liste des Livrets A ouverts en février suite à clôture à la concurrence en </w:t>
            </w:r>
            <w:hyperlink r:id="rId16" w:history="1">
              <w:r w:rsidRPr="007B7C4B">
                <w:rPr>
                  <w:rStyle w:val="Lienhypertexte"/>
                  <w:rFonts w:ascii="Times New Roman" w:hAnsi="Times New Roman" w:cs="Times New Roman"/>
                  <w:sz w:val="20"/>
                  <w:szCs w:val="20"/>
                  <w:lang w:eastAsia="fr-FR"/>
                </w:rPr>
                <w:t>cliquant ici</w:t>
              </w:r>
            </w:hyperlink>
            <w:r w:rsidRPr="007B7C4B">
              <w:rPr>
                <w:rFonts w:ascii="Times New Roman" w:hAnsi="Times New Roman" w:cs="Times New Roman"/>
                <w:color w:val="000000"/>
                <w:sz w:val="20"/>
                <w:szCs w:val="20"/>
                <w:lang w:eastAsia="fr-FR"/>
              </w:rPr>
              <w:t xml:space="preserve"> (219 clients)</w:t>
            </w:r>
          </w:p>
        </w:tc>
      </w:tr>
      <w:tr w:rsidR="00A62E1D" w:rsidRPr="00E81F6E" w:rsidTr="002F4398">
        <w:trPr>
          <w:trHeight w:val="391"/>
        </w:trPr>
        <w:tc>
          <w:tcPr>
            <w:tcW w:w="15735" w:type="dxa"/>
            <w:gridSpan w:val="3"/>
            <w:tcBorders>
              <w:bottom w:val="single" w:sz="4" w:space="0" w:color="auto"/>
            </w:tcBorders>
            <w:shd w:val="clear" w:color="auto" w:fill="76923C" w:themeFill="accent3" w:themeFillShade="BF"/>
            <w:vAlign w:val="center"/>
          </w:tcPr>
          <w:p w:rsidR="00A62E1D" w:rsidRPr="00E81F6E" w:rsidRDefault="00A62E1D" w:rsidP="004625A3">
            <w:pPr>
              <w:jc w:val="center"/>
              <w:rPr>
                <w:rFonts w:ascii="Times New Roman" w:hAnsi="Times New Roman" w:cs="Times New Roman"/>
                <w:b/>
                <w:bCs/>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INFORMATION</w:t>
            </w:r>
          </w:p>
        </w:tc>
      </w:tr>
      <w:tr w:rsidR="00AF3BE3" w:rsidRPr="00E81F6E" w:rsidTr="00AF3BE3">
        <w:trPr>
          <w:trHeight w:val="248"/>
        </w:trPr>
        <w:tc>
          <w:tcPr>
            <w:tcW w:w="15735" w:type="dxa"/>
            <w:gridSpan w:val="3"/>
            <w:tcBorders>
              <w:bottom w:val="single" w:sz="4" w:space="0" w:color="auto"/>
            </w:tcBorders>
            <w:shd w:val="pct20" w:color="auto" w:fill="auto"/>
          </w:tcPr>
          <w:p w:rsidR="00AF3BE3" w:rsidRPr="00AF3BE3" w:rsidRDefault="00AF3BE3" w:rsidP="00AF3BE3">
            <w:pPr>
              <w:pStyle w:val="wordsection1"/>
              <w:spacing w:before="0" w:beforeAutospacing="0" w:after="0" w:afterAutospacing="0"/>
              <w:jc w:val="center"/>
              <w:rPr>
                <w:b/>
                <w:sz w:val="20"/>
                <w:szCs w:val="20"/>
                <w:lang w:eastAsia="en-US"/>
              </w:rPr>
            </w:pPr>
            <w:r w:rsidRPr="00AF3BE3">
              <w:rPr>
                <w:b/>
                <w:sz w:val="20"/>
                <w:szCs w:val="20"/>
                <w:lang w:eastAsia="en-US"/>
              </w:rPr>
              <w:t>Epargne</w:t>
            </w:r>
          </w:p>
        </w:tc>
      </w:tr>
      <w:tr w:rsidR="00121AE6" w:rsidRPr="00E81F6E" w:rsidTr="00AF3BE3">
        <w:trPr>
          <w:trHeight w:val="248"/>
        </w:trPr>
        <w:tc>
          <w:tcPr>
            <w:tcW w:w="1560" w:type="dxa"/>
            <w:tcBorders>
              <w:bottom w:val="single" w:sz="4" w:space="0" w:color="auto"/>
            </w:tcBorders>
          </w:tcPr>
          <w:p w:rsidR="00121AE6" w:rsidRPr="003139DE" w:rsidRDefault="00121AE6">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bottom w:val="single" w:sz="4" w:space="0" w:color="auto"/>
            </w:tcBorders>
          </w:tcPr>
          <w:p w:rsidR="00121AE6" w:rsidRPr="00CF26D8" w:rsidRDefault="00121AE6" w:rsidP="000A7A92">
            <w:pPr>
              <w:rPr>
                <w:rFonts w:ascii="Times New Roman" w:hAnsi="Times New Roman" w:cs="Times New Roman"/>
                <w:b/>
                <w:bCs/>
                <w:color w:val="000000"/>
                <w:sz w:val="20"/>
                <w:szCs w:val="20"/>
              </w:rPr>
            </w:pPr>
            <w:r w:rsidRPr="00CF26D8">
              <w:rPr>
                <w:rFonts w:ascii="Times New Roman" w:hAnsi="Times New Roman" w:cs="Times New Roman"/>
                <w:b/>
                <w:bCs/>
                <w:color w:val="000000"/>
                <w:sz w:val="20"/>
                <w:szCs w:val="20"/>
              </w:rPr>
              <w:t xml:space="preserve">Une nouvelle émission HELIOS </w:t>
            </w:r>
          </w:p>
        </w:tc>
        <w:tc>
          <w:tcPr>
            <w:tcW w:w="12332" w:type="dxa"/>
            <w:tcBorders>
              <w:bottom w:val="single" w:sz="4" w:space="0" w:color="auto"/>
            </w:tcBorders>
            <w:shd w:val="clear" w:color="auto" w:fill="auto"/>
          </w:tcPr>
          <w:p w:rsidR="00121AE6" w:rsidRPr="006E508D" w:rsidRDefault="00121AE6" w:rsidP="00121AE6">
            <w:pPr>
              <w:pStyle w:val="Paragraphedeliste"/>
              <w:numPr>
                <w:ilvl w:val="0"/>
                <w:numId w:val="2"/>
              </w:numPr>
              <w:ind w:left="176" w:hanging="176"/>
              <w:jc w:val="both"/>
              <w:rPr>
                <w:rFonts w:ascii="Times New Roman" w:hAnsi="Times New Roman" w:cs="Times New Roman"/>
                <w:color w:val="000000"/>
                <w:sz w:val="20"/>
                <w:szCs w:val="20"/>
              </w:rPr>
            </w:pPr>
            <w:r w:rsidRPr="006E508D">
              <w:rPr>
                <w:rFonts w:ascii="Times New Roman" w:hAnsi="Times New Roman" w:cs="Times New Roman"/>
                <w:color w:val="000000"/>
                <w:sz w:val="20"/>
                <w:szCs w:val="20"/>
              </w:rPr>
              <w:t>A compter du 16 avril et jusqu’au 20 juillet 2018, la CELCA commercialise une 2</w:t>
            </w:r>
            <w:r w:rsidRPr="006E508D">
              <w:rPr>
                <w:rFonts w:ascii="Times New Roman" w:hAnsi="Times New Roman" w:cs="Times New Roman"/>
                <w:color w:val="000000"/>
                <w:sz w:val="20"/>
                <w:szCs w:val="20"/>
                <w:vertAlign w:val="superscript"/>
              </w:rPr>
              <w:t>ème</w:t>
            </w:r>
            <w:r w:rsidRPr="006E508D">
              <w:rPr>
                <w:rFonts w:ascii="Times New Roman" w:hAnsi="Times New Roman" w:cs="Times New Roman"/>
                <w:color w:val="000000"/>
                <w:sz w:val="20"/>
                <w:szCs w:val="20"/>
              </w:rPr>
              <w:t xml:space="preserve"> enveloppe d’</w:t>
            </w:r>
            <w:r>
              <w:rPr>
                <w:rFonts w:ascii="Times New Roman" w:hAnsi="Times New Roman" w:cs="Times New Roman"/>
                <w:b/>
                <w:bCs/>
                <w:color w:val="000000"/>
                <w:sz w:val="20"/>
                <w:szCs w:val="20"/>
              </w:rPr>
              <w:t>Hélios</w:t>
            </w:r>
            <w:r w:rsidRPr="006E508D">
              <w:rPr>
                <w:rFonts w:ascii="Times New Roman" w:hAnsi="Times New Roman" w:cs="Times New Roman"/>
                <w:b/>
                <w:bCs/>
                <w:color w:val="000000"/>
                <w:sz w:val="20"/>
                <w:szCs w:val="20"/>
              </w:rPr>
              <w:t xml:space="preserve"> de 16 520 K€</w:t>
            </w:r>
            <w:r w:rsidRPr="006E508D">
              <w:rPr>
                <w:rFonts w:ascii="Times New Roman" w:hAnsi="Times New Roman" w:cs="Times New Roman"/>
                <w:color w:val="000000"/>
                <w:sz w:val="20"/>
                <w:szCs w:val="20"/>
              </w:rPr>
              <w:t xml:space="preserve">. Ce fonds accessible pour tous nos clients (clients C1 - débutants) bénéficie d’une garantie de 90% du capital. La durée recommandée est de 10 ans et ce fonds offre, sous conditions, une possibilité de sortie anticipée à 5 ans. </w:t>
            </w:r>
          </w:p>
          <w:p w:rsidR="00121AE6" w:rsidRPr="006E508D" w:rsidRDefault="00121AE6" w:rsidP="00121AE6">
            <w:pPr>
              <w:pStyle w:val="Paragraphedeliste"/>
              <w:numPr>
                <w:ilvl w:val="0"/>
                <w:numId w:val="2"/>
              </w:numPr>
              <w:ind w:left="176" w:hanging="176"/>
              <w:jc w:val="both"/>
              <w:rPr>
                <w:rFonts w:ascii="Times New Roman" w:eastAsia="Times New Roman" w:hAnsi="Times New Roman" w:cs="Times New Roman"/>
                <w:b/>
                <w:color w:val="0070C0"/>
                <w:sz w:val="20"/>
                <w:szCs w:val="20"/>
              </w:rPr>
            </w:pPr>
            <w:r w:rsidRPr="006E508D">
              <w:rPr>
                <w:rFonts w:ascii="Times New Roman" w:hAnsi="Times New Roman" w:cs="Times New Roman"/>
                <w:b/>
                <w:color w:val="0070C0"/>
                <w:sz w:val="20"/>
                <w:szCs w:val="20"/>
              </w:rPr>
              <w:t>Après le succès de la 1</w:t>
            </w:r>
            <w:r w:rsidRPr="006E508D">
              <w:rPr>
                <w:rFonts w:ascii="Times New Roman" w:hAnsi="Times New Roman" w:cs="Times New Roman"/>
                <w:b/>
                <w:color w:val="0070C0"/>
                <w:sz w:val="20"/>
                <w:szCs w:val="20"/>
                <w:vertAlign w:val="superscript"/>
              </w:rPr>
              <w:t>ère</w:t>
            </w:r>
            <w:r w:rsidRPr="006E508D">
              <w:rPr>
                <w:rFonts w:ascii="Times New Roman" w:hAnsi="Times New Roman" w:cs="Times New Roman"/>
                <w:b/>
                <w:color w:val="0070C0"/>
                <w:sz w:val="20"/>
                <w:szCs w:val="20"/>
              </w:rPr>
              <w:t xml:space="preserve"> campagne Hélios, </w:t>
            </w:r>
            <w:r w:rsidRPr="006E508D">
              <w:rPr>
                <w:rFonts w:ascii="Times New Roman" w:hAnsi="Times New Roman" w:cs="Times New Roman"/>
                <w:b/>
                <w:bCs/>
                <w:color w:val="0070C0"/>
                <w:sz w:val="20"/>
                <w:szCs w:val="20"/>
              </w:rPr>
              <w:t>Hélios Septembre 2028</w:t>
            </w:r>
            <w:r w:rsidRPr="006E508D">
              <w:rPr>
                <w:rFonts w:ascii="Times New Roman" w:hAnsi="Times New Roman" w:cs="Times New Roman"/>
                <w:b/>
                <w:color w:val="0070C0"/>
                <w:sz w:val="20"/>
                <w:szCs w:val="20"/>
              </w:rPr>
              <w:t xml:space="preserve"> est à nouveau une belle opportunité commerciale de développement de l’épargne financière et de diversification des contrats d’assurance vie de nos clients.</w:t>
            </w:r>
          </w:p>
          <w:p w:rsidR="00121AE6" w:rsidRPr="006E508D" w:rsidRDefault="00121AE6" w:rsidP="00121AE6">
            <w:pPr>
              <w:pStyle w:val="Paragraphedeliste"/>
              <w:numPr>
                <w:ilvl w:val="0"/>
                <w:numId w:val="2"/>
              </w:numPr>
              <w:ind w:left="176" w:hanging="176"/>
              <w:jc w:val="both"/>
              <w:rPr>
                <w:rFonts w:ascii="Times New Roman" w:hAnsi="Times New Roman" w:cs="Times New Roman"/>
                <w:color w:val="000000"/>
                <w:sz w:val="20"/>
                <w:szCs w:val="20"/>
              </w:rPr>
            </w:pPr>
            <w:r w:rsidRPr="006E508D">
              <w:rPr>
                <w:rFonts w:ascii="Times New Roman" w:hAnsi="Times New Roman" w:cs="Times New Roman"/>
                <w:color w:val="000000"/>
                <w:sz w:val="20"/>
                <w:szCs w:val="20"/>
              </w:rPr>
              <w:t>Retrouvez tou</w:t>
            </w:r>
            <w:r>
              <w:rPr>
                <w:rFonts w:ascii="Times New Roman" w:hAnsi="Times New Roman" w:cs="Times New Roman"/>
                <w:color w:val="000000"/>
                <w:sz w:val="20"/>
                <w:szCs w:val="20"/>
              </w:rPr>
              <w:t>te</w:t>
            </w:r>
            <w:r w:rsidRPr="006E508D">
              <w:rPr>
                <w:rFonts w:ascii="Times New Roman" w:hAnsi="Times New Roman" w:cs="Times New Roman"/>
                <w:color w:val="000000"/>
                <w:sz w:val="20"/>
                <w:szCs w:val="20"/>
              </w:rPr>
              <w:t xml:space="preserve">s les informations relatives à Hélios dans la Note d’Information qui sera mise en ligne dans le courant de la semaine </w:t>
            </w:r>
          </w:p>
        </w:tc>
      </w:tr>
      <w:tr w:rsidR="00CF26D8" w:rsidRPr="00E81F6E" w:rsidTr="00AF3BE3">
        <w:trPr>
          <w:trHeight w:val="248"/>
        </w:trPr>
        <w:tc>
          <w:tcPr>
            <w:tcW w:w="1560" w:type="dxa"/>
            <w:tcBorders>
              <w:bottom w:val="single" w:sz="4" w:space="0" w:color="auto"/>
            </w:tcBorders>
          </w:tcPr>
          <w:p w:rsidR="00CF26D8" w:rsidRDefault="00CF26D8">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bottom w:val="single" w:sz="4" w:space="0" w:color="auto"/>
            </w:tcBorders>
          </w:tcPr>
          <w:p w:rsidR="00CF26D8" w:rsidRPr="00CF26D8" w:rsidRDefault="00CF26D8">
            <w:pPr>
              <w:pStyle w:val="wordsection1"/>
              <w:rPr>
                <w:b/>
                <w:bCs/>
                <w:color w:val="000000"/>
                <w:sz w:val="20"/>
                <w:szCs w:val="20"/>
                <w:lang w:eastAsia="en-US"/>
              </w:rPr>
            </w:pPr>
            <w:r w:rsidRPr="00CF26D8">
              <w:rPr>
                <w:b/>
                <w:bCs/>
                <w:color w:val="000000"/>
                <w:sz w:val="20"/>
                <w:szCs w:val="20"/>
                <w:lang w:eastAsia="en-US"/>
              </w:rPr>
              <w:t>L'assurance vie et la prévoyance récompensée à la Caisse d'Epargne en 2018 !</w:t>
            </w:r>
          </w:p>
        </w:tc>
        <w:tc>
          <w:tcPr>
            <w:tcW w:w="12332" w:type="dxa"/>
            <w:tcBorders>
              <w:bottom w:val="single" w:sz="4" w:space="0" w:color="auto"/>
            </w:tcBorders>
            <w:shd w:val="clear" w:color="auto" w:fill="auto"/>
          </w:tcPr>
          <w:p w:rsidR="00CF26D8" w:rsidRPr="006E508D" w:rsidRDefault="00CF26D8" w:rsidP="00FE65BE">
            <w:pPr>
              <w:pStyle w:val="wordsection1"/>
              <w:numPr>
                <w:ilvl w:val="0"/>
                <w:numId w:val="36"/>
              </w:numPr>
              <w:spacing w:before="0" w:beforeAutospacing="0" w:after="0" w:afterAutospacing="0"/>
              <w:ind w:left="187" w:hanging="187"/>
              <w:jc w:val="both"/>
              <w:rPr>
                <w:color w:val="000000"/>
                <w:sz w:val="20"/>
                <w:szCs w:val="20"/>
              </w:rPr>
            </w:pPr>
            <w:r w:rsidRPr="006E508D">
              <w:rPr>
                <w:color w:val="000000"/>
                <w:sz w:val="20"/>
                <w:szCs w:val="20"/>
              </w:rPr>
              <w:t>Pour 2018, la gamme assurance vie, capitalisation et prévoyance a encore été reconnue et récompensée !</w:t>
            </w:r>
          </w:p>
          <w:p w:rsidR="00CF26D8" w:rsidRPr="006E508D" w:rsidRDefault="00CF26D8" w:rsidP="006E508D">
            <w:pPr>
              <w:pStyle w:val="Paragraphedeliste"/>
              <w:numPr>
                <w:ilvl w:val="1"/>
                <w:numId w:val="19"/>
              </w:numPr>
              <w:ind w:left="601" w:hanging="426"/>
              <w:contextualSpacing w:val="0"/>
              <w:jc w:val="both"/>
              <w:rPr>
                <w:rFonts w:ascii="Times New Roman" w:hAnsi="Times New Roman" w:cs="Times New Roman"/>
                <w:color w:val="000000"/>
                <w:sz w:val="20"/>
                <w:szCs w:val="20"/>
              </w:rPr>
            </w:pPr>
            <w:r w:rsidRPr="006E508D">
              <w:rPr>
                <w:rFonts w:ascii="Times New Roman" w:hAnsi="Times New Roman" w:cs="Times New Roman"/>
                <w:color w:val="000000"/>
                <w:sz w:val="20"/>
                <w:szCs w:val="20"/>
              </w:rPr>
              <w:t xml:space="preserve">Les contrats suivants ont reçu le </w:t>
            </w:r>
            <w:r w:rsidRPr="006E508D">
              <w:rPr>
                <w:rFonts w:ascii="Times New Roman" w:hAnsi="Times New Roman" w:cs="Times New Roman"/>
                <w:b/>
                <w:bCs/>
                <w:color w:val="000000"/>
                <w:sz w:val="20"/>
                <w:szCs w:val="20"/>
              </w:rPr>
              <w:t>Label D’excellence</w:t>
            </w:r>
            <w:r w:rsidRPr="006E508D">
              <w:rPr>
                <w:rFonts w:ascii="Times New Roman" w:hAnsi="Times New Roman" w:cs="Times New Roman"/>
                <w:color w:val="000000"/>
                <w:sz w:val="20"/>
                <w:szCs w:val="20"/>
              </w:rPr>
              <w:t xml:space="preserve"> décerné par le magazine </w:t>
            </w:r>
            <w:r w:rsidRPr="006E508D">
              <w:rPr>
                <w:rFonts w:ascii="Times New Roman" w:hAnsi="Times New Roman" w:cs="Times New Roman"/>
                <w:i/>
                <w:iCs/>
                <w:color w:val="000000"/>
                <w:sz w:val="20"/>
                <w:szCs w:val="20"/>
              </w:rPr>
              <w:t>Les Dossiers de l’Epargne</w:t>
            </w:r>
            <w:r w:rsidRPr="006E508D">
              <w:rPr>
                <w:rFonts w:ascii="Times New Roman" w:hAnsi="Times New Roman" w:cs="Times New Roman"/>
                <w:color w:val="000000"/>
                <w:sz w:val="20"/>
                <w:szCs w:val="20"/>
              </w:rPr>
              <w:t xml:space="preserve"> : </w:t>
            </w:r>
            <w:proofErr w:type="spellStart"/>
            <w:r w:rsidRPr="006E508D">
              <w:rPr>
                <w:rFonts w:ascii="Times New Roman" w:hAnsi="Times New Roman" w:cs="Times New Roman"/>
                <w:b/>
                <w:bCs/>
                <w:color w:val="000000"/>
                <w:sz w:val="20"/>
                <w:szCs w:val="20"/>
              </w:rPr>
              <w:t>Millevie</w:t>
            </w:r>
            <w:proofErr w:type="spellEnd"/>
            <w:r w:rsidRPr="006E508D">
              <w:rPr>
                <w:rFonts w:ascii="Times New Roman" w:hAnsi="Times New Roman" w:cs="Times New Roman"/>
                <w:b/>
                <w:bCs/>
                <w:color w:val="000000"/>
                <w:sz w:val="20"/>
                <w:szCs w:val="20"/>
              </w:rPr>
              <w:t xml:space="preserve"> Premium, </w:t>
            </w:r>
            <w:proofErr w:type="spellStart"/>
            <w:r w:rsidRPr="006E508D">
              <w:rPr>
                <w:rFonts w:ascii="Times New Roman" w:hAnsi="Times New Roman" w:cs="Times New Roman"/>
                <w:b/>
                <w:bCs/>
                <w:color w:val="000000"/>
                <w:sz w:val="20"/>
                <w:szCs w:val="20"/>
              </w:rPr>
              <w:t>Millevie</w:t>
            </w:r>
            <w:proofErr w:type="spellEnd"/>
            <w:r w:rsidRPr="006E508D">
              <w:rPr>
                <w:rFonts w:ascii="Times New Roman" w:hAnsi="Times New Roman" w:cs="Times New Roman"/>
                <w:b/>
                <w:bCs/>
                <w:color w:val="000000"/>
                <w:sz w:val="20"/>
                <w:szCs w:val="20"/>
              </w:rPr>
              <w:t xml:space="preserve"> Infinie, </w:t>
            </w:r>
            <w:proofErr w:type="spellStart"/>
            <w:r w:rsidRPr="006E508D">
              <w:rPr>
                <w:rFonts w:ascii="Times New Roman" w:hAnsi="Times New Roman" w:cs="Times New Roman"/>
                <w:b/>
                <w:bCs/>
                <w:color w:val="000000"/>
                <w:sz w:val="20"/>
                <w:szCs w:val="20"/>
              </w:rPr>
              <w:t>Secur</w:t>
            </w:r>
            <w:proofErr w:type="spellEnd"/>
            <w:r w:rsidRPr="006E508D">
              <w:rPr>
                <w:rFonts w:ascii="Times New Roman" w:hAnsi="Times New Roman" w:cs="Times New Roman"/>
                <w:b/>
                <w:bCs/>
                <w:color w:val="000000"/>
                <w:sz w:val="20"/>
                <w:szCs w:val="20"/>
              </w:rPr>
              <w:t xml:space="preserve">’ Famille, </w:t>
            </w:r>
            <w:proofErr w:type="spellStart"/>
            <w:r w:rsidRPr="006E508D">
              <w:rPr>
                <w:rFonts w:ascii="Times New Roman" w:hAnsi="Times New Roman" w:cs="Times New Roman"/>
                <w:b/>
                <w:bCs/>
                <w:color w:val="000000"/>
                <w:sz w:val="20"/>
                <w:szCs w:val="20"/>
              </w:rPr>
              <w:t>Secur</w:t>
            </w:r>
            <w:proofErr w:type="spellEnd"/>
            <w:r w:rsidRPr="006E508D">
              <w:rPr>
                <w:rFonts w:ascii="Times New Roman" w:hAnsi="Times New Roman" w:cs="Times New Roman"/>
                <w:b/>
                <w:bCs/>
                <w:color w:val="000000"/>
                <w:sz w:val="20"/>
                <w:szCs w:val="20"/>
              </w:rPr>
              <w:t>’ Obsèques, Assistance Vie</w:t>
            </w:r>
            <w:r w:rsidR="00FE65BE" w:rsidRPr="006E508D">
              <w:rPr>
                <w:rFonts w:ascii="Times New Roman" w:hAnsi="Times New Roman" w:cs="Times New Roman"/>
                <w:color w:val="000000"/>
                <w:sz w:val="20"/>
                <w:szCs w:val="20"/>
              </w:rPr>
              <w:t xml:space="preserve"> </w:t>
            </w:r>
          </w:p>
          <w:p w:rsidR="00CF26D8" w:rsidRPr="006E508D" w:rsidRDefault="00CF26D8" w:rsidP="006E508D">
            <w:pPr>
              <w:pStyle w:val="Paragraphedeliste"/>
              <w:numPr>
                <w:ilvl w:val="1"/>
                <w:numId w:val="19"/>
              </w:numPr>
              <w:ind w:left="601" w:hanging="426"/>
              <w:contextualSpacing w:val="0"/>
              <w:jc w:val="both"/>
              <w:rPr>
                <w:rFonts w:ascii="Times New Roman" w:hAnsi="Times New Roman" w:cs="Times New Roman"/>
                <w:color w:val="000000"/>
                <w:sz w:val="20"/>
                <w:szCs w:val="20"/>
              </w:rPr>
            </w:pPr>
            <w:r w:rsidRPr="006E508D">
              <w:rPr>
                <w:rFonts w:ascii="Times New Roman" w:hAnsi="Times New Roman" w:cs="Times New Roman"/>
                <w:color w:val="000000"/>
                <w:sz w:val="20"/>
                <w:szCs w:val="20"/>
              </w:rPr>
              <w:t xml:space="preserve">Les contrats suivants ont reçu un Oscar de l’Assurance Vie et de la Prévoyance décerné par le magazine </w:t>
            </w:r>
            <w:r w:rsidRPr="006E508D">
              <w:rPr>
                <w:rFonts w:ascii="Times New Roman" w:hAnsi="Times New Roman" w:cs="Times New Roman"/>
                <w:i/>
                <w:iCs/>
                <w:color w:val="000000"/>
                <w:sz w:val="20"/>
                <w:szCs w:val="20"/>
              </w:rPr>
              <w:t>Gestion de Fortune</w:t>
            </w:r>
            <w:r w:rsidR="00FE65BE" w:rsidRPr="006E508D">
              <w:rPr>
                <w:rFonts w:ascii="Times New Roman" w:hAnsi="Times New Roman" w:cs="Times New Roman"/>
                <w:color w:val="000000"/>
                <w:sz w:val="20"/>
                <w:szCs w:val="20"/>
              </w:rPr>
              <w:t xml:space="preserve"> </w:t>
            </w:r>
            <w:proofErr w:type="spellStart"/>
            <w:r w:rsidRPr="006E508D">
              <w:rPr>
                <w:rFonts w:ascii="Times New Roman" w:hAnsi="Times New Roman" w:cs="Times New Roman"/>
                <w:b/>
                <w:bCs/>
                <w:color w:val="000000"/>
                <w:sz w:val="20"/>
                <w:szCs w:val="20"/>
              </w:rPr>
              <w:t>Millevie</w:t>
            </w:r>
            <w:proofErr w:type="spellEnd"/>
            <w:r w:rsidRPr="006E508D">
              <w:rPr>
                <w:rFonts w:ascii="Times New Roman" w:hAnsi="Times New Roman" w:cs="Times New Roman"/>
                <w:b/>
                <w:bCs/>
                <w:color w:val="000000"/>
                <w:sz w:val="20"/>
                <w:szCs w:val="20"/>
              </w:rPr>
              <w:t xml:space="preserve"> Premium, </w:t>
            </w:r>
            <w:proofErr w:type="spellStart"/>
            <w:r w:rsidRPr="006E508D">
              <w:rPr>
                <w:rFonts w:ascii="Times New Roman" w:hAnsi="Times New Roman" w:cs="Times New Roman"/>
                <w:b/>
                <w:bCs/>
                <w:color w:val="000000"/>
                <w:sz w:val="20"/>
                <w:szCs w:val="20"/>
              </w:rPr>
              <w:t>Millevie</w:t>
            </w:r>
            <w:proofErr w:type="spellEnd"/>
            <w:r w:rsidRPr="006E508D">
              <w:rPr>
                <w:rFonts w:ascii="Times New Roman" w:hAnsi="Times New Roman" w:cs="Times New Roman"/>
                <w:b/>
                <w:bCs/>
                <w:color w:val="000000"/>
                <w:sz w:val="20"/>
                <w:szCs w:val="20"/>
              </w:rPr>
              <w:t xml:space="preserve"> Infinie, Nuances </w:t>
            </w:r>
            <w:proofErr w:type="spellStart"/>
            <w:r w:rsidRPr="006E508D">
              <w:rPr>
                <w:rFonts w:ascii="Times New Roman" w:hAnsi="Times New Roman" w:cs="Times New Roman"/>
                <w:b/>
                <w:bCs/>
                <w:color w:val="000000"/>
                <w:sz w:val="20"/>
                <w:szCs w:val="20"/>
              </w:rPr>
              <w:t>Capi</w:t>
            </w:r>
            <w:proofErr w:type="spellEnd"/>
            <w:r w:rsidRPr="006E508D">
              <w:rPr>
                <w:rFonts w:ascii="Times New Roman" w:hAnsi="Times New Roman" w:cs="Times New Roman"/>
                <w:b/>
                <w:bCs/>
                <w:color w:val="000000"/>
                <w:sz w:val="20"/>
                <w:szCs w:val="20"/>
              </w:rPr>
              <w:t>,</w:t>
            </w:r>
            <w:r w:rsidRPr="006E508D">
              <w:rPr>
                <w:rFonts w:ascii="Times New Roman" w:hAnsi="Times New Roman" w:cs="Times New Roman"/>
                <w:color w:val="000000"/>
                <w:sz w:val="20"/>
                <w:szCs w:val="20"/>
              </w:rPr>
              <w:t xml:space="preserve"> </w:t>
            </w:r>
            <w:proofErr w:type="spellStart"/>
            <w:r w:rsidRPr="006E508D">
              <w:rPr>
                <w:rFonts w:ascii="Times New Roman" w:hAnsi="Times New Roman" w:cs="Times New Roman"/>
                <w:b/>
                <w:bCs/>
                <w:color w:val="000000"/>
                <w:sz w:val="20"/>
                <w:szCs w:val="20"/>
              </w:rPr>
              <w:t>Secur</w:t>
            </w:r>
            <w:proofErr w:type="spellEnd"/>
            <w:r w:rsidRPr="006E508D">
              <w:rPr>
                <w:rFonts w:ascii="Times New Roman" w:hAnsi="Times New Roman" w:cs="Times New Roman"/>
                <w:b/>
                <w:bCs/>
                <w:color w:val="000000"/>
                <w:sz w:val="20"/>
                <w:szCs w:val="20"/>
              </w:rPr>
              <w:t>’ Famille</w:t>
            </w:r>
          </w:p>
        </w:tc>
      </w:tr>
      <w:tr w:rsidR="00121AE6" w:rsidRPr="00E81F6E" w:rsidTr="00AF3BE3">
        <w:trPr>
          <w:trHeight w:val="248"/>
        </w:trPr>
        <w:tc>
          <w:tcPr>
            <w:tcW w:w="1560" w:type="dxa"/>
            <w:tcBorders>
              <w:bottom w:val="single" w:sz="4" w:space="0" w:color="auto"/>
            </w:tcBorders>
          </w:tcPr>
          <w:p w:rsidR="00121AE6" w:rsidRDefault="00121AE6">
            <w:r w:rsidRPr="005947DF">
              <w:rPr>
                <w:rFonts w:ascii="Times New Roman" w:hAnsi="Times New Roman" w:cs="Times New Roman"/>
                <w:b/>
                <w:bCs/>
                <w:sz w:val="20"/>
                <w:szCs w:val="20"/>
              </w:rPr>
              <w:t>Com. DMA</w:t>
            </w:r>
          </w:p>
        </w:tc>
        <w:tc>
          <w:tcPr>
            <w:tcW w:w="1843" w:type="dxa"/>
            <w:tcBorders>
              <w:bottom w:val="single" w:sz="4" w:space="0" w:color="auto"/>
            </w:tcBorders>
          </w:tcPr>
          <w:p w:rsidR="00121AE6" w:rsidRPr="00317F3D" w:rsidRDefault="00121AE6" w:rsidP="000A7A92">
            <w:pPr>
              <w:rPr>
                <w:rFonts w:ascii="Calibri" w:hAnsi="Calibri" w:cs="Calibri"/>
                <w:sz w:val="20"/>
                <w:szCs w:val="20"/>
              </w:rPr>
            </w:pPr>
            <w:r w:rsidRPr="00317F3D">
              <w:rPr>
                <w:rFonts w:ascii="Times New Roman" w:hAnsi="Times New Roman" w:cs="Times New Roman"/>
                <w:b/>
                <w:bCs/>
                <w:sz w:val="20"/>
                <w:szCs w:val="20"/>
                <w:lang w:eastAsia="fr-FR"/>
              </w:rPr>
              <w:t>NUANCES CAPI :</w:t>
            </w:r>
            <w:r w:rsidRPr="00317F3D">
              <w:rPr>
                <w:color w:val="1F497D"/>
                <w:sz w:val="20"/>
                <w:szCs w:val="20"/>
              </w:rPr>
              <w:t xml:space="preserve"> </w:t>
            </w:r>
            <w:r w:rsidRPr="00317F3D">
              <w:rPr>
                <w:rFonts w:ascii="Times New Roman" w:hAnsi="Times New Roman" w:cs="Times New Roman"/>
                <w:b/>
                <w:bCs/>
                <w:sz w:val="20"/>
                <w:szCs w:val="20"/>
                <w:lang w:eastAsia="fr-FR"/>
              </w:rPr>
              <w:t>Accélérateur client</w:t>
            </w:r>
          </w:p>
        </w:tc>
        <w:tc>
          <w:tcPr>
            <w:tcW w:w="12332" w:type="dxa"/>
            <w:tcBorders>
              <w:bottom w:val="single" w:sz="4" w:space="0" w:color="auto"/>
            </w:tcBorders>
            <w:shd w:val="clear" w:color="auto" w:fill="auto"/>
          </w:tcPr>
          <w:p w:rsidR="00121AE6" w:rsidRPr="00317F3D" w:rsidRDefault="00121AE6" w:rsidP="00121AE6">
            <w:pPr>
              <w:pStyle w:val="Paragraphedeliste"/>
              <w:numPr>
                <w:ilvl w:val="0"/>
                <w:numId w:val="20"/>
              </w:numPr>
              <w:ind w:left="175" w:hanging="175"/>
              <w:contextualSpacing w:val="0"/>
              <w:rPr>
                <w:rFonts w:ascii="Calibri" w:hAnsi="Calibri" w:cs="Calibri"/>
                <w:b/>
                <w:color w:val="1F497D"/>
                <w:sz w:val="20"/>
                <w:szCs w:val="20"/>
                <w:lang w:eastAsia="fr-FR"/>
              </w:rPr>
            </w:pPr>
            <w:r w:rsidRPr="00317F3D">
              <w:rPr>
                <w:rFonts w:ascii="Times New Roman" w:hAnsi="Times New Roman" w:cs="Times New Roman"/>
                <w:b/>
                <w:sz w:val="20"/>
                <w:szCs w:val="20"/>
                <w:lang w:eastAsia="fr-FR"/>
              </w:rPr>
              <w:t>Une belle opportunité nous est offerte du 16 avril au 31 aout 2018 !</w:t>
            </w:r>
          </w:p>
          <w:p w:rsidR="00121AE6" w:rsidRPr="00317F3D" w:rsidRDefault="00121AE6" w:rsidP="00121AE6">
            <w:pPr>
              <w:pStyle w:val="Paragraphedeliste"/>
              <w:numPr>
                <w:ilvl w:val="0"/>
                <w:numId w:val="20"/>
              </w:numPr>
              <w:ind w:left="175" w:hanging="175"/>
              <w:contextualSpacing w:val="0"/>
              <w:rPr>
                <w:rFonts w:ascii="Times New Roman" w:eastAsia="Times New Roman" w:hAnsi="Times New Roman" w:cs="Times New Roman"/>
                <w:sz w:val="20"/>
                <w:szCs w:val="20"/>
                <w:lang w:eastAsia="fr-FR"/>
              </w:rPr>
            </w:pPr>
            <w:r w:rsidRPr="00317F3D">
              <w:rPr>
                <w:rFonts w:ascii="Times New Roman" w:hAnsi="Times New Roman" w:cs="Times New Roman"/>
                <w:sz w:val="20"/>
                <w:szCs w:val="20"/>
                <w:lang w:eastAsia="fr-FR"/>
              </w:rPr>
              <w:t xml:space="preserve">Les versements libres sur Nuances CAPI bénéficieront d’une rémunération complémentaire de 0,70% sur la part du versement investie sur le support en euros </w:t>
            </w:r>
            <w:proofErr w:type="gramStart"/>
            <w:r w:rsidRPr="00317F3D">
              <w:rPr>
                <w:rFonts w:ascii="Times New Roman" w:hAnsi="Times New Roman" w:cs="Times New Roman"/>
                <w:sz w:val="20"/>
                <w:szCs w:val="20"/>
                <w:lang w:eastAsia="fr-FR"/>
              </w:rPr>
              <w:t>( Euro</w:t>
            </w:r>
            <w:proofErr w:type="gramEnd"/>
            <w:r w:rsidRPr="00317F3D">
              <w:rPr>
                <w:rFonts w:ascii="Times New Roman" w:hAnsi="Times New Roman" w:cs="Times New Roman"/>
                <w:sz w:val="20"/>
                <w:szCs w:val="20"/>
                <w:lang w:eastAsia="fr-FR"/>
              </w:rPr>
              <w:t xml:space="preserve"> </w:t>
            </w:r>
            <w:proofErr w:type="spellStart"/>
            <w:r w:rsidRPr="00317F3D">
              <w:rPr>
                <w:rFonts w:ascii="Times New Roman" w:hAnsi="Times New Roman" w:cs="Times New Roman"/>
                <w:sz w:val="20"/>
                <w:szCs w:val="20"/>
                <w:lang w:eastAsia="fr-FR"/>
              </w:rPr>
              <w:t>Capi</w:t>
            </w:r>
            <w:proofErr w:type="spellEnd"/>
            <w:r w:rsidRPr="00317F3D">
              <w:rPr>
                <w:rFonts w:ascii="Times New Roman" w:hAnsi="Times New Roman" w:cs="Times New Roman"/>
                <w:sz w:val="20"/>
                <w:szCs w:val="20"/>
                <w:lang w:eastAsia="fr-FR"/>
              </w:rPr>
              <w:t xml:space="preserve"> ) dans les conditions suivantes :</w:t>
            </w:r>
          </w:p>
          <w:p w:rsidR="00121AE6" w:rsidRPr="00317F3D" w:rsidRDefault="00121AE6" w:rsidP="00121AE6">
            <w:pPr>
              <w:pStyle w:val="Paragraphedeliste"/>
              <w:numPr>
                <w:ilvl w:val="1"/>
                <w:numId w:val="2"/>
              </w:numPr>
              <w:ind w:left="601" w:hanging="426"/>
              <w:contextualSpacing w:val="0"/>
              <w:jc w:val="both"/>
              <w:rPr>
                <w:rFonts w:ascii="Times New Roman" w:hAnsi="Times New Roman" w:cs="Times New Roman"/>
                <w:color w:val="000000"/>
                <w:sz w:val="20"/>
                <w:szCs w:val="20"/>
              </w:rPr>
            </w:pPr>
            <w:r w:rsidRPr="00317F3D">
              <w:rPr>
                <w:rFonts w:ascii="Times New Roman" w:hAnsi="Times New Roman" w:cs="Times New Roman"/>
                <w:color w:val="000000"/>
                <w:sz w:val="20"/>
                <w:szCs w:val="20"/>
              </w:rPr>
              <w:t>Montant minimum : 1 000 € brut</w:t>
            </w:r>
          </w:p>
          <w:p w:rsidR="00121AE6" w:rsidRPr="00317F3D" w:rsidRDefault="00121AE6" w:rsidP="00121AE6">
            <w:pPr>
              <w:pStyle w:val="Paragraphedeliste"/>
              <w:numPr>
                <w:ilvl w:val="1"/>
                <w:numId w:val="2"/>
              </w:numPr>
              <w:ind w:left="601" w:hanging="426"/>
              <w:contextualSpacing w:val="0"/>
              <w:jc w:val="both"/>
              <w:rPr>
                <w:rFonts w:ascii="Times New Roman" w:hAnsi="Times New Roman" w:cs="Times New Roman"/>
                <w:color w:val="000000"/>
                <w:sz w:val="20"/>
                <w:szCs w:val="20"/>
              </w:rPr>
            </w:pPr>
            <w:r w:rsidRPr="00317F3D">
              <w:rPr>
                <w:rFonts w:ascii="Times New Roman" w:hAnsi="Times New Roman" w:cs="Times New Roman"/>
                <w:color w:val="000000"/>
                <w:sz w:val="20"/>
                <w:szCs w:val="20"/>
              </w:rPr>
              <w:t>Sous condition d’un taux d’UC d’au moins 30 %</w:t>
            </w:r>
          </w:p>
          <w:p w:rsidR="00121AE6" w:rsidRPr="00317F3D" w:rsidRDefault="00121AE6" w:rsidP="00121AE6">
            <w:pPr>
              <w:pStyle w:val="Paragraphedeliste"/>
              <w:numPr>
                <w:ilvl w:val="0"/>
                <w:numId w:val="2"/>
              </w:numPr>
              <w:contextualSpacing w:val="0"/>
              <w:jc w:val="both"/>
              <w:rPr>
                <w:rFonts w:ascii="Times New Roman" w:hAnsi="Times New Roman" w:cs="Times New Roman"/>
                <w:color w:val="000000"/>
                <w:sz w:val="20"/>
                <w:szCs w:val="20"/>
              </w:rPr>
            </w:pPr>
            <w:r w:rsidRPr="00317F3D">
              <w:rPr>
                <w:rFonts w:ascii="Times New Roman" w:hAnsi="Times New Roman" w:cs="Times New Roman"/>
                <w:color w:val="000000"/>
                <w:sz w:val="20"/>
                <w:szCs w:val="20"/>
              </w:rPr>
              <w:t>Attribuée au 31/12/2018 et au 31/12/2019 (taux boosté pour le support Euro sur les deux exercices pour les versements réalisés pendant la période</w:t>
            </w:r>
            <w:bookmarkStart w:id="0" w:name="_GoBack"/>
            <w:bookmarkEnd w:id="0"/>
            <w:r>
              <w:t xml:space="preserve"> </w:t>
            </w:r>
            <w:r w:rsidRPr="002E42C0">
              <w:rPr>
                <w:rFonts w:ascii="Times New Roman" w:hAnsi="Times New Roman" w:cs="Times New Roman"/>
                <w:color w:val="000000"/>
                <w:sz w:val="20"/>
                <w:szCs w:val="20"/>
              </w:rPr>
              <w:t>à condition que la part investie sur le support en euros soit toujours présente)</w:t>
            </w:r>
          </w:p>
          <w:p w:rsidR="00121AE6" w:rsidRPr="00317F3D" w:rsidRDefault="00121AE6" w:rsidP="00121AE6">
            <w:pPr>
              <w:pStyle w:val="Paragraphedeliste"/>
              <w:numPr>
                <w:ilvl w:val="0"/>
                <w:numId w:val="20"/>
              </w:numPr>
              <w:ind w:left="175" w:hanging="175"/>
              <w:contextualSpacing w:val="0"/>
              <w:rPr>
                <w:rFonts w:ascii="Times New Roman" w:hAnsi="Times New Roman" w:cs="Times New Roman"/>
                <w:sz w:val="20"/>
                <w:szCs w:val="20"/>
                <w:lang w:eastAsia="fr-FR"/>
              </w:rPr>
            </w:pPr>
            <w:r w:rsidRPr="00317F3D">
              <w:rPr>
                <w:rFonts w:ascii="Times New Roman" w:hAnsi="Times New Roman" w:cs="Times New Roman"/>
                <w:sz w:val="20"/>
                <w:szCs w:val="20"/>
                <w:lang w:eastAsia="fr-FR"/>
              </w:rPr>
              <w:t>Un assuré peut réaliser plusieurs versements pendant la période et bénéficier de l’offre lors de chaque versement.</w:t>
            </w:r>
          </w:p>
          <w:p w:rsidR="00121AE6" w:rsidRPr="00317F3D" w:rsidRDefault="00121AE6" w:rsidP="00121AE6">
            <w:pPr>
              <w:pStyle w:val="Paragraphedeliste"/>
              <w:numPr>
                <w:ilvl w:val="0"/>
                <w:numId w:val="20"/>
              </w:numPr>
              <w:ind w:left="175" w:hanging="175"/>
              <w:contextualSpacing w:val="0"/>
              <w:rPr>
                <w:rFonts w:ascii="Times New Roman" w:hAnsi="Times New Roman" w:cs="Times New Roman"/>
                <w:sz w:val="20"/>
                <w:szCs w:val="20"/>
                <w:lang w:eastAsia="fr-FR"/>
              </w:rPr>
            </w:pPr>
            <w:r w:rsidRPr="00317F3D">
              <w:rPr>
                <w:rFonts w:ascii="Times New Roman" w:hAnsi="Times New Roman" w:cs="Times New Roman"/>
                <w:sz w:val="20"/>
                <w:szCs w:val="20"/>
                <w:lang w:eastAsia="fr-FR"/>
              </w:rPr>
              <w:t>Sont exclus de cette campagne :</w:t>
            </w:r>
          </w:p>
          <w:p w:rsidR="00121AE6" w:rsidRPr="00317F3D" w:rsidRDefault="00121AE6" w:rsidP="00121AE6">
            <w:pPr>
              <w:pStyle w:val="Paragraphedeliste"/>
              <w:numPr>
                <w:ilvl w:val="1"/>
                <w:numId w:val="2"/>
              </w:numPr>
              <w:ind w:left="601" w:hanging="426"/>
              <w:contextualSpacing w:val="0"/>
              <w:jc w:val="both"/>
              <w:rPr>
                <w:rFonts w:ascii="Times New Roman" w:hAnsi="Times New Roman" w:cs="Times New Roman"/>
                <w:color w:val="000000"/>
                <w:sz w:val="20"/>
                <w:szCs w:val="20"/>
              </w:rPr>
            </w:pPr>
            <w:r w:rsidRPr="00317F3D">
              <w:rPr>
                <w:rFonts w:ascii="Times New Roman" w:hAnsi="Times New Roman" w:cs="Times New Roman"/>
                <w:color w:val="000000"/>
                <w:sz w:val="20"/>
                <w:szCs w:val="20"/>
              </w:rPr>
              <w:t>Les réinvestissements suite à décès</w:t>
            </w:r>
          </w:p>
          <w:p w:rsidR="00121AE6" w:rsidRPr="00317F3D" w:rsidRDefault="00121AE6" w:rsidP="00121AE6">
            <w:pPr>
              <w:pStyle w:val="Paragraphedeliste"/>
              <w:numPr>
                <w:ilvl w:val="1"/>
                <w:numId w:val="2"/>
              </w:numPr>
              <w:ind w:left="601" w:hanging="426"/>
              <w:contextualSpacing w:val="0"/>
              <w:jc w:val="both"/>
              <w:rPr>
                <w:rFonts w:ascii="Times New Roman" w:hAnsi="Times New Roman" w:cs="Times New Roman"/>
                <w:color w:val="000000"/>
                <w:sz w:val="20"/>
                <w:szCs w:val="20"/>
              </w:rPr>
            </w:pPr>
            <w:r w:rsidRPr="00317F3D">
              <w:rPr>
                <w:rFonts w:ascii="Times New Roman" w:hAnsi="Times New Roman" w:cs="Times New Roman"/>
                <w:color w:val="000000"/>
                <w:sz w:val="20"/>
                <w:szCs w:val="20"/>
              </w:rPr>
              <w:t xml:space="preserve">Les réinvestissements suite à </w:t>
            </w:r>
            <w:proofErr w:type="spellStart"/>
            <w:r w:rsidRPr="00317F3D">
              <w:rPr>
                <w:rFonts w:ascii="Times New Roman" w:hAnsi="Times New Roman" w:cs="Times New Roman"/>
                <w:color w:val="000000"/>
                <w:sz w:val="20"/>
                <w:szCs w:val="20"/>
              </w:rPr>
              <w:t>arrivée</w:t>
            </w:r>
            <w:proofErr w:type="spellEnd"/>
            <w:r w:rsidRPr="00317F3D">
              <w:rPr>
                <w:rFonts w:ascii="Times New Roman" w:hAnsi="Times New Roman" w:cs="Times New Roman"/>
                <w:color w:val="000000"/>
                <w:sz w:val="20"/>
                <w:szCs w:val="20"/>
              </w:rPr>
              <w:t xml:space="preserve"> à échéance</w:t>
            </w:r>
          </w:p>
          <w:p w:rsidR="00121AE6" w:rsidRPr="00317F3D" w:rsidRDefault="00121AE6" w:rsidP="00121AE6">
            <w:pPr>
              <w:pStyle w:val="Paragraphedeliste"/>
              <w:numPr>
                <w:ilvl w:val="1"/>
                <w:numId w:val="2"/>
              </w:numPr>
              <w:ind w:left="601" w:hanging="426"/>
              <w:contextualSpacing w:val="0"/>
              <w:jc w:val="both"/>
              <w:rPr>
                <w:rFonts w:ascii="Times New Roman" w:hAnsi="Times New Roman" w:cs="Times New Roman"/>
                <w:color w:val="000000"/>
                <w:sz w:val="20"/>
                <w:szCs w:val="20"/>
              </w:rPr>
            </w:pPr>
            <w:r w:rsidRPr="00317F3D">
              <w:rPr>
                <w:rFonts w:ascii="Times New Roman" w:hAnsi="Times New Roman" w:cs="Times New Roman"/>
                <w:color w:val="000000"/>
                <w:sz w:val="20"/>
                <w:szCs w:val="20"/>
              </w:rPr>
              <w:t xml:space="preserve">les transferts </w:t>
            </w:r>
            <w:proofErr w:type="spellStart"/>
            <w:r w:rsidRPr="00317F3D">
              <w:rPr>
                <w:rFonts w:ascii="Times New Roman" w:hAnsi="Times New Roman" w:cs="Times New Roman"/>
                <w:color w:val="000000"/>
                <w:sz w:val="20"/>
                <w:szCs w:val="20"/>
              </w:rPr>
              <w:t>Fourgous</w:t>
            </w:r>
            <w:proofErr w:type="spellEnd"/>
          </w:p>
          <w:p w:rsidR="00121AE6" w:rsidRPr="00317F3D" w:rsidRDefault="00121AE6" w:rsidP="00121AE6">
            <w:pPr>
              <w:pStyle w:val="Paragraphedeliste"/>
              <w:numPr>
                <w:ilvl w:val="1"/>
                <w:numId w:val="2"/>
              </w:numPr>
              <w:ind w:left="601" w:hanging="426"/>
              <w:contextualSpacing w:val="0"/>
              <w:jc w:val="both"/>
              <w:rPr>
                <w:rFonts w:ascii="Times New Roman" w:hAnsi="Times New Roman" w:cs="Times New Roman"/>
                <w:color w:val="000000"/>
                <w:sz w:val="20"/>
                <w:szCs w:val="20"/>
              </w:rPr>
            </w:pPr>
            <w:r w:rsidRPr="00317F3D">
              <w:rPr>
                <w:rFonts w:ascii="Times New Roman" w:hAnsi="Times New Roman" w:cs="Times New Roman"/>
                <w:color w:val="000000"/>
                <w:sz w:val="20"/>
                <w:szCs w:val="20"/>
              </w:rPr>
              <w:t>Les versements réguliers</w:t>
            </w:r>
          </w:p>
          <w:p w:rsidR="00121AE6" w:rsidRPr="00317F3D" w:rsidRDefault="00121AE6" w:rsidP="00121AE6">
            <w:pPr>
              <w:pStyle w:val="Paragraphedeliste"/>
              <w:numPr>
                <w:ilvl w:val="1"/>
                <w:numId w:val="2"/>
              </w:numPr>
              <w:ind w:left="601" w:hanging="426"/>
              <w:contextualSpacing w:val="0"/>
              <w:jc w:val="both"/>
              <w:rPr>
                <w:rFonts w:ascii="Times New Roman" w:hAnsi="Times New Roman" w:cs="Times New Roman"/>
                <w:color w:val="000000"/>
                <w:sz w:val="20"/>
                <w:szCs w:val="20"/>
              </w:rPr>
            </w:pPr>
            <w:r w:rsidRPr="00317F3D">
              <w:rPr>
                <w:rFonts w:ascii="Times New Roman" w:hAnsi="Times New Roman" w:cs="Times New Roman"/>
                <w:color w:val="000000"/>
                <w:sz w:val="20"/>
                <w:szCs w:val="20"/>
              </w:rPr>
              <w:t>Les recyclages FCP</w:t>
            </w:r>
          </w:p>
          <w:p w:rsidR="00121AE6" w:rsidRPr="00317F3D" w:rsidRDefault="00121AE6" w:rsidP="00121AE6">
            <w:pPr>
              <w:pStyle w:val="Paragraphedeliste"/>
              <w:numPr>
                <w:ilvl w:val="1"/>
                <w:numId w:val="2"/>
              </w:numPr>
              <w:ind w:left="601" w:hanging="426"/>
              <w:contextualSpacing w:val="0"/>
              <w:jc w:val="both"/>
              <w:rPr>
                <w:rFonts w:ascii="Times New Roman" w:hAnsi="Times New Roman" w:cs="Times New Roman"/>
                <w:color w:val="000000"/>
                <w:sz w:val="20"/>
                <w:szCs w:val="20"/>
              </w:rPr>
            </w:pPr>
            <w:r w:rsidRPr="00317F3D">
              <w:rPr>
                <w:rFonts w:ascii="Times New Roman" w:hAnsi="Times New Roman" w:cs="Times New Roman"/>
                <w:color w:val="000000"/>
                <w:sz w:val="20"/>
                <w:szCs w:val="20"/>
              </w:rPr>
              <w:lastRenderedPageBreak/>
              <w:t>Les arbitrages</w:t>
            </w:r>
          </w:p>
          <w:p w:rsidR="00121AE6" w:rsidRPr="00317F3D" w:rsidRDefault="00121AE6" w:rsidP="00121AE6">
            <w:pPr>
              <w:pStyle w:val="Paragraphedeliste"/>
              <w:numPr>
                <w:ilvl w:val="0"/>
                <w:numId w:val="20"/>
              </w:numPr>
              <w:contextualSpacing w:val="0"/>
              <w:rPr>
                <w:rFonts w:ascii="Times New Roman" w:hAnsi="Times New Roman" w:cs="Times New Roman"/>
                <w:b/>
                <w:sz w:val="20"/>
                <w:szCs w:val="20"/>
                <w:lang w:eastAsia="fr-FR"/>
              </w:rPr>
            </w:pPr>
            <w:r w:rsidRPr="00317F3D">
              <w:rPr>
                <w:rFonts w:ascii="Times New Roman" w:hAnsi="Times New Roman" w:cs="Times New Roman"/>
                <w:b/>
                <w:color w:val="0070C0"/>
                <w:sz w:val="20"/>
                <w:szCs w:val="20"/>
                <w:lang w:eastAsia="fr-FR"/>
              </w:rPr>
              <w:t xml:space="preserve">L’enveloppe est nationale, </w:t>
            </w:r>
            <w:r w:rsidRPr="002E42C0">
              <w:rPr>
                <w:rFonts w:ascii="Times New Roman" w:hAnsi="Times New Roman" w:cs="Times New Roman"/>
                <w:b/>
                <w:color w:val="0070C0"/>
                <w:sz w:val="20"/>
                <w:szCs w:val="20"/>
                <w:lang w:eastAsia="fr-FR"/>
              </w:rPr>
              <w:t>ell</w:t>
            </w:r>
            <w:r>
              <w:rPr>
                <w:rFonts w:ascii="Times New Roman" w:hAnsi="Times New Roman" w:cs="Times New Roman"/>
                <w:b/>
                <w:color w:val="0070C0"/>
                <w:sz w:val="20"/>
                <w:szCs w:val="20"/>
                <w:lang w:eastAsia="fr-FR"/>
              </w:rPr>
              <w:t>e est limitée à 100 M€</w:t>
            </w:r>
            <w:r w:rsidRPr="002E42C0">
              <w:rPr>
                <w:rFonts w:ascii="Times New Roman" w:hAnsi="Times New Roman" w:cs="Times New Roman"/>
                <w:b/>
                <w:color w:val="0070C0"/>
                <w:sz w:val="20"/>
                <w:szCs w:val="20"/>
                <w:lang w:eastAsia="fr-FR"/>
              </w:rPr>
              <w:t xml:space="preserve"> de collecte sur le fonds </w:t>
            </w:r>
            <w:proofErr w:type="spellStart"/>
            <w:r w:rsidRPr="002E42C0">
              <w:rPr>
                <w:rFonts w:ascii="Times New Roman" w:hAnsi="Times New Roman" w:cs="Times New Roman"/>
                <w:b/>
                <w:color w:val="0070C0"/>
                <w:sz w:val="20"/>
                <w:szCs w:val="20"/>
                <w:lang w:eastAsia="fr-FR"/>
              </w:rPr>
              <w:t>Capi</w:t>
            </w:r>
            <w:proofErr w:type="spellEnd"/>
            <w:r w:rsidRPr="002E42C0">
              <w:rPr>
                <w:rFonts w:ascii="Times New Roman" w:hAnsi="Times New Roman" w:cs="Times New Roman"/>
                <w:b/>
                <w:color w:val="0070C0"/>
                <w:sz w:val="20"/>
                <w:szCs w:val="20"/>
                <w:lang w:eastAsia="fr-FR"/>
              </w:rPr>
              <w:t xml:space="preserve"> Euros</w:t>
            </w:r>
            <w:r>
              <w:rPr>
                <w:rFonts w:ascii="Times New Roman" w:hAnsi="Times New Roman" w:cs="Times New Roman"/>
                <w:b/>
                <w:color w:val="0070C0"/>
                <w:sz w:val="20"/>
                <w:szCs w:val="20"/>
                <w:lang w:eastAsia="fr-FR"/>
              </w:rPr>
              <w:t xml:space="preserve">. </w:t>
            </w:r>
          </w:p>
        </w:tc>
      </w:tr>
      <w:tr w:rsidR="00317F3D" w:rsidRPr="00E81F6E" w:rsidTr="00AF3BE3">
        <w:trPr>
          <w:trHeight w:val="248"/>
        </w:trPr>
        <w:tc>
          <w:tcPr>
            <w:tcW w:w="1560" w:type="dxa"/>
            <w:tcBorders>
              <w:bottom w:val="single" w:sz="4" w:space="0" w:color="auto"/>
            </w:tcBorders>
          </w:tcPr>
          <w:p w:rsidR="00317F3D" w:rsidRDefault="00317F3D">
            <w:r w:rsidRPr="005947DF">
              <w:rPr>
                <w:rFonts w:ascii="Times New Roman" w:hAnsi="Times New Roman" w:cs="Times New Roman"/>
                <w:b/>
                <w:bCs/>
                <w:sz w:val="20"/>
                <w:szCs w:val="20"/>
              </w:rPr>
              <w:lastRenderedPageBreak/>
              <w:t>Com. DMA</w:t>
            </w:r>
          </w:p>
        </w:tc>
        <w:tc>
          <w:tcPr>
            <w:tcW w:w="1843" w:type="dxa"/>
            <w:tcBorders>
              <w:bottom w:val="single" w:sz="4" w:space="0" w:color="auto"/>
            </w:tcBorders>
          </w:tcPr>
          <w:p w:rsidR="00317F3D" w:rsidRPr="00317F3D" w:rsidRDefault="00317F3D">
            <w:pPr>
              <w:rPr>
                <w:rFonts w:ascii="Times New Roman" w:hAnsi="Times New Roman" w:cs="Times New Roman"/>
                <w:b/>
                <w:bCs/>
                <w:sz w:val="20"/>
                <w:szCs w:val="20"/>
                <w:highlight w:val="yellow"/>
                <w:lang w:eastAsia="fr-FR"/>
              </w:rPr>
            </w:pPr>
            <w:r w:rsidRPr="00317F3D">
              <w:rPr>
                <w:rFonts w:ascii="Times New Roman" w:hAnsi="Times New Roman" w:cs="Times New Roman"/>
                <w:b/>
                <w:bCs/>
                <w:sz w:val="20"/>
                <w:szCs w:val="20"/>
                <w:lang w:eastAsia="fr-FR"/>
              </w:rPr>
              <w:t>LEP en fin de droits</w:t>
            </w:r>
          </w:p>
        </w:tc>
        <w:tc>
          <w:tcPr>
            <w:tcW w:w="12332" w:type="dxa"/>
            <w:tcBorders>
              <w:bottom w:val="single" w:sz="4" w:space="0" w:color="auto"/>
            </w:tcBorders>
            <w:shd w:val="clear" w:color="auto" w:fill="auto"/>
          </w:tcPr>
          <w:p w:rsidR="00317F3D" w:rsidRPr="00317F3D" w:rsidRDefault="00317F3D" w:rsidP="00317F3D">
            <w:pPr>
              <w:pStyle w:val="Paragraphedeliste"/>
              <w:numPr>
                <w:ilvl w:val="0"/>
                <w:numId w:val="42"/>
              </w:numPr>
              <w:ind w:left="175" w:hanging="175"/>
              <w:contextualSpacing w:val="0"/>
              <w:rPr>
                <w:rFonts w:ascii="Times New Roman" w:hAnsi="Times New Roman" w:cs="Times New Roman"/>
                <w:sz w:val="20"/>
                <w:szCs w:val="20"/>
                <w:lang w:eastAsia="fr-FR"/>
              </w:rPr>
            </w:pPr>
            <w:r w:rsidRPr="00317F3D">
              <w:rPr>
                <w:rFonts w:ascii="Times New Roman" w:hAnsi="Times New Roman" w:cs="Times New Roman"/>
                <w:sz w:val="20"/>
                <w:szCs w:val="20"/>
                <w:lang w:eastAsia="fr-FR"/>
              </w:rPr>
              <w:t>Cette année, la justification des LEP en fin de droit concernera également les LEP bénéficiant de la clause de « </w:t>
            </w:r>
            <w:r w:rsidRPr="00317F3D">
              <w:rPr>
                <w:rFonts w:ascii="Times New Roman" w:hAnsi="Times New Roman" w:cs="Times New Roman"/>
                <w:b/>
                <w:bCs/>
                <w:sz w:val="20"/>
                <w:szCs w:val="20"/>
                <w:lang w:eastAsia="fr-FR"/>
              </w:rPr>
              <w:t>Grand Père</w:t>
            </w:r>
            <w:r w:rsidRPr="00317F3D">
              <w:rPr>
                <w:rFonts w:ascii="Times New Roman" w:hAnsi="Times New Roman" w:cs="Times New Roman"/>
                <w:sz w:val="20"/>
                <w:szCs w:val="20"/>
                <w:lang w:eastAsia="fr-FR"/>
              </w:rPr>
              <w:t> » (LEP ouverts avant le 01/01/2014 et dûment justifiés au 31/12/2013). Pour rappel, ces LEP doivent être justifiés avant le 31/12/2018 (clôture prévue le 31/03/2019).</w:t>
            </w:r>
          </w:p>
          <w:p w:rsidR="00317F3D" w:rsidRPr="00317F3D" w:rsidRDefault="00317F3D" w:rsidP="00317F3D">
            <w:pPr>
              <w:pStyle w:val="Paragraphedeliste"/>
              <w:numPr>
                <w:ilvl w:val="0"/>
                <w:numId w:val="42"/>
              </w:numPr>
              <w:ind w:left="175" w:hanging="175"/>
              <w:contextualSpacing w:val="0"/>
              <w:rPr>
                <w:rFonts w:ascii="Times New Roman" w:eastAsia="Times New Roman" w:hAnsi="Times New Roman" w:cs="Times New Roman"/>
                <w:b/>
                <w:bCs/>
                <w:sz w:val="20"/>
                <w:szCs w:val="20"/>
                <w:lang w:eastAsia="fr-FR"/>
              </w:rPr>
            </w:pPr>
            <w:r w:rsidRPr="00317F3D">
              <w:rPr>
                <w:rFonts w:ascii="Times New Roman" w:hAnsi="Times New Roman" w:cs="Times New Roman"/>
                <w:b/>
                <w:bCs/>
                <w:sz w:val="20"/>
                <w:szCs w:val="20"/>
                <w:lang w:eastAsia="fr-FR"/>
              </w:rPr>
              <w:t xml:space="preserve">Ce sont 156 000 clients CELCA qui sont concernés et qui feront l’objet d’un courrier ou </w:t>
            </w:r>
            <w:proofErr w:type="spellStart"/>
            <w:r w:rsidRPr="00317F3D">
              <w:rPr>
                <w:rFonts w:ascii="Times New Roman" w:hAnsi="Times New Roman" w:cs="Times New Roman"/>
                <w:b/>
                <w:bCs/>
                <w:sz w:val="20"/>
                <w:szCs w:val="20"/>
                <w:lang w:eastAsia="fr-FR"/>
              </w:rPr>
              <w:t>emailing</w:t>
            </w:r>
            <w:proofErr w:type="spellEnd"/>
            <w:r w:rsidRPr="00317F3D">
              <w:rPr>
                <w:rFonts w:ascii="Times New Roman" w:hAnsi="Times New Roman" w:cs="Times New Roman"/>
                <w:b/>
                <w:bCs/>
                <w:sz w:val="20"/>
                <w:szCs w:val="20"/>
                <w:lang w:eastAsia="fr-FR"/>
              </w:rPr>
              <w:t xml:space="preserve"> à compter du 16 avril.</w:t>
            </w:r>
          </w:p>
          <w:p w:rsidR="00317F3D" w:rsidRPr="00317F3D" w:rsidRDefault="00317F3D" w:rsidP="00317F3D">
            <w:pPr>
              <w:pStyle w:val="Paragraphedeliste"/>
              <w:numPr>
                <w:ilvl w:val="0"/>
                <w:numId w:val="42"/>
              </w:numPr>
              <w:ind w:left="175" w:hanging="175"/>
              <w:contextualSpacing w:val="0"/>
              <w:rPr>
                <w:rFonts w:ascii="Times New Roman" w:hAnsi="Times New Roman" w:cs="Times New Roman"/>
                <w:sz w:val="20"/>
                <w:szCs w:val="20"/>
                <w:lang w:eastAsia="fr-FR"/>
              </w:rPr>
            </w:pPr>
            <w:r w:rsidRPr="00317F3D">
              <w:rPr>
                <w:rFonts w:ascii="Times New Roman" w:hAnsi="Times New Roman" w:cs="Times New Roman"/>
                <w:sz w:val="20"/>
                <w:szCs w:val="20"/>
                <w:lang w:eastAsia="fr-FR"/>
              </w:rPr>
              <w:t xml:space="preserve">Cette action est prise en charge par IDATECH qui procèdera également à la numérisation et à la mise à jour </w:t>
            </w:r>
            <w:proofErr w:type="spellStart"/>
            <w:r w:rsidRPr="00317F3D">
              <w:rPr>
                <w:rFonts w:ascii="Times New Roman" w:hAnsi="Times New Roman" w:cs="Times New Roman"/>
                <w:sz w:val="20"/>
                <w:szCs w:val="20"/>
                <w:lang w:eastAsia="fr-FR"/>
              </w:rPr>
              <w:t>Mysys</w:t>
            </w:r>
            <w:proofErr w:type="spellEnd"/>
            <w:r w:rsidRPr="00317F3D">
              <w:rPr>
                <w:rFonts w:ascii="Times New Roman" w:hAnsi="Times New Roman" w:cs="Times New Roman"/>
                <w:sz w:val="20"/>
                <w:szCs w:val="20"/>
                <w:lang w:eastAsia="fr-FR"/>
              </w:rPr>
              <w:t xml:space="preserve"> en fonction des retours clients.</w:t>
            </w:r>
          </w:p>
          <w:p w:rsidR="00317F3D" w:rsidRPr="00317F3D" w:rsidRDefault="00317F3D" w:rsidP="00317F3D">
            <w:pPr>
              <w:pStyle w:val="Paragraphedeliste"/>
              <w:numPr>
                <w:ilvl w:val="0"/>
                <w:numId w:val="42"/>
              </w:numPr>
              <w:ind w:left="175" w:hanging="175"/>
              <w:contextualSpacing w:val="0"/>
              <w:rPr>
                <w:rFonts w:ascii="Times New Roman" w:hAnsi="Times New Roman" w:cs="Times New Roman"/>
                <w:sz w:val="20"/>
                <w:szCs w:val="20"/>
                <w:lang w:eastAsia="fr-FR"/>
              </w:rPr>
            </w:pPr>
            <w:r w:rsidRPr="00317F3D">
              <w:rPr>
                <w:rFonts w:ascii="Times New Roman" w:hAnsi="Times New Roman" w:cs="Times New Roman"/>
                <w:sz w:val="20"/>
                <w:szCs w:val="20"/>
                <w:lang w:eastAsia="fr-FR"/>
              </w:rPr>
              <w:t xml:space="preserve">Si un client se présente en agence, le conseiller pourra procéder à la justification du LEP comme habituellement. </w:t>
            </w:r>
          </w:p>
          <w:p w:rsidR="00317F3D" w:rsidRPr="00317F3D" w:rsidRDefault="00317F3D" w:rsidP="00317F3D">
            <w:pPr>
              <w:pStyle w:val="Paragraphedeliste"/>
              <w:numPr>
                <w:ilvl w:val="0"/>
                <w:numId w:val="42"/>
              </w:numPr>
              <w:ind w:left="175" w:hanging="175"/>
              <w:contextualSpacing w:val="0"/>
              <w:rPr>
                <w:rFonts w:ascii="Times New Roman" w:hAnsi="Times New Roman" w:cs="Times New Roman"/>
                <w:sz w:val="20"/>
                <w:szCs w:val="20"/>
                <w:lang w:eastAsia="fr-FR"/>
              </w:rPr>
            </w:pPr>
            <w:r w:rsidRPr="00317F3D">
              <w:rPr>
                <w:rFonts w:ascii="Times New Roman" w:hAnsi="Times New Roman" w:cs="Times New Roman"/>
                <w:sz w:val="20"/>
                <w:szCs w:val="20"/>
                <w:lang w:eastAsia="fr-FR"/>
              </w:rPr>
              <w:t>Retrouvez plus d’informations sur les conditions d’éligibilité au LEP dans la note DMA-INF/18.025 ou</w:t>
            </w:r>
            <w:r w:rsidRPr="00317F3D">
              <w:rPr>
                <w:rFonts w:ascii="Times New Roman" w:hAnsi="Times New Roman" w:cs="Times New Roman"/>
                <w:color w:val="1F497D"/>
                <w:sz w:val="20"/>
                <w:szCs w:val="20"/>
                <w:lang w:eastAsia="fr-FR"/>
              </w:rPr>
              <w:t xml:space="preserve"> </w:t>
            </w:r>
            <w:hyperlink r:id="rId17" w:history="1">
              <w:r w:rsidRPr="00317F3D">
                <w:rPr>
                  <w:rStyle w:val="Lienhypertexte"/>
                  <w:rFonts w:ascii="Times New Roman" w:hAnsi="Times New Roman" w:cs="Times New Roman"/>
                  <w:sz w:val="20"/>
                  <w:szCs w:val="20"/>
                  <w:lang w:eastAsia="fr-FR"/>
                </w:rPr>
                <w:t>CLIQUEZ ICI</w:t>
              </w:r>
            </w:hyperlink>
            <w:r w:rsidRPr="00317F3D">
              <w:rPr>
                <w:rFonts w:ascii="Times New Roman" w:hAnsi="Times New Roman" w:cs="Times New Roman"/>
                <w:color w:val="1F497D"/>
                <w:sz w:val="20"/>
                <w:szCs w:val="20"/>
                <w:lang w:eastAsia="fr-FR"/>
              </w:rPr>
              <w:t xml:space="preserve"> </w:t>
            </w:r>
            <w:r w:rsidRPr="00317F3D">
              <w:rPr>
                <w:rFonts w:ascii="Times New Roman" w:hAnsi="Times New Roman" w:cs="Times New Roman"/>
                <w:sz w:val="20"/>
                <w:szCs w:val="20"/>
                <w:lang w:eastAsia="fr-FR"/>
              </w:rPr>
              <w:t>pour y accéder.</w:t>
            </w:r>
          </w:p>
        </w:tc>
      </w:tr>
      <w:tr w:rsidR="00B57131" w:rsidRPr="00E81F6E" w:rsidTr="00AF3BE3">
        <w:trPr>
          <w:trHeight w:val="248"/>
        </w:trPr>
        <w:tc>
          <w:tcPr>
            <w:tcW w:w="1560" w:type="dxa"/>
            <w:tcBorders>
              <w:bottom w:val="single" w:sz="4" w:space="0" w:color="auto"/>
            </w:tcBorders>
          </w:tcPr>
          <w:p w:rsidR="00B57131" w:rsidRPr="005947DF" w:rsidRDefault="00B57131">
            <w:pPr>
              <w:rPr>
                <w:rFonts w:ascii="Times New Roman" w:hAnsi="Times New Roman" w:cs="Times New Roman"/>
                <w:b/>
                <w:bCs/>
                <w:sz w:val="20"/>
                <w:szCs w:val="20"/>
              </w:rPr>
            </w:pPr>
            <w:r w:rsidRPr="005947DF">
              <w:rPr>
                <w:rFonts w:ascii="Times New Roman" w:hAnsi="Times New Roman" w:cs="Times New Roman"/>
                <w:b/>
                <w:bCs/>
                <w:sz w:val="20"/>
                <w:szCs w:val="20"/>
              </w:rPr>
              <w:t>Com. DMA</w:t>
            </w:r>
          </w:p>
        </w:tc>
        <w:tc>
          <w:tcPr>
            <w:tcW w:w="1843" w:type="dxa"/>
            <w:tcBorders>
              <w:bottom w:val="single" w:sz="4" w:space="0" w:color="auto"/>
            </w:tcBorders>
          </w:tcPr>
          <w:p w:rsidR="00B57131" w:rsidRPr="00B57131" w:rsidRDefault="00B57131" w:rsidP="00B57131">
            <w:pPr>
              <w:rPr>
                <w:rFonts w:ascii="Times New Roman" w:hAnsi="Times New Roman" w:cs="Times New Roman"/>
                <w:b/>
                <w:bCs/>
                <w:sz w:val="20"/>
                <w:szCs w:val="20"/>
              </w:rPr>
            </w:pPr>
            <w:r w:rsidRPr="00B57131">
              <w:rPr>
                <w:rFonts w:ascii="Times New Roman" w:hAnsi="Times New Roman" w:cs="Times New Roman"/>
                <w:b/>
                <w:bCs/>
                <w:sz w:val="20"/>
                <w:szCs w:val="20"/>
              </w:rPr>
              <w:t>Rappel : Echéances Emprunt 2,87% mai 2018 et Emprunt 3,70% mai 2018</w:t>
            </w:r>
          </w:p>
        </w:tc>
        <w:tc>
          <w:tcPr>
            <w:tcW w:w="12332" w:type="dxa"/>
            <w:tcBorders>
              <w:bottom w:val="single" w:sz="4" w:space="0" w:color="auto"/>
            </w:tcBorders>
            <w:shd w:val="clear" w:color="auto" w:fill="auto"/>
          </w:tcPr>
          <w:p w:rsidR="00B57131" w:rsidRPr="00B57131" w:rsidRDefault="00B57131" w:rsidP="00B57131">
            <w:pPr>
              <w:numPr>
                <w:ilvl w:val="0"/>
                <w:numId w:val="43"/>
              </w:numPr>
              <w:ind w:left="187" w:hanging="187"/>
              <w:jc w:val="both"/>
              <w:rPr>
                <w:rFonts w:ascii="Times New Roman" w:hAnsi="Times New Roman" w:cs="Times New Roman"/>
                <w:color w:val="1F497D"/>
                <w:sz w:val="20"/>
                <w:szCs w:val="20"/>
              </w:rPr>
            </w:pPr>
            <w:r w:rsidRPr="00B57131">
              <w:rPr>
                <w:rFonts w:ascii="Times New Roman" w:hAnsi="Times New Roman" w:cs="Times New Roman"/>
                <w:b/>
                <w:bCs/>
                <w:sz w:val="20"/>
                <w:szCs w:val="20"/>
              </w:rPr>
              <w:t xml:space="preserve">Les Emprunts 2,87% mai 2018 et Emprunt 3,70% mai 2018 </w:t>
            </w:r>
            <w:r w:rsidRPr="00B57131">
              <w:rPr>
                <w:rFonts w:ascii="Times New Roman" w:hAnsi="Times New Roman" w:cs="Times New Roman"/>
                <w:color w:val="000000"/>
                <w:sz w:val="20"/>
                <w:szCs w:val="20"/>
              </w:rPr>
              <w:t>arrivent à échéance respectivement :</w:t>
            </w:r>
          </w:p>
          <w:p w:rsidR="00B57131" w:rsidRPr="00B57131" w:rsidRDefault="00B57131" w:rsidP="00B57131">
            <w:pPr>
              <w:pStyle w:val="Paragraphedeliste"/>
              <w:numPr>
                <w:ilvl w:val="1"/>
                <w:numId w:val="19"/>
              </w:numPr>
              <w:ind w:left="601" w:hanging="426"/>
              <w:contextualSpacing w:val="0"/>
              <w:jc w:val="both"/>
              <w:rPr>
                <w:rFonts w:ascii="Times New Roman" w:hAnsi="Times New Roman" w:cs="Times New Roman"/>
                <w:color w:val="1F497D"/>
                <w:sz w:val="20"/>
                <w:szCs w:val="20"/>
              </w:rPr>
            </w:pPr>
            <w:r w:rsidRPr="00B57131">
              <w:rPr>
                <w:rFonts w:ascii="Times New Roman" w:hAnsi="Times New Roman" w:cs="Times New Roman"/>
                <w:color w:val="000000"/>
                <w:sz w:val="20"/>
                <w:szCs w:val="20"/>
              </w:rPr>
              <w:t>le 04/05/2018 uniquement sur CTO pour 10,3 M€</w:t>
            </w:r>
          </w:p>
          <w:p w:rsidR="00B57131" w:rsidRPr="00B57131" w:rsidRDefault="00B57131" w:rsidP="00B57131">
            <w:pPr>
              <w:pStyle w:val="Paragraphedeliste"/>
              <w:numPr>
                <w:ilvl w:val="1"/>
                <w:numId w:val="19"/>
              </w:numPr>
              <w:ind w:left="601" w:hanging="426"/>
              <w:contextualSpacing w:val="0"/>
              <w:jc w:val="both"/>
              <w:rPr>
                <w:rFonts w:ascii="Times New Roman" w:hAnsi="Times New Roman" w:cs="Times New Roman"/>
                <w:color w:val="1F497D"/>
                <w:sz w:val="20"/>
                <w:szCs w:val="20"/>
              </w:rPr>
            </w:pPr>
            <w:r w:rsidRPr="00B57131">
              <w:rPr>
                <w:rFonts w:ascii="Times New Roman" w:hAnsi="Times New Roman" w:cs="Times New Roman"/>
                <w:color w:val="000000"/>
                <w:sz w:val="20"/>
                <w:szCs w:val="20"/>
              </w:rPr>
              <w:t xml:space="preserve">le 14/05/2018 sur CTO pour 26,8 M€ et sur Assurance Vie pour 20,7 M€. </w:t>
            </w:r>
          </w:p>
          <w:p w:rsidR="00B57131" w:rsidRPr="00B57131" w:rsidRDefault="00B57131" w:rsidP="00B57131">
            <w:pPr>
              <w:numPr>
                <w:ilvl w:val="0"/>
                <w:numId w:val="43"/>
              </w:numPr>
              <w:ind w:left="187" w:hanging="187"/>
              <w:jc w:val="both"/>
              <w:rPr>
                <w:rFonts w:ascii="Times New Roman" w:hAnsi="Times New Roman" w:cs="Times New Roman"/>
                <w:color w:val="1F497D"/>
                <w:sz w:val="20"/>
                <w:szCs w:val="20"/>
              </w:rPr>
            </w:pPr>
            <w:r w:rsidRPr="00B57131">
              <w:rPr>
                <w:rFonts w:ascii="Times New Roman" w:hAnsi="Times New Roman" w:cs="Times New Roman"/>
                <w:color w:val="000000"/>
                <w:sz w:val="20"/>
                <w:szCs w:val="20"/>
              </w:rPr>
              <w:t xml:space="preserve">En mai, ce sont ainsi globalement </w:t>
            </w:r>
            <w:r w:rsidRPr="00B57131">
              <w:rPr>
                <w:rFonts w:ascii="Times New Roman" w:hAnsi="Times New Roman" w:cs="Times New Roman"/>
                <w:b/>
                <w:bCs/>
                <w:color w:val="000000"/>
                <w:sz w:val="20"/>
                <w:szCs w:val="20"/>
              </w:rPr>
              <w:t>5 400 clients</w:t>
            </w:r>
            <w:r w:rsidRPr="00B57131">
              <w:rPr>
                <w:rFonts w:ascii="Times New Roman" w:hAnsi="Times New Roman" w:cs="Times New Roman"/>
                <w:color w:val="000000"/>
                <w:sz w:val="20"/>
                <w:szCs w:val="20"/>
              </w:rPr>
              <w:t xml:space="preserve"> qui seront concernés. </w:t>
            </w:r>
          </w:p>
          <w:p w:rsidR="00B57131" w:rsidRPr="00B57131" w:rsidRDefault="00B57131" w:rsidP="00B57131">
            <w:pPr>
              <w:numPr>
                <w:ilvl w:val="0"/>
                <w:numId w:val="43"/>
              </w:numPr>
              <w:ind w:left="187" w:hanging="187"/>
              <w:jc w:val="both"/>
              <w:rPr>
                <w:rFonts w:ascii="Times New Roman" w:hAnsi="Times New Roman" w:cs="Times New Roman"/>
                <w:color w:val="000000"/>
                <w:sz w:val="20"/>
                <w:szCs w:val="20"/>
              </w:rPr>
            </w:pPr>
            <w:r w:rsidRPr="00B57131">
              <w:rPr>
                <w:rFonts w:ascii="Times New Roman" w:hAnsi="Times New Roman" w:cs="Times New Roman"/>
                <w:color w:val="000000"/>
                <w:sz w:val="20"/>
                <w:szCs w:val="20"/>
              </w:rPr>
              <w:t xml:space="preserve">3 évènements GERC </w:t>
            </w:r>
            <w:r>
              <w:rPr>
                <w:rFonts w:ascii="Times New Roman" w:hAnsi="Times New Roman" w:cs="Times New Roman"/>
                <w:color w:val="000000"/>
                <w:sz w:val="20"/>
                <w:szCs w:val="20"/>
              </w:rPr>
              <w:t xml:space="preserve">intitulés </w:t>
            </w:r>
            <w:r w:rsidRPr="00B57131">
              <w:rPr>
                <w:rFonts w:ascii="Times New Roman" w:hAnsi="Times New Roman" w:cs="Times New Roman"/>
                <w:color w:val="000000"/>
                <w:sz w:val="20"/>
                <w:szCs w:val="20"/>
              </w:rPr>
              <w:t>« </w:t>
            </w:r>
            <w:r w:rsidRPr="00B57131">
              <w:rPr>
                <w:rFonts w:ascii="Times New Roman" w:hAnsi="Times New Roman" w:cs="Times New Roman"/>
                <w:b/>
                <w:bCs/>
                <w:color w:val="000000"/>
                <w:sz w:val="20"/>
                <w:szCs w:val="20"/>
              </w:rPr>
              <w:t>ECHEANCE EMPRUNT 2,87% CTO »</w:t>
            </w:r>
            <w:r w:rsidRPr="00B57131">
              <w:rPr>
                <w:rFonts w:ascii="Times New Roman" w:hAnsi="Times New Roman" w:cs="Times New Roman"/>
                <w:color w:val="000000"/>
                <w:sz w:val="20"/>
                <w:szCs w:val="20"/>
              </w:rPr>
              <w:t>, « </w:t>
            </w:r>
            <w:r w:rsidRPr="00B57131">
              <w:rPr>
                <w:rFonts w:ascii="Times New Roman" w:hAnsi="Times New Roman" w:cs="Times New Roman"/>
                <w:b/>
                <w:bCs/>
                <w:color w:val="000000"/>
                <w:sz w:val="20"/>
                <w:szCs w:val="20"/>
              </w:rPr>
              <w:t>ECHEANCE EMPRUNT 3,70% CTO » et « ECHEANCE EMPRUNT 3,70% AV »</w:t>
            </w:r>
            <w:r w:rsidRPr="00B57131">
              <w:rPr>
                <w:rFonts w:ascii="Times New Roman" w:hAnsi="Times New Roman" w:cs="Times New Roman"/>
                <w:color w:val="000000"/>
                <w:sz w:val="20"/>
                <w:szCs w:val="20"/>
              </w:rPr>
              <w:t xml:space="preserve"> sont à votre disposition jusqu’au 15 juin 2018.</w:t>
            </w:r>
          </w:p>
          <w:p w:rsidR="00B57131" w:rsidRPr="00B57131" w:rsidRDefault="00B57131" w:rsidP="00B57131">
            <w:pPr>
              <w:numPr>
                <w:ilvl w:val="0"/>
                <w:numId w:val="43"/>
              </w:numPr>
              <w:ind w:left="187" w:hanging="187"/>
              <w:jc w:val="both"/>
              <w:rPr>
                <w:rFonts w:ascii="Times New Roman" w:hAnsi="Times New Roman" w:cs="Times New Roman"/>
                <w:color w:val="000000"/>
                <w:sz w:val="20"/>
                <w:szCs w:val="20"/>
              </w:rPr>
            </w:pPr>
            <w:r w:rsidRPr="00B57131">
              <w:rPr>
                <w:rFonts w:ascii="Times New Roman" w:hAnsi="Times New Roman" w:cs="Times New Roman"/>
                <w:color w:val="000000"/>
                <w:sz w:val="20"/>
                <w:szCs w:val="20"/>
              </w:rPr>
              <w:t>Retrouvez plus d’informations dans les notes DMA-INF/18.031-Echéance Emprunt 2,87% mai 2018 et DMA-INF/18.033-Echéance Emprunt 3,70% mai 2018 qui seront mises en ligne cette semaine.</w:t>
            </w:r>
          </w:p>
        </w:tc>
      </w:tr>
      <w:tr w:rsidR="00312E9D" w:rsidRPr="00E81F6E" w:rsidTr="0098174C">
        <w:trPr>
          <w:trHeight w:val="248"/>
        </w:trPr>
        <w:tc>
          <w:tcPr>
            <w:tcW w:w="15735" w:type="dxa"/>
            <w:gridSpan w:val="3"/>
            <w:tcBorders>
              <w:bottom w:val="single" w:sz="4" w:space="0" w:color="auto"/>
            </w:tcBorders>
            <w:shd w:val="clear" w:color="auto" w:fill="BFBFBF" w:themeFill="background1" w:themeFillShade="BF"/>
          </w:tcPr>
          <w:p w:rsidR="00312E9D" w:rsidRPr="00317E86" w:rsidRDefault="00DF5ACA" w:rsidP="0098174C">
            <w:pPr>
              <w:contextualSpacing/>
              <w:jc w:val="center"/>
              <w:rPr>
                <w:rFonts w:ascii="Times New Roman" w:hAnsi="Times New Roman" w:cs="Times New Roman"/>
                <w:b/>
                <w:color w:val="000000"/>
                <w:sz w:val="20"/>
                <w:szCs w:val="20"/>
                <w:lang w:eastAsia="fr-FR"/>
              </w:rPr>
            </w:pPr>
            <w:r>
              <w:rPr>
                <w:rFonts w:ascii="Times New Roman" w:hAnsi="Times New Roman" w:cs="Times New Roman"/>
                <w:b/>
                <w:color w:val="000000"/>
                <w:sz w:val="20"/>
                <w:szCs w:val="20"/>
                <w:lang w:eastAsia="fr-FR"/>
              </w:rPr>
              <w:t>Bancarisation</w:t>
            </w:r>
            <w:r w:rsidR="00715B1F">
              <w:rPr>
                <w:rFonts w:ascii="Times New Roman" w:hAnsi="Times New Roman" w:cs="Times New Roman"/>
                <w:b/>
                <w:color w:val="000000"/>
                <w:sz w:val="20"/>
                <w:szCs w:val="20"/>
                <w:lang w:eastAsia="fr-FR"/>
              </w:rPr>
              <w:t>/ IARD</w:t>
            </w:r>
          </w:p>
        </w:tc>
      </w:tr>
      <w:tr w:rsidR="00C31DB0" w:rsidRPr="00E81F6E" w:rsidTr="00722265">
        <w:trPr>
          <w:trHeight w:val="248"/>
        </w:trPr>
        <w:tc>
          <w:tcPr>
            <w:tcW w:w="1560" w:type="dxa"/>
            <w:tcBorders>
              <w:bottom w:val="single" w:sz="4" w:space="0" w:color="auto"/>
            </w:tcBorders>
          </w:tcPr>
          <w:p w:rsidR="00C31DB0" w:rsidRDefault="00C31DB0">
            <w:pPr>
              <w:rPr>
                <w:rFonts w:ascii="Calibri" w:hAnsi="Calibri" w:cs="Calibri"/>
              </w:rPr>
            </w:pPr>
            <w:r>
              <w:rPr>
                <w:rFonts w:ascii="Times New Roman" w:hAnsi="Times New Roman" w:cs="Times New Roman"/>
                <w:b/>
                <w:bCs/>
                <w:sz w:val="20"/>
                <w:szCs w:val="20"/>
              </w:rPr>
              <w:t>Com. DMA</w:t>
            </w:r>
          </w:p>
        </w:tc>
        <w:tc>
          <w:tcPr>
            <w:tcW w:w="1843" w:type="dxa"/>
            <w:tcBorders>
              <w:bottom w:val="single" w:sz="4" w:space="0" w:color="auto"/>
            </w:tcBorders>
          </w:tcPr>
          <w:p w:rsidR="00C31DB0" w:rsidRDefault="00C31DB0">
            <w:pPr>
              <w:spacing w:after="200" w:line="276" w:lineRule="auto"/>
              <w:rPr>
                <w:rFonts w:ascii="Calibri" w:hAnsi="Calibri" w:cs="Calibri"/>
              </w:rPr>
            </w:pPr>
            <w:r>
              <w:rPr>
                <w:rFonts w:ascii="Times New Roman" w:hAnsi="Times New Roman" w:cs="Times New Roman"/>
                <w:b/>
                <w:bCs/>
                <w:sz w:val="20"/>
                <w:szCs w:val="20"/>
              </w:rPr>
              <w:t xml:space="preserve">Opération </w:t>
            </w:r>
            <w:proofErr w:type="spellStart"/>
            <w:r>
              <w:rPr>
                <w:rFonts w:ascii="Times New Roman" w:hAnsi="Times New Roman" w:cs="Times New Roman"/>
                <w:b/>
                <w:bCs/>
                <w:sz w:val="20"/>
                <w:szCs w:val="20"/>
              </w:rPr>
              <w:t>Kartable</w:t>
            </w:r>
            <w:proofErr w:type="spellEnd"/>
            <w:r>
              <w:rPr>
                <w:rFonts w:ascii="Times New Roman" w:hAnsi="Times New Roman" w:cs="Times New Roman"/>
                <w:b/>
                <w:bCs/>
                <w:sz w:val="20"/>
                <w:szCs w:val="20"/>
              </w:rPr>
              <w:t xml:space="preserve"> </w:t>
            </w:r>
          </w:p>
        </w:tc>
        <w:tc>
          <w:tcPr>
            <w:tcW w:w="12332" w:type="dxa"/>
            <w:tcBorders>
              <w:bottom w:val="single" w:sz="4" w:space="0" w:color="auto"/>
            </w:tcBorders>
            <w:shd w:val="clear" w:color="auto" w:fill="auto"/>
          </w:tcPr>
          <w:p w:rsidR="00C31DB0" w:rsidRDefault="00C31DB0" w:rsidP="00C31DB0">
            <w:pPr>
              <w:pStyle w:val="Paragraphedeliste"/>
              <w:numPr>
                <w:ilvl w:val="0"/>
                <w:numId w:val="31"/>
              </w:numPr>
              <w:ind w:left="176" w:hanging="176"/>
              <w:contextualSpacing w:val="0"/>
              <w:jc w:val="both"/>
              <w:rPr>
                <w:rFonts w:ascii="Calibri" w:hAnsi="Calibri" w:cs="Calibri"/>
              </w:rPr>
            </w:pPr>
            <w:r>
              <w:rPr>
                <w:rFonts w:ascii="Times New Roman" w:hAnsi="Times New Roman" w:cs="Times New Roman"/>
              </w:rPr>
              <w:t>L’</w:t>
            </w:r>
            <w:proofErr w:type="spellStart"/>
            <w:r>
              <w:rPr>
                <w:rFonts w:ascii="Times New Roman" w:hAnsi="Times New Roman" w:cs="Times New Roman"/>
              </w:rPr>
              <w:t>emailing</w:t>
            </w:r>
            <w:proofErr w:type="spellEnd"/>
            <w:r>
              <w:rPr>
                <w:rFonts w:ascii="Times New Roman" w:hAnsi="Times New Roman" w:cs="Times New Roman"/>
              </w:rPr>
              <w:t xml:space="preserve"> mettant en avant notre offre </w:t>
            </w:r>
            <w:proofErr w:type="spellStart"/>
            <w:r>
              <w:rPr>
                <w:rFonts w:ascii="Times New Roman" w:hAnsi="Times New Roman" w:cs="Times New Roman"/>
              </w:rPr>
              <w:t>Kartable</w:t>
            </w:r>
            <w:proofErr w:type="spellEnd"/>
            <w:r>
              <w:rPr>
                <w:rFonts w:ascii="Times New Roman" w:hAnsi="Times New Roman" w:cs="Times New Roman"/>
              </w:rPr>
              <w:t xml:space="preserve"> sera envoyé à nos clients (parents d’enfants ayant entre 16 et 18 ans et qui sont non bancarisés) dans les prochains jours (envoi initialement prévu en semaine 14). Comme indiqué précédemment, la cible des clients concernés sera mise à disposition. Les Référents Jeunes en seront informés via le groupe </w:t>
            </w:r>
            <w:proofErr w:type="spellStart"/>
            <w:r>
              <w:rPr>
                <w:rFonts w:ascii="Times New Roman" w:hAnsi="Times New Roman" w:cs="Times New Roman"/>
              </w:rPr>
              <w:t>Yammer</w:t>
            </w:r>
            <w:proofErr w:type="spellEnd"/>
            <w:r>
              <w:rPr>
                <w:rFonts w:ascii="Times New Roman" w:hAnsi="Times New Roman" w:cs="Times New Roman"/>
              </w:rPr>
              <w:t>.</w:t>
            </w:r>
          </w:p>
          <w:p w:rsidR="00C31DB0" w:rsidRPr="00C31DB0" w:rsidRDefault="00C31DB0" w:rsidP="00C31DB0">
            <w:pPr>
              <w:pStyle w:val="Paragraphedeliste"/>
              <w:numPr>
                <w:ilvl w:val="0"/>
                <w:numId w:val="31"/>
              </w:numPr>
              <w:ind w:left="176" w:hanging="176"/>
              <w:contextualSpacing w:val="0"/>
              <w:jc w:val="both"/>
              <w:rPr>
                <w:rFonts w:eastAsia="Times New Roman"/>
                <w:b/>
                <w:sz w:val="20"/>
                <w:szCs w:val="20"/>
                <w:lang w:eastAsia="fr-FR"/>
              </w:rPr>
            </w:pPr>
            <w:r w:rsidRPr="00C31DB0">
              <w:rPr>
                <w:rFonts w:ascii="Times New Roman" w:hAnsi="Times New Roman" w:cs="Times New Roman"/>
                <w:b/>
              </w:rPr>
              <w:t>Cet accélérateur permet de capitaliser sur nos offres spéciales Jeunes et ainsi d’accélérer la conquête, fidéliser et accompagner les Jeunes dans l’une des grandes étapes de la vie : le passage du BAC !</w:t>
            </w:r>
          </w:p>
          <w:p w:rsidR="00C31DB0" w:rsidRDefault="00C31DB0" w:rsidP="00C31DB0">
            <w:pPr>
              <w:pStyle w:val="Paragraphedeliste"/>
              <w:numPr>
                <w:ilvl w:val="0"/>
                <w:numId w:val="31"/>
              </w:numPr>
              <w:ind w:left="176" w:hanging="176"/>
              <w:contextualSpacing w:val="0"/>
              <w:jc w:val="both"/>
            </w:pPr>
            <w:r>
              <w:rPr>
                <w:rFonts w:ascii="Times New Roman" w:hAnsi="Times New Roman" w:cs="Times New Roman"/>
              </w:rPr>
              <w:t xml:space="preserve">Pour rappel, retrouvez les détails de l’opération dans la newsletter Jeunes du mois de mars. </w:t>
            </w:r>
            <w:hyperlink r:id="rId18" w:history="1">
              <w:r>
                <w:rPr>
                  <w:rStyle w:val="Lienhypertexte"/>
                  <w:rFonts w:ascii="Times New Roman" w:hAnsi="Times New Roman" w:cs="Times New Roman"/>
                </w:rPr>
                <w:t>CLIQUEZ ICI</w:t>
              </w:r>
            </w:hyperlink>
            <w:r>
              <w:rPr>
                <w:rFonts w:ascii="Times New Roman" w:hAnsi="Times New Roman" w:cs="Times New Roman"/>
              </w:rPr>
              <w:t xml:space="preserve"> pour y accéder.</w:t>
            </w:r>
          </w:p>
        </w:tc>
      </w:tr>
      <w:tr w:rsidR="00722265" w:rsidRPr="00E81F6E" w:rsidTr="00722265">
        <w:trPr>
          <w:trHeight w:val="248"/>
        </w:trPr>
        <w:tc>
          <w:tcPr>
            <w:tcW w:w="15735" w:type="dxa"/>
            <w:gridSpan w:val="3"/>
            <w:tcBorders>
              <w:bottom w:val="single" w:sz="4" w:space="0" w:color="auto"/>
            </w:tcBorders>
            <w:shd w:val="clear" w:color="auto" w:fill="BFBFBF" w:themeFill="background1" w:themeFillShade="BF"/>
          </w:tcPr>
          <w:p w:rsidR="00722265" w:rsidRPr="00722265" w:rsidRDefault="00722265" w:rsidP="00722265">
            <w:pPr>
              <w:jc w:val="center"/>
              <w:rPr>
                <w:rFonts w:ascii="Times New Roman" w:hAnsi="Times New Roman" w:cs="Times New Roman"/>
                <w:b/>
              </w:rPr>
            </w:pPr>
            <w:r w:rsidRPr="00722265">
              <w:rPr>
                <w:rFonts w:ascii="Times New Roman" w:hAnsi="Times New Roman" w:cs="Times New Roman"/>
                <w:b/>
              </w:rPr>
              <w:t>Crédits</w:t>
            </w:r>
          </w:p>
        </w:tc>
      </w:tr>
      <w:tr w:rsidR="00722265" w:rsidRPr="00E81F6E" w:rsidTr="00722265">
        <w:trPr>
          <w:trHeight w:val="740"/>
        </w:trPr>
        <w:tc>
          <w:tcPr>
            <w:tcW w:w="1560" w:type="dxa"/>
            <w:tcBorders>
              <w:bottom w:val="single" w:sz="4" w:space="0" w:color="auto"/>
            </w:tcBorders>
          </w:tcPr>
          <w:p w:rsidR="00722265" w:rsidRDefault="00722265" w:rsidP="00722265">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bottom w:val="single" w:sz="4" w:space="0" w:color="auto"/>
            </w:tcBorders>
          </w:tcPr>
          <w:p w:rsidR="00722265" w:rsidRDefault="00722265" w:rsidP="00722265">
            <w:pPr>
              <w:rPr>
                <w:rFonts w:ascii="Times New Roman" w:hAnsi="Times New Roman" w:cs="Times New Roman"/>
                <w:b/>
                <w:bCs/>
                <w:sz w:val="20"/>
                <w:szCs w:val="20"/>
              </w:rPr>
            </w:pPr>
            <w:r>
              <w:rPr>
                <w:rFonts w:ascii="Times New Roman" w:hAnsi="Times New Roman" w:cs="Times New Roman"/>
                <w:b/>
                <w:bCs/>
                <w:sz w:val="20"/>
                <w:szCs w:val="20"/>
              </w:rPr>
              <w:t>Crédit conso : restructuration de dettes</w:t>
            </w:r>
          </w:p>
        </w:tc>
        <w:tc>
          <w:tcPr>
            <w:tcW w:w="12332" w:type="dxa"/>
            <w:tcBorders>
              <w:bottom w:val="single" w:sz="4" w:space="0" w:color="auto"/>
            </w:tcBorders>
            <w:shd w:val="clear" w:color="auto" w:fill="auto"/>
          </w:tcPr>
          <w:p w:rsidR="00722265" w:rsidRPr="006E508D" w:rsidRDefault="00722265" w:rsidP="00FE65BE">
            <w:pPr>
              <w:numPr>
                <w:ilvl w:val="0"/>
                <w:numId w:val="33"/>
              </w:numPr>
              <w:ind w:left="176" w:hanging="176"/>
              <w:contextualSpacing/>
              <w:jc w:val="both"/>
              <w:rPr>
                <w:rFonts w:ascii="Times New Roman" w:hAnsi="Times New Roman" w:cs="Times New Roman"/>
                <w:sz w:val="20"/>
                <w:szCs w:val="20"/>
                <w:lang w:eastAsia="fr-FR"/>
              </w:rPr>
            </w:pPr>
            <w:proofErr w:type="spellStart"/>
            <w:r w:rsidRPr="006E508D">
              <w:rPr>
                <w:rFonts w:ascii="Times New Roman" w:hAnsi="Times New Roman" w:cs="Times New Roman"/>
                <w:sz w:val="20"/>
                <w:szCs w:val="20"/>
                <w:lang w:eastAsia="fr-FR"/>
              </w:rPr>
              <w:t>Natixis</w:t>
            </w:r>
            <w:proofErr w:type="spellEnd"/>
            <w:r w:rsidRPr="006E508D">
              <w:rPr>
                <w:rFonts w:ascii="Times New Roman" w:hAnsi="Times New Roman" w:cs="Times New Roman"/>
                <w:sz w:val="20"/>
                <w:szCs w:val="20"/>
                <w:lang w:eastAsia="fr-FR"/>
              </w:rPr>
              <w:t xml:space="preserve"> Financement lancera courant 2018 une nouvelle offre de restructuration de dettes. Dans l’attente, nous vous rappelons qu’en CELCA les partenariats ou les accords avec les courtiers sur ce type d’offres ne sont pas autorisés. </w:t>
            </w:r>
          </w:p>
        </w:tc>
      </w:tr>
      <w:tr w:rsidR="00722265" w:rsidRPr="00E81F6E" w:rsidTr="00722265">
        <w:trPr>
          <w:trHeight w:val="740"/>
        </w:trPr>
        <w:tc>
          <w:tcPr>
            <w:tcW w:w="1560" w:type="dxa"/>
            <w:tcBorders>
              <w:bottom w:val="single" w:sz="4" w:space="0" w:color="auto"/>
            </w:tcBorders>
          </w:tcPr>
          <w:p w:rsidR="00722265" w:rsidRDefault="00722265">
            <w:r w:rsidRPr="00BB43A7">
              <w:rPr>
                <w:rFonts w:ascii="Times New Roman" w:hAnsi="Times New Roman" w:cs="Times New Roman"/>
                <w:b/>
                <w:bCs/>
                <w:sz w:val="20"/>
                <w:szCs w:val="20"/>
              </w:rPr>
              <w:t>Com. DMA</w:t>
            </w:r>
          </w:p>
        </w:tc>
        <w:tc>
          <w:tcPr>
            <w:tcW w:w="1843" w:type="dxa"/>
            <w:tcBorders>
              <w:bottom w:val="single" w:sz="4" w:space="0" w:color="auto"/>
            </w:tcBorders>
          </w:tcPr>
          <w:p w:rsidR="00722265" w:rsidRPr="00722265" w:rsidRDefault="00722265">
            <w:pPr>
              <w:rPr>
                <w:rFonts w:ascii="Times New Roman" w:hAnsi="Times New Roman" w:cs="Times New Roman"/>
                <w:b/>
                <w:sz w:val="20"/>
                <w:szCs w:val="20"/>
              </w:rPr>
            </w:pPr>
            <w:r w:rsidRPr="00722265">
              <w:rPr>
                <w:rFonts w:ascii="Times New Roman" w:hAnsi="Times New Roman" w:cs="Times New Roman"/>
                <w:b/>
                <w:sz w:val="20"/>
                <w:szCs w:val="20"/>
              </w:rPr>
              <w:t xml:space="preserve">Crédit </w:t>
            </w:r>
            <w:proofErr w:type="spellStart"/>
            <w:r w:rsidRPr="00722265">
              <w:rPr>
                <w:rFonts w:ascii="Times New Roman" w:hAnsi="Times New Roman" w:cs="Times New Roman"/>
                <w:b/>
                <w:sz w:val="20"/>
                <w:szCs w:val="20"/>
              </w:rPr>
              <w:t>immo</w:t>
            </w:r>
            <w:proofErr w:type="spellEnd"/>
            <w:r w:rsidRPr="00722265">
              <w:rPr>
                <w:rFonts w:ascii="Times New Roman" w:hAnsi="Times New Roman" w:cs="Times New Roman"/>
                <w:b/>
                <w:sz w:val="20"/>
                <w:szCs w:val="20"/>
              </w:rPr>
              <w:t xml:space="preserve"> -</w:t>
            </w:r>
          </w:p>
          <w:p w:rsidR="00722265" w:rsidRPr="00722265" w:rsidRDefault="00722265">
            <w:pPr>
              <w:rPr>
                <w:rFonts w:ascii="Times New Roman" w:hAnsi="Times New Roman" w:cs="Times New Roman"/>
                <w:sz w:val="20"/>
                <w:szCs w:val="20"/>
              </w:rPr>
            </w:pPr>
            <w:r w:rsidRPr="00722265">
              <w:rPr>
                <w:rFonts w:ascii="Times New Roman" w:hAnsi="Times New Roman" w:cs="Times New Roman"/>
                <w:b/>
                <w:sz w:val="20"/>
                <w:szCs w:val="20"/>
              </w:rPr>
              <w:t>Evolution de la tarification SACCEF</w:t>
            </w:r>
          </w:p>
        </w:tc>
        <w:tc>
          <w:tcPr>
            <w:tcW w:w="12332" w:type="dxa"/>
            <w:tcBorders>
              <w:bottom w:val="single" w:sz="4" w:space="0" w:color="auto"/>
            </w:tcBorders>
            <w:shd w:val="clear" w:color="auto" w:fill="auto"/>
          </w:tcPr>
          <w:p w:rsidR="00722265" w:rsidRPr="006E508D" w:rsidRDefault="00722265" w:rsidP="00FE65BE">
            <w:pPr>
              <w:numPr>
                <w:ilvl w:val="0"/>
                <w:numId w:val="33"/>
              </w:numPr>
              <w:ind w:left="176" w:hanging="176"/>
              <w:contextualSpacing/>
              <w:jc w:val="both"/>
              <w:rPr>
                <w:rFonts w:ascii="Times New Roman" w:hAnsi="Times New Roman" w:cs="Times New Roman"/>
                <w:sz w:val="20"/>
                <w:szCs w:val="20"/>
              </w:rPr>
            </w:pPr>
            <w:r w:rsidRPr="006E508D">
              <w:rPr>
                <w:rFonts w:ascii="Times New Roman" w:hAnsi="Times New Roman" w:cs="Times New Roman"/>
                <w:b/>
                <w:bCs/>
                <w:sz w:val="20"/>
                <w:szCs w:val="20"/>
              </w:rPr>
              <w:t>Depuis le 16 avril 2018</w:t>
            </w:r>
            <w:r w:rsidRPr="006E508D">
              <w:rPr>
                <w:rFonts w:ascii="Times New Roman" w:hAnsi="Times New Roman" w:cs="Times New Roman"/>
                <w:sz w:val="20"/>
                <w:szCs w:val="20"/>
              </w:rPr>
              <w:t>, la tarification SACCEF sur les crédits immobiliers des particuliers (uniquement) a évolué avec :</w:t>
            </w:r>
          </w:p>
          <w:p w:rsidR="00722265" w:rsidRPr="006E508D" w:rsidRDefault="00722265" w:rsidP="006E508D">
            <w:pPr>
              <w:pStyle w:val="Paragraphedeliste"/>
              <w:numPr>
                <w:ilvl w:val="1"/>
                <w:numId w:val="19"/>
              </w:numPr>
              <w:ind w:left="601" w:hanging="426"/>
              <w:contextualSpacing w:val="0"/>
              <w:jc w:val="both"/>
              <w:rPr>
                <w:rFonts w:ascii="Times New Roman" w:hAnsi="Times New Roman" w:cs="Times New Roman"/>
                <w:sz w:val="20"/>
                <w:szCs w:val="20"/>
              </w:rPr>
            </w:pPr>
            <w:r w:rsidRPr="006E508D">
              <w:rPr>
                <w:rFonts w:ascii="Times New Roman" w:hAnsi="Times New Roman" w:cs="Times New Roman"/>
                <w:sz w:val="20"/>
                <w:szCs w:val="20"/>
              </w:rPr>
              <w:t>Une simplification du barème</w:t>
            </w:r>
          </w:p>
          <w:p w:rsidR="00722265" w:rsidRPr="006E508D" w:rsidRDefault="00722265" w:rsidP="006E508D">
            <w:pPr>
              <w:pStyle w:val="Paragraphedeliste"/>
              <w:numPr>
                <w:ilvl w:val="1"/>
                <w:numId w:val="19"/>
              </w:numPr>
              <w:ind w:left="601" w:hanging="426"/>
              <w:contextualSpacing w:val="0"/>
              <w:jc w:val="both"/>
              <w:rPr>
                <w:rFonts w:ascii="Times New Roman" w:hAnsi="Times New Roman" w:cs="Times New Roman"/>
                <w:sz w:val="20"/>
                <w:szCs w:val="20"/>
              </w:rPr>
            </w:pPr>
            <w:r w:rsidRPr="006E508D">
              <w:rPr>
                <w:rFonts w:ascii="Times New Roman" w:hAnsi="Times New Roman" w:cs="Times New Roman"/>
                <w:sz w:val="20"/>
                <w:szCs w:val="20"/>
              </w:rPr>
              <w:t>Une augmentation globale des tarifs</w:t>
            </w:r>
          </w:p>
          <w:p w:rsidR="00722265" w:rsidRPr="006E508D" w:rsidRDefault="00722265" w:rsidP="00FE65BE">
            <w:pPr>
              <w:numPr>
                <w:ilvl w:val="0"/>
                <w:numId w:val="33"/>
              </w:numPr>
              <w:ind w:left="176" w:hanging="176"/>
              <w:contextualSpacing/>
              <w:jc w:val="both"/>
              <w:rPr>
                <w:rFonts w:ascii="Times New Roman" w:hAnsi="Times New Roman" w:cs="Times New Roman"/>
                <w:sz w:val="20"/>
                <w:szCs w:val="20"/>
              </w:rPr>
            </w:pPr>
            <w:r w:rsidRPr="006E508D">
              <w:rPr>
                <w:rFonts w:ascii="Times New Roman" w:hAnsi="Times New Roman" w:cs="Times New Roman"/>
                <w:sz w:val="20"/>
                <w:szCs w:val="20"/>
              </w:rPr>
              <w:t>La nouvelle tarification est appliquée dès à présent dans NEO.</w:t>
            </w:r>
          </w:p>
          <w:p w:rsidR="00722265" w:rsidRPr="006E508D" w:rsidRDefault="00722265" w:rsidP="00FE65BE">
            <w:pPr>
              <w:numPr>
                <w:ilvl w:val="0"/>
                <w:numId w:val="33"/>
              </w:numPr>
              <w:ind w:left="176" w:hanging="176"/>
              <w:contextualSpacing/>
              <w:jc w:val="both"/>
              <w:rPr>
                <w:rFonts w:ascii="Times New Roman" w:hAnsi="Times New Roman" w:cs="Times New Roman"/>
                <w:b/>
                <w:bCs/>
                <w:sz w:val="20"/>
                <w:szCs w:val="20"/>
              </w:rPr>
            </w:pPr>
            <w:r w:rsidRPr="006E508D">
              <w:rPr>
                <w:rFonts w:ascii="Times New Roman" w:hAnsi="Times New Roman" w:cs="Times New Roman"/>
                <w:b/>
                <w:bCs/>
                <w:sz w:val="20"/>
                <w:szCs w:val="20"/>
              </w:rPr>
              <w:t>Pour tous les nouveaux dossiers créés à compter du 16 avril, la nouvelle tarification s’applique.</w:t>
            </w:r>
          </w:p>
          <w:p w:rsidR="00722265" w:rsidRPr="006E508D" w:rsidRDefault="00722265" w:rsidP="00FE65BE">
            <w:pPr>
              <w:numPr>
                <w:ilvl w:val="0"/>
                <w:numId w:val="33"/>
              </w:numPr>
              <w:ind w:left="176" w:hanging="176"/>
              <w:contextualSpacing/>
              <w:jc w:val="both"/>
              <w:rPr>
                <w:rFonts w:ascii="Times New Roman" w:hAnsi="Times New Roman" w:cs="Times New Roman"/>
                <w:sz w:val="20"/>
                <w:szCs w:val="20"/>
              </w:rPr>
            </w:pPr>
            <w:r w:rsidRPr="006E508D">
              <w:rPr>
                <w:rFonts w:ascii="Times New Roman" w:hAnsi="Times New Roman" w:cs="Times New Roman"/>
                <w:sz w:val="20"/>
                <w:szCs w:val="20"/>
              </w:rPr>
              <w:t>Pour les dossiers initiés avant le 16 avril, il vous est possible de maintenir l’ancienne tarification jusqu’au 30 juin.</w:t>
            </w:r>
            <w:r w:rsidRPr="006E508D">
              <w:rPr>
                <w:rFonts w:ascii="Times New Roman" w:hAnsi="Times New Roman" w:cs="Times New Roman"/>
                <w:b/>
                <w:bCs/>
                <w:sz w:val="20"/>
                <w:szCs w:val="20"/>
              </w:rPr>
              <w:t xml:space="preserve"> </w:t>
            </w:r>
            <w:r w:rsidRPr="006E508D">
              <w:rPr>
                <w:rFonts w:ascii="Times New Roman" w:hAnsi="Times New Roman" w:cs="Times New Roman"/>
                <w:sz w:val="20"/>
                <w:szCs w:val="20"/>
              </w:rPr>
              <w:t>Pour cela, il vous suffit :</w:t>
            </w:r>
          </w:p>
          <w:p w:rsidR="00722265" w:rsidRPr="006E508D" w:rsidRDefault="00722265" w:rsidP="006E508D">
            <w:pPr>
              <w:pStyle w:val="Paragraphedeliste"/>
              <w:numPr>
                <w:ilvl w:val="1"/>
                <w:numId w:val="19"/>
              </w:numPr>
              <w:ind w:left="601" w:hanging="426"/>
              <w:contextualSpacing w:val="0"/>
              <w:jc w:val="both"/>
              <w:rPr>
                <w:rFonts w:ascii="Times New Roman" w:hAnsi="Times New Roman" w:cs="Times New Roman"/>
                <w:sz w:val="20"/>
                <w:szCs w:val="20"/>
              </w:rPr>
            </w:pPr>
            <w:r w:rsidRPr="006E508D">
              <w:rPr>
                <w:rFonts w:ascii="Times New Roman" w:hAnsi="Times New Roman" w:cs="Times New Roman"/>
                <w:b/>
                <w:bCs/>
                <w:sz w:val="20"/>
                <w:szCs w:val="20"/>
              </w:rPr>
              <w:t>De déverrouiller le cadenas de la tarification SACCEF</w:t>
            </w:r>
            <w:r w:rsidRPr="006E508D">
              <w:rPr>
                <w:rFonts w:ascii="Times New Roman" w:hAnsi="Times New Roman" w:cs="Times New Roman"/>
                <w:sz w:val="20"/>
                <w:szCs w:val="20"/>
              </w:rPr>
              <w:t xml:space="preserve"> sur chaque ligne de crédit sur NEO </w:t>
            </w:r>
            <w:r w:rsidRPr="006E508D">
              <w:rPr>
                <w:rFonts w:ascii="Times New Roman" w:hAnsi="Times New Roman" w:cs="Times New Roman"/>
                <w:b/>
                <w:bCs/>
                <w:sz w:val="20"/>
                <w:szCs w:val="20"/>
                <w:u w:val="single"/>
              </w:rPr>
              <w:t>AVANT D’ENVOYER</w:t>
            </w:r>
            <w:r w:rsidRPr="006E508D">
              <w:rPr>
                <w:rFonts w:ascii="Times New Roman" w:hAnsi="Times New Roman" w:cs="Times New Roman"/>
                <w:sz w:val="20"/>
                <w:szCs w:val="20"/>
              </w:rPr>
              <w:t xml:space="preserve"> votre dossier à la SACCEF</w:t>
            </w:r>
          </w:p>
          <w:p w:rsidR="00722265" w:rsidRPr="006E508D" w:rsidRDefault="00722265" w:rsidP="006E508D">
            <w:pPr>
              <w:pStyle w:val="Paragraphedeliste"/>
              <w:numPr>
                <w:ilvl w:val="1"/>
                <w:numId w:val="19"/>
              </w:numPr>
              <w:ind w:left="601" w:hanging="426"/>
              <w:contextualSpacing w:val="0"/>
              <w:jc w:val="both"/>
              <w:rPr>
                <w:rFonts w:ascii="Times New Roman" w:hAnsi="Times New Roman" w:cs="Times New Roman"/>
                <w:sz w:val="20"/>
                <w:szCs w:val="20"/>
              </w:rPr>
            </w:pPr>
            <w:r w:rsidRPr="006E508D">
              <w:rPr>
                <w:rFonts w:ascii="Times New Roman" w:hAnsi="Times New Roman" w:cs="Times New Roman"/>
                <w:b/>
                <w:bCs/>
                <w:sz w:val="20"/>
                <w:szCs w:val="20"/>
              </w:rPr>
              <w:t>D’informer la SACCEF par mail</w:t>
            </w:r>
            <w:r w:rsidRPr="006E508D">
              <w:rPr>
                <w:rFonts w:ascii="Times New Roman" w:hAnsi="Times New Roman" w:cs="Times New Roman"/>
                <w:sz w:val="20"/>
                <w:szCs w:val="20"/>
              </w:rPr>
              <w:t xml:space="preserve"> </w:t>
            </w:r>
            <w:hyperlink r:id="rId19" w:history="1">
              <w:r w:rsidRPr="006E508D">
                <w:rPr>
                  <w:rStyle w:val="Lienhypertexte"/>
                  <w:rFonts w:ascii="Times New Roman" w:hAnsi="Times New Roman" w:cs="Times New Roman"/>
                  <w:sz w:val="20"/>
                  <w:szCs w:val="20"/>
                </w:rPr>
                <w:t>serviceclient.saccef@c-garanties.com</w:t>
              </w:r>
            </w:hyperlink>
            <w:r w:rsidRPr="006E508D">
              <w:rPr>
                <w:rFonts w:ascii="Times New Roman" w:hAnsi="Times New Roman" w:cs="Times New Roman"/>
                <w:sz w:val="20"/>
                <w:szCs w:val="20"/>
              </w:rPr>
              <w:t> (mail type disponible dans la bibliothèque de mails Outlook)</w:t>
            </w:r>
          </w:p>
          <w:p w:rsidR="00722265" w:rsidRPr="006E508D" w:rsidRDefault="00722265" w:rsidP="00FE65BE">
            <w:pPr>
              <w:pStyle w:val="Paragraphedeliste"/>
              <w:numPr>
                <w:ilvl w:val="0"/>
                <w:numId w:val="35"/>
              </w:numPr>
              <w:contextualSpacing w:val="0"/>
              <w:jc w:val="both"/>
              <w:rPr>
                <w:rFonts w:ascii="Times New Roman" w:hAnsi="Times New Roman" w:cs="Times New Roman"/>
                <w:sz w:val="20"/>
                <w:szCs w:val="20"/>
              </w:rPr>
            </w:pPr>
            <w:r w:rsidRPr="006E508D">
              <w:rPr>
                <w:rFonts w:ascii="Times New Roman" w:hAnsi="Times New Roman" w:cs="Times New Roman"/>
                <w:sz w:val="20"/>
                <w:szCs w:val="20"/>
              </w:rPr>
              <w:t xml:space="preserve">objet du mail : « maintien ancienne tarification » + n° Saccef du dossier (2018 + 6 chiffres) </w:t>
            </w:r>
          </w:p>
          <w:p w:rsidR="00722265" w:rsidRPr="006E508D" w:rsidRDefault="00722265" w:rsidP="00FE65BE">
            <w:pPr>
              <w:pStyle w:val="Paragraphedeliste"/>
              <w:numPr>
                <w:ilvl w:val="0"/>
                <w:numId w:val="35"/>
              </w:numPr>
              <w:contextualSpacing w:val="0"/>
              <w:jc w:val="both"/>
              <w:rPr>
                <w:rFonts w:ascii="Times New Roman" w:hAnsi="Times New Roman" w:cs="Times New Roman"/>
                <w:sz w:val="20"/>
                <w:szCs w:val="20"/>
              </w:rPr>
            </w:pPr>
            <w:r w:rsidRPr="006E508D">
              <w:rPr>
                <w:rFonts w:ascii="Times New Roman" w:hAnsi="Times New Roman" w:cs="Times New Roman"/>
                <w:sz w:val="20"/>
                <w:szCs w:val="20"/>
              </w:rPr>
              <w:t>indiquer le montant de la prime Saccef et / ou le taux de tarification Saccef correspondant à l’ancienne tarification</w:t>
            </w:r>
          </w:p>
          <w:p w:rsidR="00722265" w:rsidRPr="006E508D" w:rsidRDefault="00722265" w:rsidP="00FE65BE">
            <w:pPr>
              <w:numPr>
                <w:ilvl w:val="0"/>
                <w:numId w:val="33"/>
              </w:numPr>
              <w:ind w:left="176" w:hanging="176"/>
              <w:contextualSpacing/>
              <w:jc w:val="both"/>
              <w:rPr>
                <w:rFonts w:ascii="Times New Roman" w:hAnsi="Times New Roman" w:cs="Times New Roman"/>
                <w:sz w:val="20"/>
                <w:szCs w:val="20"/>
              </w:rPr>
            </w:pPr>
            <w:r w:rsidRPr="006E508D">
              <w:rPr>
                <w:rFonts w:ascii="Times New Roman" w:hAnsi="Times New Roman" w:cs="Times New Roman"/>
                <w:sz w:val="20"/>
                <w:szCs w:val="20"/>
              </w:rPr>
              <w:t xml:space="preserve">Toutes les informations sur les avantages de la SACCEF et l’évolution de sa tarification sont à votre disposition dans l’HDJ du 12/04/2018 disponible dans la Rubrique des Commerciaux ou en </w:t>
            </w:r>
            <w:hyperlink r:id="rId20" w:history="1">
              <w:r w:rsidRPr="006E508D">
                <w:rPr>
                  <w:rStyle w:val="Lienhypertexte"/>
                  <w:rFonts w:ascii="Times New Roman" w:hAnsi="Times New Roman" w:cs="Times New Roman"/>
                  <w:sz w:val="20"/>
                  <w:szCs w:val="20"/>
                </w:rPr>
                <w:t>cliquant ICI.</w:t>
              </w:r>
            </w:hyperlink>
          </w:p>
        </w:tc>
      </w:tr>
      <w:tr w:rsidR="00722265" w:rsidRPr="00E81F6E" w:rsidTr="00722265">
        <w:trPr>
          <w:trHeight w:val="740"/>
        </w:trPr>
        <w:tc>
          <w:tcPr>
            <w:tcW w:w="1560" w:type="dxa"/>
            <w:tcBorders>
              <w:bottom w:val="single" w:sz="4" w:space="0" w:color="auto"/>
            </w:tcBorders>
          </w:tcPr>
          <w:p w:rsidR="00722265" w:rsidRDefault="00722265">
            <w:r w:rsidRPr="00BB43A7">
              <w:rPr>
                <w:rFonts w:ascii="Times New Roman" w:hAnsi="Times New Roman" w:cs="Times New Roman"/>
                <w:b/>
                <w:bCs/>
                <w:sz w:val="20"/>
                <w:szCs w:val="20"/>
              </w:rPr>
              <w:t>Com. DMA</w:t>
            </w:r>
          </w:p>
        </w:tc>
        <w:tc>
          <w:tcPr>
            <w:tcW w:w="1843" w:type="dxa"/>
            <w:tcBorders>
              <w:bottom w:val="single" w:sz="4" w:space="0" w:color="auto"/>
            </w:tcBorders>
          </w:tcPr>
          <w:p w:rsidR="00722265" w:rsidRPr="00722265" w:rsidRDefault="00722265" w:rsidP="00722265">
            <w:pPr>
              <w:rPr>
                <w:rFonts w:ascii="Times New Roman" w:hAnsi="Times New Roman" w:cs="Times New Roman"/>
                <w:b/>
                <w:sz w:val="20"/>
                <w:szCs w:val="20"/>
              </w:rPr>
            </w:pPr>
            <w:r w:rsidRPr="00722265">
              <w:rPr>
                <w:rFonts w:ascii="Times New Roman" w:hAnsi="Times New Roman" w:cs="Times New Roman"/>
                <w:b/>
                <w:sz w:val="20"/>
                <w:szCs w:val="20"/>
              </w:rPr>
              <w:t xml:space="preserve">Crédit </w:t>
            </w:r>
            <w:proofErr w:type="spellStart"/>
            <w:r w:rsidRPr="00722265">
              <w:rPr>
                <w:rFonts w:ascii="Times New Roman" w:hAnsi="Times New Roman" w:cs="Times New Roman"/>
                <w:b/>
                <w:sz w:val="20"/>
                <w:szCs w:val="20"/>
              </w:rPr>
              <w:t>immo</w:t>
            </w:r>
            <w:proofErr w:type="spellEnd"/>
            <w:r w:rsidRPr="00722265">
              <w:rPr>
                <w:rFonts w:ascii="Times New Roman" w:hAnsi="Times New Roman" w:cs="Times New Roman"/>
                <w:b/>
                <w:sz w:val="20"/>
                <w:szCs w:val="20"/>
              </w:rPr>
              <w:t xml:space="preserve"> -</w:t>
            </w:r>
          </w:p>
          <w:p w:rsidR="00722265" w:rsidRPr="00722265" w:rsidRDefault="00722265" w:rsidP="00722265">
            <w:pPr>
              <w:rPr>
                <w:rFonts w:ascii="Times New Roman" w:hAnsi="Times New Roman" w:cs="Times New Roman"/>
                <w:b/>
                <w:sz w:val="20"/>
                <w:szCs w:val="20"/>
              </w:rPr>
            </w:pPr>
            <w:r w:rsidRPr="00722265">
              <w:rPr>
                <w:rFonts w:ascii="Times New Roman" w:hAnsi="Times New Roman" w:cs="Times New Roman"/>
                <w:b/>
                <w:sz w:val="20"/>
                <w:szCs w:val="20"/>
              </w:rPr>
              <w:t>Disponibilité Mycredimmo</w:t>
            </w:r>
          </w:p>
        </w:tc>
        <w:tc>
          <w:tcPr>
            <w:tcW w:w="12332" w:type="dxa"/>
            <w:tcBorders>
              <w:bottom w:val="single" w:sz="4" w:space="0" w:color="auto"/>
            </w:tcBorders>
            <w:shd w:val="clear" w:color="auto" w:fill="auto"/>
          </w:tcPr>
          <w:p w:rsidR="00722265" w:rsidRPr="006E508D" w:rsidRDefault="00722265" w:rsidP="00FE65BE">
            <w:pPr>
              <w:numPr>
                <w:ilvl w:val="0"/>
                <w:numId w:val="33"/>
              </w:numPr>
              <w:ind w:left="176" w:hanging="176"/>
              <w:contextualSpacing/>
              <w:jc w:val="both"/>
              <w:rPr>
                <w:rFonts w:ascii="Times New Roman" w:hAnsi="Times New Roman" w:cs="Times New Roman"/>
                <w:sz w:val="20"/>
                <w:szCs w:val="20"/>
              </w:rPr>
            </w:pPr>
            <w:r w:rsidRPr="006E508D">
              <w:rPr>
                <w:rFonts w:ascii="Times New Roman" w:hAnsi="Times New Roman" w:cs="Times New Roman"/>
                <w:sz w:val="20"/>
                <w:szCs w:val="20"/>
              </w:rPr>
              <w:t xml:space="preserve">Bonne nouvelle, le déploiement de la partie </w:t>
            </w:r>
            <w:r w:rsidRPr="006E508D">
              <w:rPr>
                <w:rFonts w:ascii="Times New Roman" w:hAnsi="Times New Roman" w:cs="Times New Roman"/>
                <w:b/>
                <w:bCs/>
                <w:sz w:val="20"/>
                <w:szCs w:val="20"/>
              </w:rPr>
              <w:t>« Instruction » sur Mycredimmo reporté au 16 avril est désormais disponible</w:t>
            </w:r>
            <w:r w:rsidRPr="006E508D">
              <w:rPr>
                <w:rFonts w:ascii="Times New Roman" w:hAnsi="Times New Roman" w:cs="Times New Roman"/>
                <w:sz w:val="20"/>
                <w:szCs w:val="20"/>
              </w:rPr>
              <w:t>.</w:t>
            </w:r>
          </w:p>
          <w:p w:rsidR="00722265" w:rsidRPr="006E508D" w:rsidRDefault="00722265" w:rsidP="00FE65BE">
            <w:pPr>
              <w:numPr>
                <w:ilvl w:val="0"/>
                <w:numId w:val="33"/>
              </w:numPr>
              <w:ind w:left="176" w:hanging="176"/>
              <w:contextualSpacing/>
              <w:jc w:val="both"/>
              <w:rPr>
                <w:rFonts w:ascii="Times New Roman" w:eastAsia="Times New Roman" w:hAnsi="Times New Roman" w:cs="Times New Roman"/>
                <w:sz w:val="20"/>
                <w:szCs w:val="20"/>
              </w:rPr>
            </w:pPr>
            <w:r w:rsidRPr="006E508D">
              <w:rPr>
                <w:rFonts w:ascii="Times New Roman" w:hAnsi="Times New Roman" w:cs="Times New Roman"/>
                <w:sz w:val="20"/>
                <w:szCs w:val="20"/>
              </w:rPr>
              <w:t>Les propositio</w:t>
            </w:r>
            <w:r w:rsidR="00FE65BE" w:rsidRPr="006E508D">
              <w:rPr>
                <w:rFonts w:ascii="Times New Roman" w:hAnsi="Times New Roman" w:cs="Times New Roman"/>
                <w:sz w:val="20"/>
                <w:szCs w:val="20"/>
              </w:rPr>
              <w:t>ns de crédit initiées dans Mycre</w:t>
            </w:r>
            <w:r w:rsidRPr="006E508D">
              <w:rPr>
                <w:rFonts w:ascii="Times New Roman" w:hAnsi="Times New Roman" w:cs="Times New Roman"/>
                <w:sz w:val="20"/>
                <w:szCs w:val="20"/>
              </w:rPr>
              <w:t xml:space="preserve">dimmo peuvent être instruites dans l’outil </w:t>
            </w:r>
            <w:r w:rsidRPr="006E508D">
              <w:rPr>
                <w:rFonts w:ascii="Times New Roman" w:hAnsi="Times New Roman" w:cs="Times New Roman"/>
                <w:b/>
                <w:bCs/>
                <w:sz w:val="20"/>
                <w:szCs w:val="20"/>
              </w:rPr>
              <w:t>jusqu’à l’édition de l’offre</w:t>
            </w:r>
            <w:r w:rsidRPr="006E508D">
              <w:rPr>
                <w:rFonts w:ascii="Times New Roman" w:hAnsi="Times New Roman" w:cs="Times New Roman"/>
                <w:sz w:val="20"/>
                <w:szCs w:val="20"/>
              </w:rPr>
              <w:t xml:space="preserve"> (le transfert du dossier dans NEO n’est plus nécessaire).</w:t>
            </w:r>
          </w:p>
          <w:p w:rsidR="00722265" w:rsidRPr="006E508D" w:rsidRDefault="00722265" w:rsidP="00FE65BE">
            <w:pPr>
              <w:numPr>
                <w:ilvl w:val="0"/>
                <w:numId w:val="33"/>
              </w:numPr>
              <w:ind w:left="176" w:hanging="176"/>
              <w:contextualSpacing/>
              <w:jc w:val="both"/>
              <w:rPr>
                <w:rFonts w:ascii="Times New Roman" w:hAnsi="Times New Roman" w:cs="Times New Roman"/>
                <w:sz w:val="20"/>
                <w:szCs w:val="20"/>
              </w:rPr>
            </w:pPr>
            <w:r w:rsidRPr="006E508D">
              <w:rPr>
                <w:rFonts w:ascii="Times New Roman" w:hAnsi="Times New Roman" w:cs="Times New Roman"/>
                <w:sz w:val="20"/>
                <w:szCs w:val="20"/>
              </w:rPr>
              <w:t xml:space="preserve">Retrouvez toutes les informations sur les nouvelles fonctionnalités de Mycredimmo dans l’HDJ du 05/04/2018 disponible dans les archives HDJ de </w:t>
            </w:r>
            <w:r w:rsidRPr="006E508D">
              <w:rPr>
                <w:rFonts w:ascii="Times New Roman" w:hAnsi="Times New Roman" w:cs="Times New Roman"/>
                <w:sz w:val="20"/>
                <w:szCs w:val="20"/>
              </w:rPr>
              <w:lastRenderedPageBreak/>
              <w:t xml:space="preserve">la Rubrique des Commerciaux ou en </w:t>
            </w:r>
            <w:hyperlink r:id="rId21" w:history="1">
              <w:r w:rsidRPr="006E508D">
                <w:rPr>
                  <w:rStyle w:val="Lienhypertexte"/>
                  <w:rFonts w:ascii="Times New Roman" w:hAnsi="Times New Roman" w:cs="Times New Roman"/>
                  <w:sz w:val="20"/>
                  <w:szCs w:val="20"/>
                </w:rPr>
                <w:t>cliquant ICI</w:t>
              </w:r>
            </w:hyperlink>
            <w:r w:rsidRPr="006E508D">
              <w:rPr>
                <w:rFonts w:ascii="Times New Roman" w:hAnsi="Times New Roman" w:cs="Times New Roman"/>
                <w:sz w:val="20"/>
                <w:szCs w:val="20"/>
              </w:rPr>
              <w:t>.</w:t>
            </w:r>
          </w:p>
        </w:tc>
      </w:tr>
      <w:tr w:rsidR="00722265" w:rsidRPr="00E81F6E" w:rsidTr="00722265">
        <w:trPr>
          <w:trHeight w:val="740"/>
        </w:trPr>
        <w:tc>
          <w:tcPr>
            <w:tcW w:w="1560" w:type="dxa"/>
            <w:tcBorders>
              <w:bottom w:val="single" w:sz="4" w:space="0" w:color="auto"/>
            </w:tcBorders>
          </w:tcPr>
          <w:p w:rsidR="00722265" w:rsidRDefault="00722265">
            <w:r w:rsidRPr="00BB43A7">
              <w:rPr>
                <w:rFonts w:ascii="Times New Roman" w:hAnsi="Times New Roman" w:cs="Times New Roman"/>
                <w:b/>
                <w:bCs/>
                <w:sz w:val="20"/>
                <w:szCs w:val="20"/>
              </w:rPr>
              <w:lastRenderedPageBreak/>
              <w:t>Com. DMA</w:t>
            </w:r>
          </w:p>
        </w:tc>
        <w:tc>
          <w:tcPr>
            <w:tcW w:w="1843" w:type="dxa"/>
            <w:tcBorders>
              <w:bottom w:val="single" w:sz="4" w:space="0" w:color="auto"/>
            </w:tcBorders>
          </w:tcPr>
          <w:p w:rsidR="00722265" w:rsidRPr="00722265" w:rsidRDefault="00722265" w:rsidP="00722265">
            <w:pPr>
              <w:rPr>
                <w:rFonts w:ascii="Times New Roman" w:hAnsi="Times New Roman" w:cs="Times New Roman"/>
                <w:b/>
                <w:sz w:val="20"/>
                <w:szCs w:val="20"/>
              </w:rPr>
            </w:pPr>
            <w:r w:rsidRPr="00722265">
              <w:rPr>
                <w:rFonts w:ascii="Times New Roman" w:hAnsi="Times New Roman" w:cs="Times New Roman"/>
                <w:b/>
                <w:sz w:val="20"/>
                <w:szCs w:val="20"/>
              </w:rPr>
              <w:t xml:space="preserve">Crédit </w:t>
            </w:r>
            <w:proofErr w:type="spellStart"/>
            <w:r w:rsidRPr="00722265">
              <w:rPr>
                <w:rFonts w:ascii="Times New Roman" w:hAnsi="Times New Roman" w:cs="Times New Roman"/>
                <w:b/>
                <w:sz w:val="20"/>
                <w:szCs w:val="20"/>
              </w:rPr>
              <w:t>immo</w:t>
            </w:r>
            <w:proofErr w:type="spellEnd"/>
            <w:r w:rsidRPr="00722265">
              <w:rPr>
                <w:rFonts w:ascii="Times New Roman" w:hAnsi="Times New Roman" w:cs="Times New Roman"/>
                <w:b/>
                <w:sz w:val="20"/>
                <w:szCs w:val="20"/>
              </w:rPr>
              <w:t xml:space="preserve"> -</w:t>
            </w:r>
          </w:p>
          <w:p w:rsidR="00722265" w:rsidRPr="00722265" w:rsidRDefault="00722265" w:rsidP="00722265">
            <w:pPr>
              <w:rPr>
                <w:rFonts w:ascii="Times New Roman" w:hAnsi="Times New Roman" w:cs="Times New Roman"/>
                <w:b/>
                <w:sz w:val="20"/>
                <w:szCs w:val="20"/>
              </w:rPr>
            </w:pPr>
            <w:r w:rsidRPr="00722265">
              <w:rPr>
                <w:rFonts w:ascii="Times New Roman" w:hAnsi="Times New Roman" w:cs="Times New Roman"/>
                <w:b/>
                <w:sz w:val="20"/>
                <w:szCs w:val="20"/>
              </w:rPr>
              <w:t>Frais de caution personne physique</w:t>
            </w:r>
          </w:p>
        </w:tc>
        <w:tc>
          <w:tcPr>
            <w:tcW w:w="12332" w:type="dxa"/>
            <w:tcBorders>
              <w:bottom w:val="single" w:sz="4" w:space="0" w:color="auto"/>
            </w:tcBorders>
            <w:shd w:val="clear" w:color="auto" w:fill="auto"/>
          </w:tcPr>
          <w:p w:rsidR="00722265" w:rsidRPr="006E508D" w:rsidRDefault="00722265" w:rsidP="00FE65BE">
            <w:pPr>
              <w:numPr>
                <w:ilvl w:val="0"/>
                <w:numId w:val="33"/>
              </w:numPr>
              <w:ind w:left="176" w:hanging="176"/>
              <w:contextualSpacing/>
              <w:jc w:val="both"/>
              <w:rPr>
                <w:rFonts w:ascii="Times New Roman" w:hAnsi="Times New Roman" w:cs="Times New Roman"/>
                <w:sz w:val="20"/>
                <w:szCs w:val="20"/>
              </w:rPr>
            </w:pPr>
            <w:r w:rsidRPr="006E508D">
              <w:rPr>
                <w:rFonts w:ascii="Times New Roman" w:hAnsi="Times New Roman" w:cs="Times New Roman"/>
                <w:sz w:val="20"/>
                <w:szCs w:val="20"/>
              </w:rPr>
              <w:t xml:space="preserve">Comme indiqué dans l’HDJ du 29 mars, la mise en place d’une caution personne physique est désormais facturée 120€, au même titre que les autres types de caution. </w:t>
            </w:r>
          </w:p>
          <w:p w:rsidR="00722265" w:rsidRPr="006E508D" w:rsidRDefault="00722265" w:rsidP="00FE65BE">
            <w:pPr>
              <w:numPr>
                <w:ilvl w:val="0"/>
                <w:numId w:val="33"/>
              </w:numPr>
              <w:ind w:left="176" w:hanging="176"/>
              <w:contextualSpacing/>
              <w:jc w:val="both"/>
              <w:rPr>
                <w:rFonts w:ascii="Times New Roman" w:hAnsi="Times New Roman" w:cs="Times New Roman"/>
                <w:sz w:val="20"/>
                <w:szCs w:val="20"/>
              </w:rPr>
            </w:pPr>
            <w:r w:rsidRPr="006E508D">
              <w:rPr>
                <w:rFonts w:ascii="Times New Roman" w:hAnsi="Times New Roman" w:cs="Times New Roman"/>
                <w:sz w:val="20"/>
                <w:szCs w:val="20"/>
              </w:rPr>
              <w:t xml:space="preserve">A noter : ces frais n’étant applicable qu’au marché des particuliers, il convient de saisir manuellement le montant dans NEO. Par ailleurs, les frais sont applicables par caution et non par dossier (si un dossier de prêt comporte 3 cautions personnes physiques, chaque caution sera facturée 120€). </w:t>
            </w:r>
          </w:p>
        </w:tc>
      </w:tr>
      <w:tr w:rsidR="005D0506" w:rsidRPr="005A0216" w:rsidTr="005D0506">
        <w:trPr>
          <w:trHeight w:val="248"/>
        </w:trPr>
        <w:tc>
          <w:tcPr>
            <w:tcW w:w="15735" w:type="dxa"/>
            <w:gridSpan w:val="3"/>
            <w:tcBorders>
              <w:bottom w:val="single" w:sz="4" w:space="0" w:color="auto"/>
            </w:tcBorders>
            <w:shd w:val="clear" w:color="auto" w:fill="BFBFBF" w:themeFill="background1" w:themeFillShade="BF"/>
          </w:tcPr>
          <w:p w:rsidR="005D0506" w:rsidRPr="005D0506" w:rsidRDefault="005D0506" w:rsidP="005D0506">
            <w:pPr>
              <w:pStyle w:val="wordsection1"/>
              <w:spacing w:before="0" w:beforeAutospacing="0" w:after="0" w:afterAutospacing="0"/>
              <w:jc w:val="center"/>
              <w:rPr>
                <w:b/>
                <w:sz w:val="20"/>
                <w:szCs w:val="20"/>
                <w:lang w:val="en-US"/>
              </w:rPr>
            </w:pPr>
            <w:r w:rsidRPr="005D0506">
              <w:rPr>
                <w:b/>
                <w:sz w:val="20"/>
                <w:szCs w:val="20"/>
                <w:lang w:val="en-US"/>
              </w:rPr>
              <w:t>Multicanal</w:t>
            </w:r>
          </w:p>
        </w:tc>
      </w:tr>
      <w:tr w:rsidR="00D41BC3" w:rsidRPr="005A0216" w:rsidTr="00AF3BE3">
        <w:trPr>
          <w:trHeight w:val="248"/>
        </w:trPr>
        <w:tc>
          <w:tcPr>
            <w:tcW w:w="1560" w:type="dxa"/>
            <w:tcBorders>
              <w:bottom w:val="single" w:sz="4" w:space="0" w:color="auto"/>
            </w:tcBorders>
          </w:tcPr>
          <w:p w:rsidR="00D41BC3" w:rsidRPr="007B6E34" w:rsidRDefault="00D41BC3" w:rsidP="00C3061A">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bottom w:val="single" w:sz="4" w:space="0" w:color="auto"/>
            </w:tcBorders>
          </w:tcPr>
          <w:p w:rsidR="00D41BC3" w:rsidRPr="00D41BC3" w:rsidRDefault="00D41BC3" w:rsidP="00AF4897">
            <w:pPr>
              <w:rPr>
                <w:rFonts w:ascii="Times New Roman" w:hAnsi="Times New Roman" w:cs="Times New Roman"/>
                <w:b/>
                <w:sz w:val="20"/>
                <w:szCs w:val="20"/>
              </w:rPr>
            </w:pPr>
            <w:r w:rsidRPr="00D41BC3">
              <w:rPr>
                <w:rFonts w:ascii="Times New Roman" w:hAnsi="Times New Roman" w:cs="Times New Roman"/>
                <w:b/>
                <w:sz w:val="20"/>
                <w:szCs w:val="20"/>
              </w:rPr>
              <w:t>POP UP Coordonnées et Opt</w:t>
            </w:r>
            <w:r w:rsidR="00FE65BE">
              <w:rPr>
                <w:rFonts w:ascii="Times New Roman" w:hAnsi="Times New Roman" w:cs="Times New Roman"/>
                <w:b/>
                <w:sz w:val="20"/>
                <w:szCs w:val="20"/>
              </w:rPr>
              <w:t>’</w:t>
            </w:r>
            <w:r w:rsidRPr="00D41BC3">
              <w:rPr>
                <w:rFonts w:ascii="Times New Roman" w:hAnsi="Times New Roman" w:cs="Times New Roman"/>
                <w:b/>
                <w:sz w:val="20"/>
                <w:szCs w:val="20"/>
              </w:rPr>
              <w:t>in</w:t>
            </w:r>
          </w:p>
          <w:p w:rsidR="00D41BC3" w:rsidRPr="00D41BC3" w:rsidRDefault="00D41BC3" w:rsidP="00AF4897">
            <w:pPr>
              <w:rPr>
                <w:rFonts w:ascii="Times New Roman" w:hAnsi="Times New Roman" w:cs="Times New Roman"/>
                <w:b/>
                <w:sz w:val="20"/>
                <w:szCs w:val="20"/>
              </w:rPr>
            </w:pPr>
          </w:p>
          <w:p w:rsidR="00D41BC3" w:rsidRPr="00D41BC3" w:rsidRDefault="00D41BC3" w:rsidP="00AF4897">
            <w:pPr>
              <w:rPr>
                <w:rFonts w:ascii="Times New Roman" w:hAnsi="Times New Roman" w:cs="Times New Roman"/>
                <w:sz w:val="20"/>
                <w:szCs w:val="20"/>
              </w:rPr>
            </w:pPr>
          </w:p>
        </w:tc>
        <w:tc>
          <w:tcPr>
            <w:tcW w:w="12332" w:type="dxa"/>
            <w:tcBorders>
              <w:bottom w:val="single" w:sz="4" w:space="0" w:color="auto"/>
            </w:tcBorders>
            <w:shd w:val="clear" w:color="auto" w:fill="auto"/>
          </w:tcPr>
          <w:p w:rsidR="00D41BC3" w:rsidRPr="00D41BC3" w:rsidRDefault="00D41BC3" w:rsidP="00D41BC3">
            <w:pPr>
              <w:pStyle w:val="Paragraphedeliste"/>
              <w:numPr>
                <w:ilvl w:val="0"/>
                <w:numId w:val="19"/>
              </w:numPr>
              <w:ind w:left="176" w:hanging="176"/>
              <w:contextualSpacing w:val="0"/>
              <w:jc w:val="both"/>
              <w:rPr>
                <w:rFonts w:ascii="Times New Roman" w:hAnsi="Times New Roman" w:cs="Times New Roman"/>
                <w:sz w:val="20"/>
                <w:szCs w:val="20"/>
              </w:rPr>
            </w:pPr>
            <w:r w:rsidRPr="00D41BC3">
              <w:rPr>
                <w:rFonts w:ascii="Times New Roman" w:hAnsi="Times New Roman" w:cs="Times New Roman"/>
                <w:sz w:val="20"/>
                <w:szCs w:val="20"/>
              </w:rPr>
              <w:t>Afin de pouvoir identifier aisément lors de leurs passages en agence, les clients pour lesquels une saisie de coor</w:t>
            </w:r>
            <w:r w:rsidR="00FE65BE">
              <w:rPr>
                <w:rFonts w:ascii="Times New Roman" w:hAnsi="Times New Roman" w:cs="Times New Roman"/>
                <w:sz w:val="20"/>
                <w:szCs w:val="20"/>
              </w:rPr>
              <w:t>données ou éventuellement d’opt’</w:t>
            </w:r>
            <w:r w:rsidRPr="00D41BC3">
              <w:rPr>
                <w:rFonts w:ascii="Times New Roman" w:hAnsi="Times New Roman" w:cs="Times New Roman"/>
                <w:sz w:val="20"/>
                <w:szCs w:val="20"/>
              </w:rPr>
              <w:t>in est nécessaire, 2 pop-up viennent d’être positionnés :</w:t>
            </w:r>
          </w:p>
          <w:p w:rsidR="00D41BC3" w:rsidRPr="00D41BC3" w:rsidRDefault="00D41BC3" w:rsidP="00FE65BE">
            <w:pPr>
              <w:pStyle w:val="Paragraphedeliste"/>
              <w:numPr>
                <w:ilvl w:val="1"/>
                <w:numId w:val="19"/>
              </w:numPr>
              <w:ind w:left="601" w:hanging="426"/>
              <w:contextualSpacing w:val="0"/>
              <w:jc w:val="both"/>
              <w:rPr>
                <w:rFonts w:ascii="Times New Roman" w:hAnsi="Times New Roman" w:cs="Times New Roman"/>
                <w:sz w:val="20"/>
                <w:szCs w:val="20"/>
              </w:rPr>
            </w:pPr>
            <w:r w:rsidRPr="00D41BC3">
              <w:rPr>
                <w:rFonts w:ascii="Times New Roman" w:hAnsi="Times New Roman" w:cs="Times New Roman"/>
                <w:sz w:val="20"/>
                <w:szCs w:val="20"/>
              </w:rPr>
              <w:t>un POP UP</w:t>
            </w:r>
            <w:r w:rsidR="00CF26D8">
              <w:rPr>
                <w:rFonts w:ascii="Times New Roman" w:hAnsi="Times New Roman" w:cs="Times New Roman"/>
                <w:b/>
                <w:sz w:val="20"/>
                <w:szCs w:val="20"/>
              </w:rPr>
              <w:t xml:space="preserve"> </w:t>
            </w:r>
            <w:r w:rsidR="00FE65BE">
              <w:rPr>
                <w:rFonts w:ascii="Times New Roman" w:hAnsi="Times New Roman" w:cs="Times New Roman"/>
                <w:b/>
                <w:sz w:val="20"/>
                <w:szCs w:val="20"/>
              </w:rPr>
              <w:t>« Client sans o</w:t>
            </w:r>
            <w:r w:rsidRPr="00D41BC3">
              <w:rPr>
                <w:rFonts w:ascii="Times New Roman" w:hAnsi="Times New Roman" w:cs="Times New Roman"/>
                <w:b/>
                <w:sz w:val="20"/>
                <w:szCs w:val="20"/>
              </w:rPr>
              <w:t>pt</w:t>
            </w:r>
            <w:r w:rsidR="00FE65BE">
              <w:rPr>
                <w:rFonts w:ascii="Times New Roman" w:hAnsi="Times New Roman" w:cs="Times New Roman"/>
                <w:b/>
                <w:sz w:val="20"/>
                <w:szCs w:val="20"/>
              </w:rPr>
              <w:t>’</w:t>
            </w:r>
            <w:r w:rsidRPr="00D41BC3">
              <w:rPr>
                <w:rFonts w:ascii="Times New Roman" w:hAnsi="Times New Roman" w:cs="Times New Roman"/>
                <w:b/>
                <w:sz w:val="20"/>
                <w:szCs w:val="20"/>
              </w:rPr>
              <w:t xml:space="preserve">in email ou SMS / Proposer </w:t>
            </w:r>
            <w:r w:rsidR="00FE65BE">
              <w:rPr>
                <w:rFonts w:ascii="Times New Roman" w:hAnsi="Times New Roman" w:cs="Times New Roman"/>
                <w:b/>
                <w:sz w:val="20"/>
                <w:szCs w:val="20"/>
              </w:rPr>
              <w:t>o</w:t>
            </w:r>
            <w:r w:rsidR="00FE65BE" w:rsidRPr="00D41BC3">
              <w:rPr>
                <w:rFonts w:ascii="Times New Roman" w:hAnsi="Times New Roman" w:cs="Times New Roman"/>
                <w:b/>
                <w:sz w:val="20"/>
                <w:szCs w:val="20"/>
              </w:rPr>
              <w:t>pt</w:t>
            </w:r>
            <w:r w:rsidR="00FE65BE">
              <w:rPr>
                <w:rFonts w:ascii="Times New Roman" w:hAnsi="Times New Roman" w:cs="Times New Roman"/>
                <w:b/>
                <w:sz w:val="20"/>
                <w:szCs w:val="20"/>
              </w:rPr>
              <w:t>’</w:t>
            </w:r>
            <w:r w:rsidR="00FE65BE" w:rsidRPr="00D41BC3">
              <w:rPr>
                <w:rFonts w:ascii="Times New Roman" w:hAnsi="Times New Roman" w:cs="Times New Roman"/>
                <w:b/>
                <w:sz w:val="20"/>
                <w:szCs w:val="20"/>
              </w:rPr>
              <w:t>in</w:t>
            </w:r>
            <w:r w:rsidRPr="00D41BC3">
              <w:rPr>
                <w:rFonts w:ascii="Times New Roman" w:hAnsi="Times New Roman" w:cs="Times New Roman"/>
                <w:b/>
                <w:sz w:val="20"/>
                <w:szCs w:val="20"/>
              </w:rPr>
              <w:t>»</w:t>
            </w:r>
            <w:r w:rsidRPr="00D41BC3">
              <w:rPr>
                <w:rFonts w:ascii="Times New Roman" w:hAnsi="Times New Roman" w:cs="Times New Roman"/>
                <w:sz w:val="20"/>
                <w:szCs w:val="20"/>
              </w:rPr>
              <w:t xml:space="preserve"> ciblant 312 000 clients</w:t>
            </w:r>
            <w:r w:rsidR="00CF26D8">
              <w:rPr>
                <w:rFonts w:ascii="Times New Roman" w:hAnsi="Times New Roman" w:cs="Times New Roman"/>
                <w:sz w:val="20"/>
                <w:szCs w:val="20"/>
              </w:rPr>
              <w:t xml:space="preserve"> </w:t>
            </w:r>
            <w:r w:rsidRPr="00D41BC3">
              <w:rPr>
                <w:rFonts w:ascii="Times New Roman" w:hAnsi="Times New Roman" w:cs="Times New Roman"/>
                <w:sz w:val="20"/>
                <w:szCs w:val="20"/>
              </w:rPr>
              <w:t>pour lesquels nous ne détenons pas d’</w:t>
            </w:r>
            <w:r w:rsidR="00FE65BE" w:rsidRPr="00FE65BE">
              <w:rPr>
                <w:rFonts w:ascii="Times New Roman" w:hAnsi="Times New Roman" w:cs="Times New Roman"/>
                <w:sz w:val="20"/>
                <w:szCs w:val="20"/>
              </w:rPr>
              <w:t xml:space="preserve">opt’in </w:t>
            </w:r>
            <w:r w:rsidRPr="00D41BC3">
              <w:rPr>
                <w:rFonts w:ascii="Times New Roman" w:hAnsi="Times New Roman" w:cs="Times New Roman"/>
                <w:sz w:val="20"/>
                <w:szCs w:val="20"/>
              </w:rPr>
              <w:t>email</w:t>
            </w:r>
            <w:r w:rsidR="00CF26D8">
              <w:rPr>
                <w:rFonts w:ascii="Times New Roman" w:hAnsi="Times New Roman" w:cs="Times New Roman"/>
                <w:sz w:val="20"/>
                <w:szCs w:val="20"/>
              </w:rPr>
              <w:t xml:space="preserve"> </w:t>
            </w:r>
            <w:r w:rsidRPr="00D41BC3">
              <w:rPr>
                <w:rFonts w:ascii="Times New Roman" w:hAnsi="Times New Roman" w:cs="Times New Roman"/>
                <w:sz w:val="20"/>
                <w:szCs w:val="20"/>
              </w:rPr>
              <w:t>o</w:t>
            </w:r>
            <w:r w:rsidR="00FE65BE">
              <w:rPr>
                <w:rFonts w:ascii="Times New Roman" w:hAnsi="Times New Roman" w:cs="Times New Roman"/>
                <w:sz w:val="20"/>
                <w:szCs w:val="20"/>
              </w:rPr>
              <w:t>u d’opt’</w:t>
            </w:r>
            <w:r w:rsidRPr="00D41BC3">
              <w:rPr>
                <w:rFonts w:ascii="Times New Roman" w:hAnsi="Times New Roman" w:cs="Times New Roman"/>
                <w:sz w:val="20"/>
                <w:szCs w:val="20"/>
              </w:rPr>
              <w:t>in SMS</w:t>
            </w:r>
            <w:r w:rsidR="00CF26D8">
              <w:rPr>
                <w:rFonts w:ascii="Times New Roman" w:hAnsi="Times New Roman" w:cs="Times New Roman"/>
                <w:sz w:val="20"/>
                <w:szCs w:val="20"/>
              </w:rPr>
              <w:t xml:space="preserve"> </w:t>
            </w:r>
            <w:r w:rsidRPr="00D41BC3">
              <w:rPr>
                <w:rFonts w:ascii="Times New Roman" w:hAnsi="Times New Roman" w:cs="Times New Roman"/>
                <w:sz w:val="20"/>
                <w:szCs w:val="20"/>
              </w:rPr>
              <w:t>alors qu’une ou l’autre des coordonnées est renseignée.</w:t>
            </w:r>
          </w:p>
          <w:p w:rsidR="00D41BC3" w:rsidRPr="00D41BC3" w:rsidRDefault="00D41BC3" w:rsidP="00FE65BE">
            <w:pPr>
              <w:pStyle w:val="Paragraphedeliste"/>
              <w:numPr>
                <w:ilvl w:val="1"/>
                <w:numId w:val="19"/>
              </w:numPr>
              <w:ind w:left="601" w:hanging="426"/>
              <w:contextualSpacing w:val="0"/>
              <w:jc w:val="both"/>
              <w:rPr>
                <w:rFonts w:ascii="Times New Roman" w:hAnsi="Times New Roman" w:cs="Times New Roman"/>
                <w:sz w:val="20"/>
                <w:szCs w:val="20"/>
              </w:rPr>
            </w:pPr>
            <w:r w:rsidRPr="00D41BC3">
              <w:rPr>
                <w:rFonts w:ascii="Times New Roman" w:hAnsi="Times New Roman" w:cs="Times New Roman"/>
                <w:sz w:val="20"/>
                <w:szCs w:val="20"/>
              </w:rPr>
              <w:t>un POP UP</w:t>
            </w:r>
            <w:r w:rsidRPr="00D41BC3">
              <w:rPr>
                <w:rFonts w:ascii="Times New Roman" w:hAnsi="Times New Roman" w:cs="Times New Roman"/>
                <w:b/>
                <w:sz w:val="20"/>
                <w:szCs w:val="20"/>
              </w:rPr>
              <w:t xml:space="preserve"> « Client sans portable ou email</w:t>
            </w:r>
            <w:r w:rsidR="00CF26D8">
              <w:rPr>
                <w:rFonts w:ascii="Times New Roman" w:hAnsi="Times New Roman" w:cs="Times New Roman"/>
                <w:b/>
                <w:sz w:val="20"/>
                <w:szCs w:val="20"/>
              </w:rPr>
              <w:t xml:space="preserve"> </w:t>
            </w:r>
            <w:r w:rsidRPr="00D41BC3">
              <w:rPr>
                <w:rFonts w:ascii="Times New Roman" w:hAnsi="Times New Roman" w:cs="Times New Roman"/>
                <w:b/>
                <w:sz w:val="20"/>
                <w:szCs w:val="20"/>
              </w:rPr>
              <w:t xml:space="preserve">/ MAJ Coordonnées SVP » </w:t>
            </w:r>
            <w:r w:rsidRPr="00D41BC3">
              <w:rPr>
                <w:rFonts w:ascii="Times New Roman" w:hAnsi="Times New Roman" w:cs="Times New Roman"/>
                <w:sz w:val="20"/>
                <w:szCs w:val="20"/>
              </w:rPr>
              <w:t>ciblant 340 000 clients pour lesquels nous ne connaissons pas soit le numéro de portable, soit l’email, soit les 2 coordonnées.</w:t>
            </w:r>
          </w:p>
        </w:tc>
      </w:tr>
      <w:tr w:rsidR="00E8740A" w:rsidRPr="005A0216" w:rsidTr="00E8740A">
        <w:trPr>
          <w:trHeight w:val="248"/>
        </w:trPr>
        <w:tc>
          <w:tcPr>
            <w:tcW w:w="15735" w:type="dxa"/>
            <w:gridSpan w:val="3"/>
            <w:tcBorders>
              <w:bottom w:val="single" w:sz="4" w:space="0" w:color="auto"/>
            </w:tcBorders>
            <w:shd w:val="clear" w:color="auto" w:fill="BFBFBF" w:themeFill="background1" w:themeFillShade="BF"/>
          </w:tcPr>
          <w:p w:rsidR="00E8740A" w:rsidRPr="00E8740A" w:rsidRDefault="00E8740A" w:rsidP="00E8740A">
            <w:pPr>
              <w:pStyle w:val="wordsection1"/>
              <w:spacing w:before="0" w:beforeAutospacing="0" w:after="0" w:afterAutospacing="0"/>
              <w:jc w:val="center"/>
              <w:rPr>
                <w:b/>
                <w:sz w:val="20"/>
                <w:szCs w:val="20"/>
              </w:rPr>
            </w:pPr>
            <w:r w:rsidRPr="00E8740A">
              <w:rPr>
                <w:b/>
                <w:sz w:val="20"/>
                <w:szCs w:val="20"/>
              </w:rPr>
              <w:t>Pros</w:t>
            </w:r>
          </w:p>
        </w:tc>
      </w:tr>
      <w:tr w:rsidR="00C31DB0" w:rsidRPr="005A0216" w:rsidTr="00AF3BE3">
        <w:trPr>
          <w:trHeight w:val="248"/>
        </w:trPr>
        <w:tc>
          <w:tcPr>
            <w:tcW w:w="1560" w:type="dxa"/>
            <w:tcBorders>
              <w:bottom w:val="single" w:sz="4" w:space="0" w:color="auto"/>
            </w:tcBorders>
          </w:tcPr>
          <w:p w:rsidR="00C31DB0" w:rsidRDefault="00C31DB0" w:rsidP="00C3061A">
            <w:pPr>
              <w:rPr>
                <w:rFonts w:ascii="Times New Roman" w:hAnsi="Times New Roman" w:cs="Times New Roman"/>
                <w:b/>
                <w:bCs/>
                <w:sz w:val="20"/>
                <w:szCs w:val="20"/>
              </w:rPr>
            </w:pPr>
            <w:r>
              <w:rPr>
                <w:rFonts w:ascii="Times New Roman" w:hAnsi="Times New Roman" w:cs="Times New Roman"/>
                <w:b/>
                <w:bCs/>
                <w:sz w:val="20"/>
                <w:szCs w:val="20"/>
              </w:rPr>
              <w:t>Com. DMP</w:t>
            </w:r>
          </w:p>
        </w:tc>
        <w:tc>
          <w:tcPr>
            <w:tcW w:w="1843" w:type="dxa"/>
            <w:tcBorders>
              <w:bottom w:val="single" w:sz="4" w:space="0" w:color="auto"/>
            </w:tcBorders>
          </w:tcPr>
          <w:p w:rsidR="00C31DB0" w:rsidRDefault="00C31DB0">
            <w:pPr>
              <w:rPr>
                <w:rFonts w:ascii="Calibri" w:hAnsi="Calibri" w:cs="Calibri"/>
                <w:sz w:val="20"/>
                <w:szCs w:val="20"/>
              </w:rPr>
            </w:pPr>
            <w:r>
              <w:rPr>
                <w:rFonts w:ascii="Times New Roman" w:hAnsi="Times New Roman" w:cs="Times New Roman"/>
                <w:b/>
                <w:bCs/>
                <w:sz w:val="20"/>
                <w:szCs w:val="20"/>
              </w:rPr>
              <w:t>Action CDD 04 PROS</w:t>
            </w:r>
          </w:p>
        </w:tc>
        <w:tc>
          <w:tcPr>
            <w:tcW w:w="12332" w:type="dxa"/>
            <w:tcBorders>
              <w:bottom w:val="single" w:sz="4" w:space="0" w:color="auto"/>
            </w:tcBorders>
            <w:shd w:val="clear" w:color="auto" w:fill="auto"/>
          </w:tcPr>
          <w:p w:rsidR="00C31DB0" w:rsidRDefault="00C31DB0" w:rsidP="00C31DB0">
            <w:pPr>
              <w:numPr>
                <w:ilvl w:val="0"/>
                <w:numId w:val="32"/>
              </w:numPr>
              <w:ind w:left="176" w:hanging="176"/>
              <w:contextualSpacing/>
              <w:jc w:val="both"/>
              <w:rPr>
                <w:rFonts w:ascii="Times New Roman" w:hAnsi="Times New Roman" w:cs="Times New Roman"/>
                <w:color w:val="1F497D"/>
                <w:sz w:val="20"/>
                <w:szCs w:val="20"/>
                <w:lang w:eastAsia="fr-FR"/>
              </w:rPr>
            </w:pPr>
            <w:r>
              <w:rPr>
                <w:rFonts w:ascii="Times New Roman" w:hAnsi="Times New Roman" w:cs="Times New Roman"/>
                <w:sz w:val="20"/>
                <w:szCs w:val="20"/>
                <w:lang w:eastAsia="fr-FR"/>
              </w:rPr>
              <w:t xml:space="preserve">Suite à l’envoi des courriers aux clients concernés par cette action, les coupons réponses vont être redirigés par courrier interne aux agences respectives pour traitement dès réception. </w:t>
            </w:r>
            <w:r w:rsidRPr="00C31DB0">
              <w:rPr>
                <w:rFonts w:ascii="Times New Roman" w:hAnsi="Times New Roman" w:cs="Times New Roman"/>
                <w:b/>
                <w:sz w:val="20"/>
                <w:szCs w:val="20"/>
                <w:lang w:eastAsia="fr-FR"/>
              </w:rPr>
              <w:t>Il conviendra de clôturer les comptes 04 par virement bancaire lorsque le RIB est communiqué ou par chèque de banque.</w:t>
            </w:r>
          </w:p>
        </w:tc>
      </w:tr>
      <w:tr w:rsidR="00C31DB0" w:rsidRPr="005A0216" w:rsidTr="00AF3BE3">
        <w:trPr>
          <w:trHeight w:val="248"/>
        </w:trPr>
        <w:tc>
          <w:tcPr>
            <w:tcW w:w="1560" w:type="dxa"/>
            <w:tcBorders>
              <w:bottom w:val="single" w:sz="4" w:space="0" w:color="auto"/>
            </w:tcBorders>
          </w:tcPr>
          <w:p w:rsidR="00C31DB0" w:rsidRDefault="00C31DB0" w:rsidP="00C3061A">
            <w:pPr>
              <w:rPr>
                <w:rFonts w:ascii="Times New Roman" w:hAnsi="Times New Roman" w:cs="Times New Roman"/>
                <w:b/>
                <w:bCs/>
                <w:sz w:val="20"/>
                <w:szCs w:val="20"/>
              </w:rPr>
            </w:pPr>
            <w:r>
              <w:rPr>
                <w:rFonts w:ascii="Times New Roman" w:hAnsi="Times New Roman" w:cs="Times New Roman"/>
                <w:b/>
                <w:bCs/>
                <w:sz w:val="20"/>
                <w:szCs w:val="20"/>
              </w:rPr>
              <w:t>Com. DMP</w:t>
            </w:r>
          </w:p>
        </w:tc>
        <w:tc>
          <w:tcPr>
            <w:tcW w:w="1843" w:type="dxa"/>
            <w:tcBorders>
              <w:bottom w:val="single" w:sz="4" w:space="0" w:color="auto"/>
            </w:tcBorders>
          </w:tcPr>
          <w:p w:rsidR="00C31DB0" w:rsidRDefault="00C31DB0">
            <w:pPr>
              <w:rPr>
                <w:rFonts w:ascii="Calibri" w:hAnsi="Calibri" w:cs="Calibri"/>
                <w:sz w:val="20"/>
                <w:szCs w:val="20"/>
              </w:rPr>
            </w:pPr>
            <w:r>
              <w:rPr>
                <w:rFonts w:ascii="Times New Roman" w:hAnsi="Times New Roman" w:cs="Times New Roman"/>
                <w:b/>
                <w:bCs/>
                <w:sz w:val="20"/>
                <w:szCs w:val="20"/>
              </w:rPr>
              <w:t>Forfaits SBB PRO</w:t>
            </w:r>
          </w:p>
        </w:tc>
        <w:tc>
          <w:tcPr>
            <w:tcW w:w="12332" w:type="dxa"/>
            <w:tcBorders>
              <w:bottom w:val="single" w:sz="4" w:space="0" w:color="auto"/>
            </w:tcBorders>
            <w:shd w:val="clear" w:color="auto" w:fill="auto"/>
          </w:tcPr>
          <w:p w:rsidR="00C31DB0" w:rsidRDefault="00C31DB0" w:rsidP="00C31DB0">
            <w:pPr>
              <w:numPr>
                <w:ilvl w:val="0"/>
                <w:numId w:val="32"/>
              </w:numPr>
              <w:ind w:left="176" w:hanging="176"/>
              <w:contextualSpacing/>
              <w:jc w:val="both"/>
              <w:rPr>
                <w:rFonts w:ascii="Calibri" w:hAnsi="Calibri" w:cs="Calibri"/>
                <w:sz w:val="20"/>
                <w:szCs w:val="20"/>
              </w:rPr>
            </w:pPr>
            <w:r>
              <w:rPr>
                <w:rFonts w:ascii="Times New Roman" w:hAnsi="Times New Roman" w:cs="Times New Roman"/>
                <w:color w:val="000000"/>
                <w:sz w:val="20"/>
                <w:szCs w:val="20"/>
                <w:lang w:eastAsia="fr-FR"/>
              </w:rPr>
              <w:t>Pour rappel, les forfaits SBB PROS ne sont pas soumis aux commissions de mouvement et aux frais de virements bancaires. Il convient donc à l’ouverture du forfait de renseigner 0% dans le taux d’application de la commission de mouvement.</w:t>
            </w:r>
          </w:p>
        </w:tc>
      </w:tr>
      <w:tr w:rsidR="00C31DB0" w:rsidRPr="005A0216" w:rsidTr="00AF3BE3">
        <w:trPr>
          <w:trHeight w:val="248"/>
        </w:trPr>
        <w:tc>
          <w:tcPr>
            <w:tcW w:w="1560" w:type="dxa"/>
            <w:tcBorders>
              <w:bottom w:val="single" w:sz="4" w:space="0" w:color="auto"/>
            </w:tcBorders>
          </w:tcPr>
          <w:p w:rsidR="00C31DB0" w:rsidRDefault="00C31DB0" w:rsidP="00C3061A">
            <w:pPr>
              <w:rPr>
                <w:rFonts w:ascii="Times New Roman" w:hAnsi="Times New Roman" w:cs="Times New Roman"/>
                <w:b/>
                <w:bCs/>
                <w:sz w:val="20"/>
                <w:szCs w:val="20"/>
              </w:rPr>
            </w:pPr>
            <w:r>
              <w:rPr>
                <w:rFonts w:ascii="Times New Roman" w:hAnsi="Times New Roman" w:cs="Times New Roman"/>
                <w:b/>
                <w:bCs/>
                <w:sz w:val="20"/>
                <w:szCs w:val="20"/>
              </w:rPr>
              <w:t>Com. DMP</w:t>
            </w:r>
          </w:p>
        </w:tc>
        <w:tc>
          <w:tcPr>
            <w:tcW w:w="1843" w:type="dxa"/>
            <w:tcBorders>
              <w:bottom w:val="single" w:sz="4" w:space="0" w:color="auto"/>
            </w:tcBorders>
          </w:tcPr>
          <w:p w:rsidR="00C31DB0" w:rsidRDefault="00C31DB0">
            <w:pPr>
              <w:rPr>
                <w:rFonts w:ascii="Times New Roman" w:hAnsi="Times New Roman" w:cs="Times New Roman"/>
                <w:b/>
                <w:bCs/>
                <w:sz w:val="20"/>
                <w:szCs w:val="20"/>
              </w:rPr>
            </w:pPr>
            <w:r>
              <w:rPr>
                <w:rFonts w:ascii="Times New Roman" w:hAnsi="Times New Roman" w:cs="Times New Roman"/>
                <w:b/>
                <w:bCs/>
                <w:sz w:val="20"/>
                <w:szCs w:val="20"/>
              </w:rPr>
              <w:t>France Active</w:t>
            </w:r>
          </w:p>
        </w:tc>
        <w:tc>
          <w:tcPr>
            <w:tcW w:w="12332" w:type="dxa"/>
            <w:tcBorders>
              <w:bottom w:val="single" w:sz="4" w:space="0" w:color="auto"/>
            </w:tcBorders>
            <w:shd w:val="clear" w:color="auto" w:fill="auto"/>
          </w:tcPr>
          <w:p w:rsidR="00C31DB0" w:rsidRDefault="00C31DB0" w:rsidP="00C31DB0">
            <w:pPr>
              <w:numPr>
                <w:ilvl w:val="0"/>
                <w:numId w:val="32"/>
              </w:numPr>
              <w:ind w:left="176" w:hanging="176"/>
              <w:contextualSpacing/>
              <w:jc w:val="both"/>
              <w:rPr>
                <w:rFonts w:ascii="Times New Roman" w:hAnsi="Times New Roman" w:cs="Times New Roman"/>
                <w:sz w:val="20"/>
                <w:szCs w:val="20"/>
                <w:lang w:eastAsia="fr-FR"/>
              </w:rPr>
            </w:pPr>
            <w:r>
              <w:rPr>
                <w:rFonts w:ascii="Times New Roman" w:hAnsi="Times New Roman" w:cs="Times New Roman"/>
                <w:sz w:val="20"/>
                <w:szCs w:val="20"/>
                <w:lang w:eastAsia="fr-FR"/>
              </w:rPr>
              <w:t>France Active Garantie fait évolue</w:t>
            </w:r>
            <w:r w:rsidR="0023278E">
              <w:rPr>
                <w:rFonts w:ascii="Times New Roman" w:hAnsi="Times New Roman" w:cs="Times New Roman"/>
                <w:sz w:val="20"/>
                <w:szCs w:val="20"/>
                <w:lang w:eastAsia="fr-FR"/>
              </w:rPr>
              <w:t>r</w:t>
            </w:r>
            <w:r>
              <w:rPr>
                <w:rFonts w:ascii="Times New Roman" w:hAnsi="Times New Roman" w:cs="Times New Roman"/>
                <w:sz w:val="20"/>
                <w:szCs w:val="20"/>
                <w:lang w:eastAsia="fr-FR"/>
              </w:rPr>
              <w:t xml:space="preserve"> son offre pour mieux répondre aux besoins des entrepreneurs et pour la simplifier. </w:t>
            </w:r>
            <w:r w:rsidRPr="00C31DB0">
              <w:rPr>
                <w:rFonts w:ascii="Times New Roman" w:hAnsi="Times New Roman" w:cs="Times New Roman"/>
                <w:b/>
                <w:sz w:val="20"/>
                <w:szCs w:val="20"/>
                <w:lang w:eastAsia="fr-FR"/>
              </w:rPr>
              <w:t xml:space="preserve">Retrouvez en cliquant </w:t>
            </w:r>
            <w:hyperlink r:id="rId22" w:history="1">
              <w:r w:rsidRPr="00C31DB0">
                <w:rPr>
                  <w:rStyle w:val="Lienhypertexte"/>
                  <w:rFonts w:ascii="Times New Roman" w:hAnsi="Times New Roman" w:cs="Times New Roman"/>
                  <w:b/>
                  <w:sz w:val="20"/>
                  <w:szCs w:val="20"/>
                  <w:lang w:eastAsia="fr-FR"/>
                </w:rPr>
                <w:t>ICI</w:t>
              </w:r>
            </w:hyperlink>
            <w:r w:rsidRPr="00C31DB0">
              <w:rPr>
                <w:rFonts w:ascii="Times New Roman" w:hAnsi="Times New Roman" w:cs="Times New Roman"/>
                <w:b/>
                <w:sz w:val="20"/>
                <w:szCs w:val="20"/>
                <w:lang w:eastAsia="fr-FR"/>
              </w:rPr>
              <w:t xml:space="preserve"> tous les détails de la nouvelle gamme de garanties.</w:t>
            </w:r>
          </w:p>
        </w:tc>
      </w:tr>
      <w:tr w:rsidR="007B7C4B" w:rsidRPr="005A0216" w:rsidTr="00AF3BE3">
        <w:trPr>
          <w:trHeight w:val="248"/>
        </w:trPr>
        <w:tc>
          <w:tcPr>
            <w:tcW w:w="1560" w:type="dxa"/>
            <w:tcBorders>
              <w:bottom w:val="single" w:sz="4" w:space="0" w:color="auto"/>
            </w:tcBorders>
          </w:tcPr>
          <w:p w:rsidR="007B7C4B" w:rsidRDefault="007B7C4B" w:rsidP="00C3061A">
            <w:pPr>
              <w:rPr>
                <w:rFonts w:ascii="Times New Roman" w:hAnsi="Times New Roman" w:cs="Times New Roman"/>
                <w:b/>
                <w:bCs/>
                <w:sz w:val="20"/>
                <w:szCs w:val="20"/>
              </w:rPr>
            </w:pPr>
            <w:r>
              <w:rPr>
                <w:rFonts w:ascii="Times New Roman" w:hAnsi="Times New Roman" w:cs="Times New Roman"/>
                <w:b/>
                <w:bCs/>
                <w:sz w:val="20"/>
                <w:szCs w:val="20"/>
              </w:rPr>
              <w:t>Com. DMP</w:t>
            </w:r>
          </w:p>
        </w:tc>
        <w:tc>
          <w:tcPr>
            <w:tcW w:w="1843" w:type="dxa"/>
            <w:tcBorders>
              <w:bottom w:val="single" w:sz="4" w:space="0" w:color="auto"/>
            </w:tcBorders>
          </w:tcPr>
          <w:p w:rsidR="007B7C4B" w:rsidRDefault="007B7C4B">
            <w:pPr>
              <w:rPr>
                <w:rFonts w:ascii="Calibri" w:hAnsi="Calibri" w:cs="Calibri"/>
              </w:rPr>
            </w:pPr>
            <w:r>
              <w:rPr>
                <w:rFonts w:ascii="Times New Roman" w:hAnsi="Times New Roman" w:cs="Times New Roman"/>
                <w:b/>
                <w:bCs/>
                <w:sz w:val="20"/>
                <w:szCs w:val="20"/>
              </w:rPr>
              <w:t>MIF 2 – Personnes Morales</w:t>
            </w:r>
          </w:p>
        </w:tc>
        <w:tc>
          <w:tcPr>
            <w:tcW w:w="12332" w:type="dxa"/>
            <w:tcBorders>
              <w:bottom w:val="single" w:sz="4" w:space="0" w:color="auto"/>
            </w:tcBorders>
            <w:shd w:val="clear" w:color="auto" w:fill="auto"/>
          </w:tcPr>
          <w:p w:rsidR="007B7C4B" w:rsidRDefault="007B7C4B" w:rsidP="007B7C4B">
            <w:pPr>
              <w:numPr>
                <w:ilvl w:val="0"/>
                <w:numId w:val="41"/>
              </w:numPr>
              <w:ind w:left="176" w:hanging="176"/>
              <w:contextualSpacing/>
              <w:rPr>
                <w:rFonts w:ascii="Calibri" w:hAnsi="Calibri" w:cs="Calibri"/>
              </w:rPr>
            </w:pPr>
            <w:r>
              <w:rPr>
                <w:rFonts w:ascii="Times New Roman" w:hAnsi="Times New Roman" w:cs="Times New Roman"/>
                <w:sz w:val="20"/>
                <w:szCs w:val="20"/>
                <w:lang w:eastAsia="fr-FR"/>
              </w:rPr>
              <w:t xml:space="preserve">Retrouvez en cliquant </w:t>
            </w:r>
            <w:hyperlink r:id="rId23" w:history="1">
              <w:r w:rsidRPr="007B7C4B">
                <w:rPr>
                  <w:rStyle w:val="Lienhypertexte"/>
                  <w:rFonts w:ascii="Times New Roman" w:hAnsi="Times New Roman" w:cs="Times New Roman"/>
                  <w:sz w:val="20"/>
                  <w:szCs w:val="20"/>
                  <w:lang w:eastAsia="fr-FR"/>
                </w:rPr>
                <w:t>ICI</w:t>
              </w:r>
            </w:hyperlink>
            <w:r>
              <w:rPr>
                <w:rFonts w:ascii="Times New Roman" w:hAnsi="Times New Roman" w:cs="Times New Roman"/>
                <w:sz w:val="20"/>
                <w:szCs w:val="20"/>
                <w:lang w:eastAsia="fr-FR"/>
              </w:rPr>
              <w:t xml:space="preserve"> et dans la Rubrique des Commerciaux / Espace Pros / MIF 2, la présentation du parcours client transitoire MIF 2 à mettre en application dès à présent pour les Personnes Morales.</w:t>
            </w:r>
          </w:p>
        </w:tc>
      </w:tr>
      <w:tr w:rsidR="00501F70" w:rsidRPr="00E81F6E" w:rsidTr="00C86171">
        <w:trPr>
          <w:trHeight w:val="261"/>
        </w:trPr>
        <w:tc>
          <w:tcPr>
            <w:tcW w:w="15735" w:type="dxa"/>
            <w:gridSpan w:val="3"/>
            <w:shd w:val="clear" w:color="auto" w:fill="D99594" w:themeFill="accent2" w:themeFillTint="99"/>
          </w:tcPr>
          <w:p w:rsidR="00501F70" w:rsidRPr="00E81F6E" w:rsidRDefault="00501F70" w:rsidP="00376CC9">
            <w:pPr>
              <w:jc w:val="center"/>
              <w:rPr>
                <w:rFonts w:ascii="Times New Roman" w:hAnsi="Times New Roman" w:cs="Times New Roman"/>
                <w:noProof/>
                <w:sz w:val="20"/>
                <w:szCs w:val="20"/>
                <w:lang w:eastAsia="fr-FR"/>
              </w:rPr>
            </w:pPr>
            <w:r w:rsidRPr="00E81F6E">
              <w:rPr>
                <w:rFonts w:ascii="Times New Roman" w:hAnsi="Times New Roman" w:cs="Times New Roman"/>
                <w:b/>
                <w:bCs/>
                <w:color w:val="000000"/>
                <w:sz w:val="20"/>
                <w:szCs w:val="20"/>
              </w:rPr>
              <w:t>LES SUIVIS ET LES RAPPORTS</w:t>
            </w:r>
          </w:p>
        </w:tc>
      </w:tr>
      <w:tr w:rsidR="00C31DB0" w:rsidRPr="008F5385" w:rsidTr="002A6D9D">
        <w:trPr>
          <w:trHeight w:val="497"/>
        </w:trPr>
        <w:tc>
          <w:tcPr>
            <w:tcW w:w="1560" w:type="dxa"/>
            <w:tcBorders>
              <w:top w:val="single" w:sz="4" w:space="0" w:color="auto"/>
              <w:left w:val="single" w:sz="4" w:space="0" w:color="auto"/>
              <w:bottom w:val="single" w:sz="4" w:space="0" w:color="auto"/>
              <w:right w:val="single" w:sz="4" w:space="0" w:color="auto"/>
            </w:tcBorders>
          </w:tcPr>
          <w:p w:rsidR="00C31DB0" w:rsidRPr="002F4398" w:rsidRDefault="00C31DB0" w:rsidP="0036331E">
            <w:pPr>
              <w:rPr>
                <w:rFonts w:ascii="Times New Roman" w:hAnsi="Times New Roman" w:cs="Times New Roman"/>
                <w:b/>
                <w:bCs/>
                <w:strike/>
                <w:sz w:val="20"/>
                <w:szCs w:val="20"/>
              </w:rPr>
            </w:pPr>
            <w:r w:rsidRPr="002E53AA">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C31DB0" w:rsidRPr="002A6D9D" w:rsidRDefault="00C31DB0" w:rsidP="00C31DB0">
            <w:pPr>
              <w:rPr>
                <w:rFonts w:ascii="Times New Roman" w:hAnsi="Times New Roman" w:cs="Times New Roman"/>
                <w:sz w:val="20"/>
                <w:szCs w:val="20"/>
              </w:rPr>
            </w:pPr>
            <w:r w:rsidRPr="002A6D9D">
              <w:rPr>
                <w:rFonts w:ascii="Times New Roman" w:hAnsi="Times New Roman" w:cs="Times New Roman"/>
                <w:b/>
                <w:bCs/>
                <w:sz w:val="20"/>
                <w:szCs w:val="20"/>
              </w:rPr>
              <w:t xml:space="preserve">Suivi Mobilité bancaire </w:t>
            </w:r>
          </w:p>
        </w:tc>
        <w:tc>
          <w:tcPr>
            <w:tcW w:w="12332" w:type="dxa"/>
            <w:tcBorders>
              <w:top w:val="single" w:sz="4" w:space="0" w:color="auto"/>
              <w:left w:val="single" w:sz="4" w:space="0" w:color="auto"/>
              <w:bottom w:val="single" w:sz="4" w:space="0" w:color="auto"/>
              <w:right w:val="single" w:sz="4" w:space="0" w:color="auto"/>
            </w:tcBorders>
          </w:tcPr>
          <w:p w:rsidR="00C31DB0" w:rsidRPr="002A6D9D" w:rsidRDefault="00C31DB0" w:rsidP="002A6D9D">
            <w:pPr>
              <w:pStyle w:val="Paragraphedeliste"/>
              <w:numPr>
                <w:ilvl w:val="0"/>
                <w:numId w:val="30"/>
              </w:numPr>
              <w:ind w:left="176" w:hanging="176"/>
              <w:jc w:val="both"/>
              <w:rPr>
                <w:rFonts w:ascii="Times New Roman" w:hAnsi="Times New Roman" w:cs="Times New Roman"/>
                <w:sz w:val="20"/>
                <w:szCs w:val="20"/>
              </w:rPr>
            </w:pPr>
            <w:r w:rsidRPr="002A6D9D">
              <w:rPr>
                <w:rFonts w:ascii="Times New Roman" w:hAnsi="Times New Roman" w:cs="Times New Roman"/>
                <w:b/>
                <w:sz w:val="20"/>
                <w:szCs w:val="20"/>
              </w:rPr>
              <w:t>Le suivi mensuel de la mobilité bancaire de Mars 2018 est en ligne dans la Rubrique des Commerciaux.</w:t>
            </w:r>
            <w:r w:rsidRPr="002A6D9D">
              <w:rPr>
                <w:rFonts w:ascii="Times New Roman" w:hAnsi="Times New Roman" w:cs="Times New Roman"/>
                <w:sz w:val="20"/>
                <w:szCs w:val="20"/>
              </w:rPr>
              <w:t xml:space="preserve"> Il vous permet de suivre en détail les arrivées de mobilités bancaires (réglementées + non réglementées) par ETP. </w:t>
            </w:r>
            <w:hyperlink r:id="rId24" w:history="1">
              <w:r w:rsidRPr="002A6D9D">
                <w:rPr>
                  <w:rStyle w:val="Lienhypertexte"/>
                  <w:rFonts w:ascii="Times New Roman" w:hAnsi="Times New Roman" w:cs="Times New Roman"/>
                  <w:color w:val="auto"/>
                  <w:sz w:val="20"/>
                  <w:szCs w:val="20"/>
                </w:rPr>
                <w:t>CLIQUEZ ICI</w:t>
              </w:r>
            </w:hyperlink>
            <w:r w:rsidRPr="002A6D9D">
              <w:rPr>
                <w:rFonts w:ascii="Times New Roman" w:hAnsi="Times New Roman" w:cs="Times New Roman"/>
                <w:sz w:val="20"/>
                <w:szCs w:val="20"/>
              </w:rPr>
              <w:t xml:space="preserve"> pour y accéder.</w:t>
            </w:r>
          </w:p>
        </w:tc>
      </w:tr>
      <w:tr w:rsidR="007B7C4B" w:rsidRPr="008F5385" w:rsidTr="002A6D9D">
        <w:trPr>
          <w:trHeight w:val="405"/>
        </w:trPr>
        <w:tc>
          <w:tcPr>
            <w:tcW w:w="1560" w:type="dxa"/>
            <w:tcBorders>
              <w:top w:val="single" w:sz="4" w:space="0" w:color="auto"/>
              <w:left w:val="single" w:sz="4" w:space="0" w:color="auto"/>
              <w:bottom w:val="single" w:sz="4" w:space="0" w:color="auto"/>
              <w:right w:val="single" w:sz="4" w:space="0" w:color="auto"/>
            </w:tcBorders>
          </w:tcPr>
          <w:p w:rsidR="007B7C4B" w:rsidRDefault="007B7C4B">
            <w:r w:rsidRPr="00674B81">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7B7C4B" w:rsidRPr="002A6D9D" w:rsidRDefault="007B7C4B" w:rsidP="007B7C4B">
            <w:pPr>
              <w:pStyle w:val="wordsection1"/>
              <w:rPr>
                <w:b/>
                <w:bCs/>
                <w:sz w:val="20"/>
                <w:szCs w:val="20"/>
                <w:lang w:eastAsia="en-US"/>
              </w:rPr>
            </w:pPr>
            <w:r w:rsidRPr="002A6D9D">
              <w:rPr>
                <w:b/>
                <w:bCs/>
                <w:sz w:val="20"/>
                <w:szCs w:val="20"/>
              </w:rPr>
              <w:t>Suivi IRIS</w:t>
            </w:r>
          </w:p>
        </w:tc>
        <w:tc>
          <w:tcPr>
            <w:tcW w:w="12332" w:type="dxa"/>
            <w:tcBorders>
              <w:top w:val="single" w:sz="4" w:space="0" w:color="auto"/>
              <w:left w:val="single" w:sz="4" w:space="0" w:color="auto"/>
              <w:bottom w:val="single" w:sz="4" w:space="0" w:color="auto"/>
              <w:right w:val="single" w:sz="4" w:space="0" w:color="auto"/>
            </w:tcBorders>
          </w:tcPr>
          <w:p w:rsidR="007B7C4B" w:rsidRPr="002A6D9D" w:rsidRDefault="007B7C4B" w:rsidP="002A6D9D">
            <w:pPr>
              <w:pStyle w:val="wordsection1"/>
              <w:numPr>
                <w:ilvl w:val="0"/>
                <w:numId w:val="40"/>
              </w:numPr>
              <w:spacing w:before="0" w:beforeAutospacing="0" w:after="0" w:afterAutospacing="0"/>
              <w:ind w:left="187" w:hanging="187"/>
              <w:jc w:val="both"/>
              <w:rPr>
                <w:sz w:val="20"/>
                <w:szCs w:val="20"/>
              </w:rPr>
            </w:pPr>
            <w:r w:rsidRPr="002A6D9D">
              <w:rPr>
                <w:sz w:val="20"/>
                <w:szCs w:val="20"/>
              </w:rPr>
              <w:t xml:space="preserve">Vous trouverez en </w:t>
            </w:r>
            <w:hyperlink r:id="rId25" w:history="1">
              <w:r w:rsidRPr="002A6D9D">
                <w:rPr>
                  <w:rStyle w:val="Lienhypertexte"/>
                  <w:color w:val="auto"/>
                  <w:sz w:val="20"/>
                  <w:szCs w:val="20"/>
                </w:rPr>
                <w:t>cliquant ici</w:t>
              </w:r>
            </w:hyperlink>
            <w:r w:rsidRPr="002A6D9D">
              <w:rPr>
                <w:sz w:val="20"/>
                <w:szCs w:val="20"/>
              </w:rPr>
              <w:t xml:space="preserve">, le suivi de commercialisation d’IRIS (commercialisation du 17/01 au 13/06/2018). Au 16/04/2018, 166% des fonds sont placés. </w:t>
            </w:r>
          </w:p>
        </w:tc>
      </w:tr>
      <w:tr w:rsidR="00E8740A" w:rsidRPr="008F5385"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E8740A" w:rsidRPr="00E5474A" w:rsidRDefault="00E8740A" w:rsidP="00FF0458">
            <w:pPr>
              <w:rPr>
                <w:rFonts w:ascii="Times New Roman" w:hAnsi="Times New Roman" w:cs="Times New Roman"/>
                <w:b/>
                <w:bCs/>
                <w:sz w:val="20"/>
                <w:szCs w:val="20"/>
              </w:rPr>
            </w:pPr>
            <w:r w:rsidRPr="00E5474A">
              <w:rPr>
                <w:rFonts w:ascii="Times New Roman" w:hAnsi="Times New Roman" w:cs="Times New Roman"/>
                <w:b/>
                <w:bCs/>
                <w:sz w:val="20"/>
                <w:szCs w:val="20"/>
              </w:rPr>
              <w:t>Com. Crédits</w:t>
            </w:r>
          </w:p>
        </w:tc>
        <w:tc>
          <w:tcPr>
            <w:tcW w:w="1843" w:type="dxa"/>
            <w:tcBorders>
              <w:top w:val="single" w:sz="4" w:space="0" w:color="auto"/>
              <w:left w:val="single" w:sz="4" w:space="0" w:color="auto"/>
              <w:bottom w:val="single" w:sz="4" w:space="0" w:color="auto"/>
              <w:right w:val="single" w:sz="4" w:space="0" w:color="auto"/>
            </w:tcBorders>
          </w:tcPr>
          <w:p w:rsidR="00E8740A" w:rsidRPr="00E5474A" w:rsidRDefault="00E8740A" w:rsidP="00FF0458">
            <w:pPr>
              <w:rPr>
                <w:rFonts w:ascii="Times New Roman" w:hAnsi="Times New Roman" w:cs="Times New Roman"/>
                <w:b/>
                <w:bCs/>
                <w:color w:val="000000"/>
                <w:sz w:val="20"/>
                <w:szCs w:val="20"/>
              </w:rPr>
            </w:pPr>
            <w:r w:rsidRPr="00E5474A">
              <w:rPr>
                <w:rFonts w:ascii="Times New Roman" w:hAnsi="Times New Roman" w:cs="Times New Roman"/>
                <w:b/>
                <w:bCs/>
                <w:color w:val="000000"/>
                <w:sz w:val="20"/>
                <w:szCs w:val="20"/>
              </w:rPr>
              <w:t>Météo</w:t>
            </w:r>
          </w:p>
        </w:tc>
        <w:tc>
          <w:tcPr>
            <w:tcW w:w="12332" w:type="dxa"/>
            <w:tcBorders>
              <w:top w:val="single" w:sz="4" w:space="0" w:color="auto"/>
              <w:left w:val="single" w:sz="4" w:space="0" w:color="auto"/>
              <w:bottom w:val="single" w:sz="4" w:space="0" w:color="auto"/>
              <w:right w:val="single" w:sz="4" w:space="0" w:color="auto"/>
            </w:tcBorders>
          </w:tcPr>
          <w:p w:rsidR="00E8740A" w:rsidRPr="00E5474A" w:rsidRDefault="00E8740A" w:rsidP="00E30FE8">
            <w:pPr>
              <w:pStyle w:val="Paragraphedeliste"/>
              <w:numPr>
                <w:ilvl w:val="0"/>
                <w:numId w:val="2"/>
              </w:numPr>
              <w:ind w:left="176" w:hanging="176"/>
              <w:jc w:val="both"/>
              <w:rPr>
                <w:rFonts w:ascii="Times New Roman" w:hAnsi="Times New Roman" w:cs="Times New Roman"/>
                <w:bCs/>
                <w:sz w:val="20"/>
                <w:szCs w:val="20"/>
                <w:lang w:eastAsia="fr-FR"/>
              </w:rPr>
            </w:pPr>
            <w:r w:rsidRPr="00E5474A">
              <w:rPr>
                <w:rFonts w:ascii="Times New Roman" w:hAnsi="Times New Roman" w:cs="Times New Roman"/>
                <w:sz w:val="20"/>
                <w:szCs w:val="20"/>
              </w:rPr>
              <w:t xml:space="preserve">Vous trouverez </w:t>
            </w:r>
            <w:hyperlink r:id="rId26" w:history="1">
              <w:r w:rsidRPr="00E5474A">
                <w:rPr>
                  <w:rStyle w:val="Lienhypertexte"/>
                  <w:rFonts w:ascii="Times New Roman" w:hAnsi="Times New Roman" w:cs="Times New Roman"/>
                  <w:sz w:val="20"/>
                  <w:szCs w:val="20"/>
                </w:rPr>
                <w:t>en cliquant ici</w:t>
              </w:r>
            </w:hyperlink>
            <w:r w:rsidRPr="00E5474A">
              <w:rPr>
                <w:rFonts w:ascii="Times New Roman" w:hAnsi="Times New Roman" w:cs="Times New Roman"/>
                <w:sz w:val="20"/>
                <w:szCs w:val="20"/>
              </w:rPr>
              <w:t xml:space="preserve"> </w:t>
            </w:r>
            <w:r w:rsidRPr="00E5474A">
              <w:rPr>
                <w:rFonts w:ascii="Times New Roman" w:hAnsi="Times New Roman" w:cs="Times New Roman"/>
                <w:b/>
                <w:sz w:val="20"/>
                <w:szCs w:val="20"/>
              </w:rPr>
              <w:t>l</w:t>
            </w:r>
            <w:r w:rsidR="00E5474A">
              <w:rPr>
                <w:rFonts w:ascii="Times New Roman" w:hAnsi="Times New Roman" w:cs="Times New Roman"/>
                <w:b/>
                <w:sz w:val="20"/>
                <w:szCs w:val="20"/>
              </w:rPr>
              <w:t>a météo des crédits arrêtée au 1</w:t>
            </w:r>
            <w:r w:rsidRPr="00E5474A">
              <w:rPr>
                <w:rFonts w:ascii="Times New Roman" w:hAnsi="Times New Roman" w:cs="Times New Roman"/>
                <w:b/>
                <w:sz w:val="20"/>
                <w:szCs w:val="20"/>
              </w:rPr>
              <w:t>6/04/2017.</w:t>
            </w:r>
          </w:p>
        </w:tc>
      </w:tr>
    </w:tbl>
    <w:p w:rsidR="00EF1178" w:rsidRPr="00F67F05" w:rsidRDefault="00EF1178" w:rsidP="000B4530">
      <w:pPr>
        <w:rPr>
          <w:rFonts w:ascii="Times New Roman" w:hAnsi="Times New Roman" w:cs="Times New Roman"/>
          <w:strike/>
          <w:sz w:val="20"/>
          <w:szCs w:val="20"/>
        </w:rPr>
      </w:pPr>
    </w:p>
    <w:sectPr w:rsidR="00EF1178" w:rsidRPr="00F67F05" w:rsidSect="00421843">
      <w:footerReference w:type="default" r:id="rId27"/>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2702" w:rsidRDefault="00202702" w:rsidP="0035465A">
      <w:pPr>
        <w:spacing w:after="0" w:line="240" w:lineRule="auto"/>
      </w:pPr>
      <w:r>
        <w:separator/>
      </w:r>
    </w:p>
  </w:endnote>
  <w:endnote w:type="continuationSeparator" w:id="0">
    <w:p w:rsidR="00202702" w:rsidRDefault="00202702"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2702" w:rsidRDefault="00202702" w:rsidP="0035465A">
      <w:pPr>
        <w:spacing w:after="0" w:line="240" w:lineRule="auto"/>
      </w:pPr>
      <w:r>
        <w:separator/>
      </w:r>
    </w:p>
  </w:footnote>
  <w:footnote w:type="continuationSeparator" w:id="0">
    <w:p w:rsidR="00202702" w:rsidRDefault="00202702"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
    <w:nsid w:val="0751648D"/>
    <w:multiLevelType w:val="hybridMultilevel"/>
    <w:tmpl w:val="98489AA4"/>
    <w:lvl w:ilvl="0" w:tplc="315C0690">
      <w:start w:val="1"/>
      <w:numFmt w:val="bullet"/>
      <w:lvlText w:val="o"/>
      <w:lvlJc w:val="left"/>
      <w:pPr>
        <w:ind w:left="1068" w:hanging="360"/>
      </w:pPr>
      <w:rPr>
        <w:rFonts w:ascii="Courier New" w:hAnsi="Courier New" w:cs="Courier New" w:hint="default"/>
        <w:color w:val="000000"/>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start w:val="1"/>
      <w:numFmt w:val="bullet"/>
      <w:lvlText w:val=""/>
      <w:lvlJc w:val="left"/>
      <w:pPr>
        <w:ind w:left="3228" w:hanging="360"/>
      </w:pPr>
      <w:rPr>
        <w:rFonts w:ascii="Symbol" w:hAnsi="Symbol" w:hint="default"/>
      </w:rPr>
    </w:lvl>
    <w:lvl w:ilvl="4" w:tplc="040C0003">
      <w:start w:val="1"/>
      <w:numFmt w:val="bullet"/>
      <w:lvlText w:val="o"/>
      <w:lvlJc w:val="left"/>
      <w:pPr>
        <w:ind w:left="3948" w:hanging="360"/>
      </w:pPr>
      <w:rPr>
        <w:rFonts w:ascii="Courier New" w:hAnsi="Courier New" w:cs="Courier New" w:hint="default"/>
      </w:rPr>
    </w:lvl>
    <w:lvl w:ilvl="5" w:tplc="040C0005">
      <w:start w:val="1"/>
      <w:numFmt w:val="bullet"/>
      <w:lvlText w:val=""/>
      <w:lvlJc w:val="left"/>
      <w:pPr>
        <w:ind w:left="4668" w:hanging="360"/>
      </w:pPr>
      <w:rPr>
        <w:rFonts w:ascii="Wingdings" w:hAnsi="Wingdings" w:hint="default"/>
      </w:rPr>
    </w:lvl>
    <w:lvl w:ilvl="6" w:tplc="040C0001">
      <w:start w:val="1"/>
      <w:numFmt w:val="bullet"/>
      <w:lvlText w:val=""/>
      <w:lvlJc w:val="left"/>
      <w:pPr>
        <w:ind w:left="5388" w:hanging="360"/>
      </w:pPr>
      <w:rPr>
        <w:rFonts w:ascii="Symbol" w:hAnsi="Symbol" w:hint="default"/>
      </w:rPr>
    </w:lvl>
    <w:lvl w:ilvl="7" w:tplc="040C0003">
      <w:start w:val="1"/>
      <w:numFmt w:val="bullet"/>
      <w:lvlText w:val="o"/>
      <w:lvlJc w:val="left"/>
      <w:pPr>
        <w:ind w:left="6108" w:hanging="360"/>
      </w:pPr>
      <w:rPr>
        <w:rFonts w:ascii="Courier New" w:hAnsi="Courier New" w:cs="Courier New" w:hint="default"/>
      </w:rPr>
    </w:lvl>
    <w:lvl w:ilvl="8" w:tplc="040C0005">
      <w:start w:val="1"/>
      <w:numFmt w:val="bullet"/>
      <w:lvlText w:val=""/>
      <w:lvlJc w:val="left"/>
      <w:pPr>
        <w:ind w:left="6828" w:hanging="360"/>
      </w:pPr>
      <w:rPr>
        <w:rFonts w:ascii="Wingdings" w:hAnsi="Wingdings" w:hint="default"/>
      </w:rPr>
    </w:lvl>
  </w:abstractNum>
  <w:abstractNum w:abstractNumId="2">
    <w:nsid w:val="0BF270C2"/>
    <w:multiLevelType w:val="hybridMultilevel"/>
    <w:tmpl w:val="99026EFA"/>
    <w:lvl w:ilvl="0" w:tplc="1ECCC74E">
      <w:numFmt w:val="bullet"/>
      <w:lvlText w:val="-"/>
      <w:lvlJc w:val="left"/>
      <w:pPr>
        <w:ind w:left="720" w:hanging="360"/>
      </w:pPr>
      <w:rPr>
        <w:rFonts w:ascii="Bookman Old Style" w:eastAsia="Calibri" w:hAnsi="Bookman Old Style" w:cs="Arial"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3">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4">
    <w:nsid w:val="16725303"/>
    <w:multiLevelType w:val="hybridMultilevel"/>
    <w:tmpl w:val="B0D6AE04"/>
    <w:lvl w:ilvl="0" w:tplc="C1380644">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71952C4"/>
    <w:multiLevelType w:val="hybridMultilevel"/>
    <w:tmpl w:val="C6E4C686"/>
    <w:lvl w:ilvl="0" w:tplc="040C0003">
      <w:start w:val="1"/>
      <w:numFmt w:val="bullet"/>
      <w:lvlText w:val="o"/>
      <w:lvlJc w:val="left"/>
      <w:pPr>
        <w:ind w:left="547" w:hanging="360"/>
      </w:pPr>
      <w:rPr>
        <w:rFonts w:ascii="Courier New" w:hAnsi="Courier New" w:cs="Courier New" w:hint="default"/>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6">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7">
    <w:nsid w:val="2B046F21"/>
    <w:multiLevelType w:val="hybridMultilevel"/>
    <w:tmpl w:val="3AF63778"/>
    <w:lvl w:ilvl="0" w:tplc="F32EC7B2">
      <w:numFmt w:val="bullet"/>
      <w:lvlText w:val="­"/>
      <w:lvlJc w:val="left"/>
      <w:pPr>
        <w:ind w:left="72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8">
    <w:nsid w:val="357876C6"/>
    <w:multiLevelType w:val="hybridMultilevel"/>
    <w:tmpl w:val="CD82A9B8"/>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9">
    <w:nsid w:val="389E449A"/>
    <w:multiLevelType w:val="hybridMultilevel"/>
    <w:tmpl w:val="FA5ADAB6"/>
    <w:lvl w:ilvl="0" w:tplc="040C0001">
      <w:start w:val="1"/>
      <w:numFmt w:val="bullet"/>
      <w:lvlText w:val=""/>
      <w:lvlJc w:val="left"/>
      <w:pPr>
        <w:ind w:left="360" w:hanging="360"/>
      </w:pPr>
      <w:rPr>
        <w:rFonts w:ascii="Symbol" w:hAnsi="Symbol" w:hint="default"/>
        <w:strike w:val="0"/>
        <w:dstrike w:val="0"/>
        <w:color w:val="000000"/>
        <w:sz w:val="20"/>
        <w:szCs w:val="20"/>
        <w:u w:val="none"/>
        <w:effect w:val="none"/>
      </w:rPr>
    </w:lvl>
    <w:lvl w:ilvl="1" w:tplc="040C0003">
      <w:start w:val="1"/>
      <w:numFmt w:val="bullet"/>
      <w:lvlText w:val="o"/>
      <w:lvlJc w:val="left"/>
      <w:pPr>
        <w:ind w:left="764"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0">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1">
    <w:nsid w:val="3BAC0160"/>
    <w:multiLevelType w:val="hybridMultilevel"/>
    <w:tmpl w:val="4DC4CBF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2">
    <w:nsid w:val="3F475714"/>
    <w:multiLevelType w:val="hybridMultilevel"/>
    <w:tmpl w:val="B114CB48"/>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3">
    <w:nsid w:val="3FD50506"/>
    <w:multiLevelType w:val="hybridMultilevel"/>
    <w:tmpl w:val="53E61D90"/>
    <w:lvl w:ilvl="0" w:tplc="040C0003">
      <w:start w:val="1"/>
      <w:numFmt w:val="bullet"/>
      <w:lvlText w:val="o"/>
      <w:lvlJc w:val="left"/>
      <w:pPr>
        <w:ind w:left="896" w:hanging="360"/>
      </w:pPr>
      <w:rPr>
        <w:rFonts w:ascii="Courier New" w:hAnsi="Courier New" w:cs="Courier New" w:hint="default"/>
      </w:rPr>
    </w:lvl>
    <w:lvl w:ilvl="1" w:tplc="040C0003">
      <w:start w:val="1"/>
      <w:numFmt w:val="bullet"/>
      <w:lvlText w:val="o"/>
      <w:lvlJc w:val="left"/>
      <w:pPr>
        <w:ind w:left="1616" w:hanging="360"/>
      </w:pPr>
      <w:rPr>
        <w:rFonts w:ascii="Courier New" w:hAnsi="Courier New" w:cs="Courier New" w:hint="default"/>
      </w:rPr>
    </w:lvl>
    <w:lvl w:ilvl="2" w:tplc="040C0005">
      <w:start w:val="1"/>
      <w:numFmt w:val="bullet"/>
      <w:lvlText w:val=""/>
      <w:lvlJc w:val="left"/>
      <w:pPr>
        <w:ind w:left="2336" w:hanging="360"/>
      </w:pPr>
      <w:rPr>
        <w:rFonts w:ascii="Wingdings" w:hAnsi="Wingdings" w:hint="default"/>
      </w:rPr>
    </w:lvl>
    <w:lvl w:ilvl="3" w:tplc="040C0001">
      <w:start w:val="1"/>
      <w:numFmt w:val="bullet"/>
      <w:lvlText w:val=""/>
      <w:lvlJc w:val="left"/>
      <w:pPr>
        <w:ind w:left="3056" w:hanging="360"/>
      </w:pPr>
      <w:rPr>
        <w:rFonts w:ascii="Symbol" w:hAnsi="Symbol" w:hint="default"/>
      </w:rPr>
    </w:lvl>
    <w:lvl w:ilvl="4" w:tplc="040C0003">
      <w:start w:val="1"/>
      <w:numFmt w:val="bullet"/>
      <w:lvlText w:val="o"/>
      <w:lvlJc w:val="left"/>
      <w:pPr>
        <w:ind w:left="3776" w:hanging="360"/>
      </w:pPr>
      <w:rPr>
        <w:rFonts w:ascii="Courier New" w:hAnsi="Courier New" w:cs="Courier New" w:hint="default"/>
      </w:rPr>
    </w:lvl>
    <w:lvl w:ilvl="5" w:tplc="040C0005">
      <w:start w:val="1"/>
      <w:numFmt w:val="bullet"/>
      <w:lvlText w:val=""/>
      <w:lvlJc w:val="left"/>
      <w:pPr>
        <w:ind w:left="4496" w:hanging="360"/>
      </w:pPr>
      <w:rPr>
        <w:rFonts w:ascii="Wingdings" w:hAnsi="Wingdings" w:hint="default"/>
      </w:rPr>
    </w:lvl>
    <w:lvl w:ilvl="6" w:tplc="040C0001">
      <w:start w:val="1"/>
      <w:numFmt w:val="bullet"/>
      <w:lvlText w:val=""/>
      <w:lvlJc w:val="left"/>
      <w:pPr>
        <w:ind w:left="5216" w:hanging="360"/>
      </w:pPr>
      <w:rPr>
        <w:rFonts w:ascii="Symbol" w:hAnsi="Symbol" w:hint="default"/>
      </w:rPr>
    </w:lvl>
    <w:lvl w:ilvl="7" w:tplc="040C0003">
      <w:start w:val="1"/>
      <w:numFmt w:val="bullet"/>
      <w:lvlText w:val="o"/>
      <w:lvlJc w:val="left"/>
      <w:pPr>
        <w:ind w:left="5936" w:hanging="360"/>
      </w:pPr>
      <w:rPr>
        <w:rFonts w:ascii="Courier New" w:hAnsi="Courier New" w:cs="Courier New" w:hint="default"/>
      </w:rPr>
    </w:lvl>
    <w:lvl w:ilvl="8" w:tplc="040C0005">
      <w:start w:val="1"/>
      <w:numFmt w:val="bullet"/>
      <w:lvlText w:val=""/>
      <w:lvlJc w:val="left"/>
      <w:pPr>
        <w:ind w:left="6656" w:hanging="360"/>
      </w:pPr>
      <w:rPr>
        <w:rFonts w:ascii="Wingdings" w:hAnsi="Wingdings" w:hint="default"/>
      </w:rPr>
    </w:lvl>
  </w:abstractNum>
  <w:abstractNum w:abstractNumId="14">
    <w:nsid w:val="4B862A65"/>
    <w:multiLevelType w:val="hybridMultilevel"/>
    <w:tmpl w:val="4D147CE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5">
    <w:nsid w:val="4DBF57E9"/>
    <w:multiLevelType w:val="hybridMultilevel"/>
    <w:tmpl w:val="95229E4E"/>
    <w:lvl w:ilvl="0" w:tplc="8536DB74">
      <w:start w:val="1"/>
      <w:numFmt w:val="bullet"/>
      <w:lvlText w:val="■"/>
      <w:lvlJc w:val="left"/>
      <w:pPr>
        <w:tabs>
          <w:tab w:val="num" w:pos="720"/>
        </w:tabs>
        <w:ind w:left="720" w:hanging="360"/>
      </w:pPr>
      <w:rPr>
        <w:rFonts w:ascii="Arial Narrow" w:hAnsi="Arial Narrow" w:hint="default"/>
      </w:rPr>
    </w:lvl>
    <w:lvl w:ilvl="1" w:tplc="8C02CEB6">
      <w:start w:val="1"/>
      <w:numFmt w:val="bullet"/>
      <w:lvlText w:val="■"/>
      <w:lvlJc w:val="left"/>
      <w:pPr>
        <w:tabs>
          <w:tab w:val="num" w:pos="1440"/>
        </w:tabs>
        <w:ind w:left="1440" w:hanging="360"/>
      </w:pPr>
      <w:rPr>
        <w:rFonts w:ascii="Arial Narrow" w:hAnsi="Arial Narrow" w:hint="default"/>
      </w:rPr>
    </w:lvl>
    <w:lvl w:ilvl="2" w:tplc="9232F38E" w:tentative="1">
      <w:start w:val="1"/>
      <w:numFmt w:val="bullet"/>
      <w:lvlText w:val="■"/>
      <w:lvlJc w:val="left"/>
      <w:pPr>
        <w:tabs>
          <w:tab w:val="num" w:pos="2160"/>
        </w:tabs>
        <w:ind w:left="2160" w:hanging="360"/>
      </w:pPr>
      <w:rPr>
        <w:rFonts w:ascii="Arial Narrow" w:hAnsi="Arial Narrow" w:hint="default"/>
      </w:rPr>
    </w:lvl>
    <w:lvl w:ilvl="3" w:tplc="2D487F4C" w:tentative="1">
      <w:start w:val="1"/>
      <w:numFmt w:val="bullet"/>
      <w:lvlText w:val="■"/>
      <w:lvlJc w:val="left"/>
      <w:pPr>
        <w:tabs>
          <w:tab w:val="num" w:pos="2880"/>
        </w:tabs>
        <w:ind w:left="2880" w:hanging="360"/>
      </w:pPr>
      <w:rPr>
        <w:rFonts w:ascii="Arial Narrow" w:hAnsi="Arial Narrow" w:hint="default"/>
      </w:rPr>
    </w:lvl>
    <w:lvl w:ilvl="4" w:tplc="09F20C0E" w:tentative="1">
      <w:start w:val="1"/>
      <w:numFmt w:val="bullet"/>
      <w:lvlText w:val="■"/>
      <w:lvlJc w:val="left"/>
      <w:pPr>
        <w:tabs>
          <w:tab w:val="num" w:pos="3600"/>
        </w:tabs>
        <w:ind w:left="3600" w:hanging="360"/>
      </w:pPr>
      <w:rPr>
        <w:rFonts w:ascii="Arial Narrow" w:hAnsi="Arial Narrow" w:hint="default"/>
      </w:rPr>
    </w:lvl>
    <w:lvl w:ilvl="5" w:tplc="C35C124E" w:tentative="1">
      <w:start w:val="1"/>
      <w:numFmt w:val="bullet"/>
      <w:lvlText w:val="■"/>
      <w:lvlJc w:val="left"/>
      <w:pPr>
        <w:tabs>
          <w:tab w:val="num" w:pos="4320"/>
        </w:tabs>
        <w:ind w:left="4320" w:hanging="360"/>
      </w:pPr>
      <w:rPr>
        <w:rFonts w:ascii="Arial Narrow" w:hAnsi="Arial Narrow" w:hint="default"/>
      </w:rPr>
    </w:lvl>
    <w:lvl w:ilvl="6" w:tplc="9028D7B8" w:tentative="1">
      <w:start w:val="1"/>
      <w:numFmt w:val="bullet"/>
      <w:lvlText w:val="■"/>
      <w:lvlJc w:val="left"/>
      <w:pPr>
        <w:tabs>
          <w:tab w:val="num" w:pos="5040"/>
        </w:tabs>
        <w:ind w:left="5040" w:hanging="360"/>
      </w:pPr>
      <w:rPr>
        <w:rFonts w:ascii="Arial Narrow" w:hAnsi="Arial Narrow" w:hint="default"/>
      </w:rPr>
    </w:lvl>
    <w:lvl w:ilvl="7" w:tplc="49CEC8D4" w:tentative="1">
      <w:start w:val="1"/>
      <w:numFmt w:val="bullet"/>
      <w:lvlText w:val="■"/>
      <w:lvlJc w:val="left"/>
      <w:pPr>
        <w:tabs>
          <w:tab w:val="num" w:pos="5760"/>
        </w:tabs>
        <w:ind w:left="5760" w:hanging="360"/>
      </w:pPr>
      <w:rPr>
        <w:rFonts w:ascii="Arial Narrow" w:hAnsi="Arial Narrow" w:hint="default"/>
      </w:rPr>
    </w:lvl>
    <w:lvl w:ilvl="8" w:tplc="E89EA832" w:tentative="1">
      <w:start w:val="1"/>
      <w:numFmt w:val="bullet"/>
      <w:lvlText w:val="■"/>
      <w:lvlJc w:val="left"/>
      <w:pPr>
        <w:tabs>
          <w:tab w:val="num" w:pos="6480"/>
        </w:tabs>
        <w:ind w:left="6480" w:hanging="360"/>
      </w:pPr>
      <w:rPr>
        <w:rFonts w:ascii="Arial Narrow" w:hAnsi="Arial Narrow" w:hint="default"/>
      </w:rPr>
    </w:lvl>
  </w:abstractNum>
  <w:abstractNum w:abstractNumId="16">
    <w:nsid w:val="579E1231"/>
    <w:multiLevelType w:val="hybridMultilevel"/>
    <w:tmpl w:val="1AB023BA"/>
    <w:lvl w:ilvl="0" w:tplc="3E6AD152">
      <w:start w:val="1"/>
      <w:numFmt w:val="bullet"/>
      <w:lvlText w:val=""/>
      <w:lvlJc w:val="left"/>
      <w:pPr>
        <w:ind w:left="360" w:hanging="360"/>
      </w:pPr>
      <w:rPr>
        <w:rFonts w:ascii="Symbol" w:hAnsi="Symbol" w:hint="default"/>
        <w:color w:val="000000"/>
      </w:rPr>
    </w:lvl>
    <w:lvl w:ilvl="1" w:tplc="F75C1C94">
      <w:start w:val="1"/>
      <w:numFmt w:val="bullet"/>
      <w:lvlText w:val="−"/>
      <w:lvlJc w:val="left"/>
      <w:pPr>
        <w:ind w:left="1080" w:hanging="360"/>
      </w:pPr>
      <w:rPr>
        <w:rFonts w:ascii="Times New Roman" w:hAnsi="Times New Roman"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7">
    <w:nsid w:val="57CB54D6"/>
    <w:multiLevelType w:val="hybridMultilevel"/>
    <w:tmpl w:val="97EA67FC"/>
    <w:lvl w:ilvl="0" w:tplc="F32EC7B2">
      <w:numFmt w:val="bullet"/>
      <w:lvlText w:val="­"/>
      <w:lvlJc w:val="left"/>
      <w:pPr>
        <w:ind w:left="72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8">
    <w:nsid w:val="592643B4"/>
    <w:multiLevelType w:val="hybridMultilevel"/>
    <w:tmpl w:val="E4369868"/>
    <w:lvl w:ilvl="0" w:tplc="03D0C244">
      <w:numFmt w:val="bullet"/>
      <w:lvlText w:val="-"/>
      <w:lvlJc w:val="left"/>
      <w:pPr>
        <w:ind w:left="1800" w:hanging="360"/>
      </w:pPr>
      <w:rPr>
        <w:rFonts w:ascii="Calibri" w:eastAsia="Calibri" w:hAnsi="Calibri" w:cs="Calibri" w:hint="default"/>
      </w:rPr>
    </w:lvl>
    <w:lvl w:ilvl="1" w:tplc="040C0003">
      <w:start w:val="1"/>
      <w:numFmt w:val="bullet"/>
      <w:lvlText w:val="o"/>
      <w:lvlJc w:val="left"/>
      <w:pPr>
        <w:ind w:left="2520" w:hanging="360"/>
      </w:pPr>
      <w:rPr>
        <w:rFonts w:ascii="Courier New" w:hAnsi="Courier New" w:cs="Courier New" w:hint="default"/>
      </w:rPr>
    </w:lvl>
    <w:lvl w:ilvl="2" w:tplc="040C0005">
      <w:start w:val="1"/>
      <w:numFmt w:val="bullet"/>
      <w:lvlText w:val=""/>
      <w:lvlJc w:val="left"/>
      <w:pPr>
        <w:ind w:left="3240" w:hanging="360"/>
      </w:pPr>
      <w:rPr>
        <w:rFonts w:ascii="Wingdings" w:hAnsi="Wingdings" w:hint="default"/>
      </w:rPr>
    </w:lvl>
    <w:lvl w:ilvl="3" w:tplc="040C0001">
      <w:start w:val="1"/>
      <w:numFmt w:val="bullet"/>
      <w:lvlText w:val=""/>
      <w:lvlJc w:val="left"/>
      <w:pPr>
        <w:ind w:left="3960" w:hanging="360"/>
      </w:pPr>
      <w:rPr>
        <w:rFonts w:ascii="Symbol" w:hAnsi="Symbol" w:hint="default"/>
      </w:rPr>
    </w:lvl>
    <w:lvl w:ilvl="4" w:tplc="040C0003">
      <w:start w:val="1"/>
      <w:numFmt w:val="bullet"/>
      <w:lvlText w:val="o"/>
      <w:lvlJc w:val="left"/>
      <w:pPr>
        <w:ind w:left="4680" w:hanging="360"/>
      </w:pPr>
      <w:rPr>
        <w:rFonts w:ascii="Courier New" w:hAnsi="Courier New" w:cs="Courier New" w:hint="default"/>
      </w:rPr>
    </w:lvl>
    <w:lvl w:ilvl="5" w:tplc="040C0005">
      <w:start w:val="1"/>
      <w:numFmt w:val="bullet"/>
      <w:lvlText w:val=""/>
      <w:lvlJc w:val="left"/>
      <w:pPr>
        <w:ind w:left="5400" w:hanging="360"/>
      </w:pPr>
      <w:rPr>
        <w:rFonts w:ascii="Wingdings" w:hAnsi="Wingdings" w:hint="default"/>
      </w:rPr>
    </w:lvl>
    <w:lvl w:ilvl="6" w:tplc="040C0001">
      <w:start w:val="1"/>
      <w:numFmt w:val="bullet"/>
      <w:lvlText w:val=""/>
      <w:lvlJc w:val="left"/>
      <w:pPr>
        <w:ind w:left="6120" w:hanging="360"/>
      </w:pPr>
      <w:rPr>
        <w:rFonts w:ascii="Symbol" w:hAnsi="Symbol" w:hint="default"/>
      </w:rPr>
    </w:lvl>
    <w:lvl w:ilvl="7" w:tplc="040C0003">
      <w:start w:val="1"/>
      <w:numFmt w:val="bullet"/>
      <w:lvlText w:val="o"/>
      <w:lvlJc w:val="left"/>
      <w:pPr>
        <w:ind w:left="6840" w:hanging="360"/>
      </w:pPr>
      <w:rPr>
        <w:rFonts w:ascii="Courier New" w:hAnsi="Courier New" w:cs="Courier New" w:hint="default"/>
      </w:rPr>
    </w:lvl>
    <w:lvl w:ilvl="8" w:tplc="040C0005">
      <w:start w:val="1"/>
      <w:numFmt w:val="bullet"/>
      <w:lvlText w:val=""/>
      <w:lvlJc w:val="left"/>
      <w:pPr>
        <w:ind w:left="7560" w:hanging="360"/>
      </w:pPr>
      <w:rPr>
        <w:rFonts w:ascii="Wingdings" w:hAnsi="Wingdings" w:hint="default"/>
      </w:rPr>
    </w:lvl>
  </w:abstractNum>
  <w:abstractNum w:abstractNumId="19">
    <w:nsid w:val="594211C6"/>
    <w:multiLevelType w:val="hybridMultilevel"/>
    <w:tmpl w:val="06AE89A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0"/>
  </w:num>
  <w:num w:numId="2">
    <w:abstractNumId w:val="12"/>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0"/>
  </w:num>
  <w:num w:numId="6">
    <w:abstractNumId w:val="12"/>
  </w:num>
  <w:num w:numId="7">
    <w:abstractNumId w:val="12"/>
  </w:num>
  <w:num w:numId="8">
    <w:abstractNumId w:val="12"/>
  </w:num>
  <w:num w:numId="9">
    <w:abstractNumId w:val="16"/>
  </w:num>
  <w:num w:numId="10">
    <w:abstractNumId w:val="12"/>
  </w:num>
  <w:num w:numId="11">
    <w:abstractNumId w:val="11"/>
  </w:num>
  <w:num w:numId="12">
    <w:abstractNumId w:val="12"/>
  </w:num>
  <w:num w:numId="13">
    <w:abstractNumId w:val="1"/>
  </w:num>
  <w:num w:numId="14">
    <w:abstractNumId w:val="11"/>
  </w:num>
  <w:num w:numId="15">
    <w:abstractNumId w:val="13"/>
  </w:num>
  <w:num w:numId="16">
    <w:abstractNumId w:val="15"/>
  </w:num>
  <w:num w:numId="17">
    <w:abstractNumId w:val="12"/>
  </w:num>
  <w:num w:numId="18">
    <w:abstractNumId w:val="19"/>
  </w:num>
  <w:num w:numId="19">
    <w:abstractNumId w:val="12"/>
  </w:num>
  <w:num w:numId="20">
    <w:abstractNumId w:val="9"/>
  </w:num>
  <w:num w:numId="21">
    <w:abstractNumId w:val="12"/>
  </w:num>
  <w:num w:numId="22">
    <w:abstractNumId w:val="17"/>
  </w:num>
  <w:num w:numId="23">
    <w:abstractNumId w:val="11"/>
  </w:num>
  <w:num w:numId="24">
    <w:abstractNumId w:val="12"/>
  </w:num>
  <w:num w:numId="25">
    <w:abstractNumId w:val="12"/>
  </w:num>
  <w:num w:numId="26">
    <w:abstractNumId w:val="12"/>
  </w:num>
  <w:num w:numId="27">
    <w:abstractNumId w:val="5"/>
  </w:num>
  <w:num w:numId="2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num>
  <w:num w:numId="30">
    <w:abstractNumId w:val="14"/>
  </w:num>
  <w:num w:numId="31">
    <w:abstractNumId w:val="12"/>
  </w:num>
  <w:num w:numId="32">
    <w:abstractNumId w:val="11"/>
  </w:num>
  <w:num w:numId="33">
    <w:abstractNumId w:val="12"/>
  </w:num>
  <w:num w:numId="34">
    <w:abstractNumId w:val="8"/>
  </w:num>
  <w:num w:numId="35">
    <w:abstractNumId w:val="18"/>
  </w:num>
  <w:num w:numId="36">
    <w:abstractNumId w:val="12"/>
  </w:num>
  <w:num w:numId="37">
    <w:abstractNumId w:val="7"/>
  </w:num>
  <w:num w:numId="38">
    <w:abstractNumId w:val="12"/>
  </w:num>
  <w:num w:numId="39">
    <w:abstractNumId w:val="12"/>
  </w:num>
  <w:num w:numId="40">
    <w:abstractNumId w:val="12"/>
  </w:num>
  <w:num w:numId="41">
    <w:abstractNumId w:val="11"/>
  </w:num>
  <w:num w:numId="42">
    <w:abstractNumId w:val="9"/>
  </w:num>
  <w:num w:numId="43">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F8F"/>
    <w:rsid w:val="00003669"/>
    <w:rsid w:val="000039D8"/>
    <w:rsid w:val="00003E8E"/>
    <w:rsid w:val="000042A4"/>
    <w:rsid w:val="00004301"/>
    <w:rsid w:val="00004AB8"/>
    <w:rsid w:val="00004DE7"/>
    <w:rsid w:val="0000556A"/>
    <w:rsid w:val="000058A4"/>
    <w:rsid w:val="000061FB"/>
    <w:rsid w:val="0000670F"/>
    <w:rsid w:val="00006BEF"/>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2228"/>
    <w:rsid w:val="00032405"/>
    <w:rsid w:val="000324DB"/>
    <w:rsid w:val="0003261D"/>
    <w:rsid w:val="000329E1"/>
    <w:rsid w:val="000330D4"/>
    <w:rsid w:val="0003432F"/>
    <w:rsid w:val="000346E4"/>
    <w:rsid w:val="00034A91"/>
    <w:rsid w:val="00035187"/>
    <w:rsid w:val="000354BE"/>
    <w:rsid w:val="00035733"/>
    <w:rsid w:val="00035BB4"/>
    <w:rsid w:val="00036D38"/>
    <w:rsid w:val="000371EC"/>
    <w:rsid w:val="0003722E"/>
    <w:rsid w:val="000374C8"/>
    <w:rsid w:val="00037F05"/>
    <w:rsid w:val="00040191"/>
    <w:rsid w:val="000406C6"/>
    <w:rsid w:val="0004096C"/>
    <w:rsid w:val="00040ABF"/>
    <w:rsid w:val="000415BB"/>
    <w:rsid w:val="00041E88"/>
    <w:rsid w:val="00042367"/>
    <w:rsid w:val="00042535"/>
    <w:rsid w:val="00042AA9"/>
    <w:rsid w:val="00042E04"/>
    <w:rsid w:val="000432B6"/>
    <w:rsid w:val="00043961"/>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5AF9"/>
    <w:rsid w:val="000562E5"/>
    <w:rsid w:val="00056A0C"/>
    <w:rsid w:val="00057557"/>
    <w:rsid w:val="00057B73"/>
    <w:rsid w:val="00060CBC"/>
    <w:rsid w:val="000612D7"/>
    <w:rsid w:val="000614B0"/>
    <w:rsid w:val="000615F1"/>
    <w:rsid w:val="000617A0"/>
    <w:rsid w:val="00061A2F"/>
    <w:rsid w:val="0006226E"/>
    <w:rsid w:val="00062AC1"/>
    <w:rsid w:val="000637CC"/>
    <w:rsid w:val="000648AD"/>
    <w:rsid w:val="000649EA"/>
    <w:rsid w:val="00064AA8"/>
    <w:rsid w:val="00064E53"/>
    <w:rsid w:val="000656D2"/>
    <w:rsid w:val="0006598D"/>
    <w:rsid w:val="00065A59"/>
    <w:rsid w:val="00065B43"/>
    <w:rsid w:val="0006699B"/>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70D1"/>
    <w:rsid w:val="00087691"/>
    <w:rsid w:val="00087A82"/>
    <w:rsid w:val="000904D6"/>
    <w:rsid w:val="0009173C"/>
    <w:rsid w:val="000917CB"/>
    <w:rsid w:val="00091E19"/>
    <w:rsid w:val="000925ED"/>
    <w:rsid w:val="00092604"/>
    <w:rsid w:val="00092FEA"/>
    <w:rsid w:val="0009356D"/>
    <w:rsid w:val="000938F8"/>
    <w:rsid w:val="00093E70"/>
    <w:rsid w:val="0009421C"/>
    <w:rsid w:val="000948AC"/>
    <w:rsid w:val="00095771"/>
    <w:rsid w:val="00096234"/>
    <w:rsid w:val="00096506"/>
    <w:rsid w:val="00096814"/>
    <w:rsid w:val="00097CBE"/>
    <w:rsid w:val="00097EFC"/>
    <w:rsid w:val="000A1180"/>
    <w:rsid w:val="000A18FD"/>
    <w:rsid w:val="000A1933"/>
    <w:rsid w:val="000A1E55"/>
    <w:rsid w:val="000A2570"/>
    <w:rsid w:val="000A36D9"/>
    <w:rsid w:val="000A3EF5"/>
    <w:rsid w:val="000A3F12"/>
    <w:rsid w:val="000A4410"/>
    <w:rsid w:val="000A4ABC"/>
    <w:rsid w:val="000A5071"/>
    <w:rsid w:val="000A5179"/>
    <w:rsid w:val="000A53B1"/>
    <w:rsid w:val="000A55D5"/>
    <w:rsid w:val="000A5724"/>
    <w:rsid w:val="000A57DC"/>
    <w:rsid w:val="000A5B3F"/>
    <w:rsid w:val="000A5BA7"/>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507"/>
    <w:rsid w:val="000C36A1"/>
    <w:rsid w:val="000C36C3"/>
    <w:rsid w:val="000C39C5"/>
    <w:rsid w:val="000C3EF2"/>
    <w:rsid w:val="000C51EC"/>
    <w:rsid w:val="000C56EB"/>
    <w:rsid w:val="000D1063"/>
    <w:rsid w:val="000D132E"/>
    <w:rsid w:val="000D1A7D"/>
    <w:rsid w:val="000D1C0C"/>
    <w:rsid w:val="000D1D7D"/>
    <w:rsid w:val="000D219F"/>
    <w:rsid w:val="000D3454"/>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E4A"/>
    <w:rsid w:val="000E4A11"/>
    <w:rsid w:val="000E6316"/>
    <w:rsid w:val="000E65C0"/>
    <w:rsid w:val="000F03E4"/>
    <w:rsid w:val="000F1056"/>
    <w:rsid w:val="000F10A9"/>
    <w:rsid w:val="000F11FB"/>
    <w:rsid w:val="000F2574"/>
    <w:rsid w:val="000F26E5"/>
    <w:rsid w:val="000F2BE1"/>
    <w:rsid w:val="000F350B"/>
    <w:rsid w:val="000F3F64"/>
    <w:rsid w:val="000F4E13"/>
    <w:rsid w:val="000F5BAE"/>
    <w:rsid w:val="000F5C6D"/>
    <w:rsid w:val="000F76A8"/>
    <w:rsid w:val="000F7E43"/>
    <w:rsid w:val="000F7F72"/>
    <w:rsid w:val="00100C85"/>
    <w:rsid w:val="00101C78"/>
    <w:rsid w:val="00101E8B"/>
    <w:rsid w:val="00102C35"/>
    <w:rsid w:val="0010326D"/>
    <w:rsid w:val="001035B5"/>
    <w:rsid w:val="00103AEC"/>
    <w:rsid w:val="0010599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8B8"/>
    <w:rsid w:val="00115C79"/>
    <w:rsid w:val="00115E41"/>
    <w:rsid w:val="001160AE"/>
    <w:rsid w:val="00117E30"/>
    <w:rsid w:val="0012027F"/>
    <w:rsid w:val="001208CD"/>
    <w:rsid w:val="00120B83"/>
    <w:rsid w:val="00120D11"/>
    <w:rsid w:val="00121786"/>
    <w:rsid w:val="001217A8"/>
    <w:rsid w:val="00121AE6"/>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9D"/>
    <w:rsid w:val="0014642D"/>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2E9E"/>
    <w:rsid w:val="00162FFF"/>
    <w:rsid w:val="00163CCE"/>
    <w:rsid w:val="001647D4"/>
    <w:rsid w:val="00164D0A"/>
    <w:rsid w:val="00164E13"/>
    <w:rsid w:val="00164E4D"/>
    <w:rsid w:val="0016530E"/>
    <w:rsid w:val="001656EF"/>
    <w:rsid w:val="00165789"/>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611B"/>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CC7"/>
    <w:rsid w:val="001922AC"/>
    <w:rsid w:val="00192633"/>
    <w:rsid w:val="00192A1F"/>
    <w:rsid w:val="00193537"/>
    <w:rsid w:val="0019437F"/>
    <w:rsid w:val="0019556C"/>
    <w:rsid w:val="00196202"/>
    <w:rsid w:val="00196793"/>
    <w:rsid w:val="00196F2E"/>
    <w:rsid w:val="0019758E"/>
    <w:rsid w:val="001977C3"/>
    <w:rsid w:val="001A02A1"/>
    <w:rsid w:val="001A14B1"/>
    <w:rsid w:val="001A16AC"/>
    <w:rsid w:val="001A1A1E"/>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6779"/>
    <w:rsid w:val="001A6AB1"/>
    <w:rsid w:val="001A6E82"/>
    <w:rsid w:val="001A721F"/>
    <w:rsid w:val="001B012C"/>
    <w:rsid w:val="001B01FF"/>
    <w:rsid w:val="001B096D"/>
    <w:rsid w:val="001B136B"/>
    <w:rsid w:val="001B15AE"/>
    <w:rsid w:val="001B197D"/>
    <w:rsid w:val="001B28E6"/>
    <w:rsid w:val="001B2AF2"/>
    <w:rsid w:val="001B37A4"/>
    <w:rsid w:val="001B423B"/>
    <w:rsid w:val="001B4C67"/>
    <w:rsid w:val="001B54C1"/>
    <w:rsid w:val="001B55B0"/>
    <w:rsid w:val="001B658C"/>
    <w:rsid w:val="001B6D78"/>
    <w:rsid w:val="001B6DB1"/>
    <w:rsid w:val="001B7896"/>
    <w:rsid w:val="001C0019"/>
    <w:rsid w:val="001C01A9"/>
    <w:rsid w:val="001C023D"/>
    <w:rsid w:val="001C10B7"/>
    <w:rsid w:val="001C13F6"/>
    <w:rsid w:val="001C1ACF"/>
    <w:rsid w:val="001C235B"/>
    <w:rsid w:val="001C23C5"/>
    <w:rsid w:val="001C2C72"/>
    <w:rsid w:val="001C2CB3"/>
    <w:rsid w:val="001C339A"/>
    <w:rsid w:val="001C50A7"/>
    <w:rsid w:val="001C5B7E"/>
    <w:rsid w:val="001C5DE9"/>
    <w:rsid w:val="001C67FD"/>
    <w:rsid w:val="001C6DEC"/>
    <w:rsid w:val="001C73A9"/>
    <w:rsid w:val="001C7715"/>
    <w:rsid w:val="001C794C"/>
    <w:rsid w:val="001D02B5"/>
    <w:rsid w:val="001D0328"/>
    <w:rsid w:val="001D03BD"/>
    <w:rsid w:val="001D1B5C"/>
    <w:rsid w:val="001D222F"/>
    <w:rsid w:val="001D27B2"/>
    <w:rsid w:val="001D3374"/>
    <w:rsid w:val="001D3B42"/>
    <w:rsid w:val="001D5400"/>
    <w:rsid w:val="001D5A8D"/>
    <w:rsid w:val="001D6AB5"/>
    <w:rsid w:val="001D77BE"/>
    <w:rsid w:val="001E005D"/>
    <w:rsid w:val="001E111A"/>
    <w:rsid w:val="001E1803"/>
    <w:rsid w:val="001E1903"/>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717"/>
    <w:rsid w:val="001F08A3"/>
    <w:rsid w:val="001F0D42"/>
    <w:rsid w:val="001F106C"/>
    <w:rsid w:val="001F128B"/>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292"/>
    <w:rsid w:val="001F7722"/>
    <w:rsid w:val="001F7B0D"/>
    <w:rsid w:val="00200149"/>
    <w:rsid w:val="0020155E"/>
    <w:rsid w:val="00201CA7"/>
    <w:rsid w:val="0020263D"/>
    <w:rsid w:val="00202702"/>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3F28"/>
    <w:rsid w:val="00214F67"/>
    <w:rsid w:val="002151A5"/>
    <w:rsid w:val="002156AC"/>
    <w:rsid w:val="00215F40"/>
    <w:rsid w:val="00216199"/>
    <w:rsid w:val="002164C6"/>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26C4"/>
    <w:rsid w:val="0022319D"/>
    <w:rsid w:val="00223621"/>
    <w:rsid w:val="002236EC"/>
    <w:rsid w:val="002248BF"/>
    <w:rsid w:val="00224DDF"/>
    <w:rsid w:val="00224E65"/>
    <w:rsid w:val="00224FA8"/>
    <w:rsid w:val="0022591B"/>
    <w:rsid w:val="00225A89"/>
    <w:rsid w:val="00225FED"/>
    <w:rsid w:val="00226343"/>
    <w:rsid w:val="002265ED"/>
    <w:rsid w:val="00227C3A"/>
    <w:rsid w:val="00230C16"/>
    <w:rsid w:val="0023278E"/>
    <w:rsid w:val="00232CAD"/>
    <w:rsid w:val="002332B5"/>
    <w:rsid w:val="002332BD"/>
    <w:rsid w:val="00233A29"/>
    <w:rsid w:val="00233BD8"/>
    <w:rsid w:val="00233E4D"/>
    <w:rsid w:val="0023569A"/>
    <w:rsid w:val="00237381"/>
    <w:rsid w:val="0023747F"/>
    <w:rsid w:val="002376D6"/>
    <w:rsid w:val="00237A1D"/>
    <w:rsid w:val="00237C64"/>
    <w:rsid w:val="00237CAC"/>
    <w:rsid w:val="002403C8"/>
    <w:rsid w:val="00240468"/>
    <w:rsid w:val="00240FC0"/>
    <w:rsid w:val="00241BD7"/>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B54"/>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531"/>
    <w:rsid w:val="00266FC7"/>
    <w:rsid w:val="00267353"/>
    <w:rsid w:val="002673E5"/>
    <w:rsid w:val="00267B10"/>
    <w:rsid w:val="00267DBD"/>
    <w:rsid w:val="00267F3E"/>
    <w:rsid w:val="00270A38"/>
    <w:rsid w:val="00271105"/>
    <w:rsid w:val="002725D1"/>
    <w:rsid w:val="00272DCB"/>
    <w:rsid w:val="002733AE"/>
    <w:rsid w:val="00273DEF"/>
    <w:rsid w:val="0027418A"/>
    <w:rsid w:val="00275224"/>
    <w:rsid w:val="0027668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77A"/>
    <w:rsid w:val="0029481B"/>
    <w:rsid w:val="002950F3"/>
    <w:rsid w:val="0029511F"/>
    <w:rsid w:val="002976C9"/>
    <w:rsid w:val="00297745"/>
    <w:rsid w:val="00297C24"/>
    <w:rsid w:val="002A01E6"/>
    <w:rsid w:val="002A075B"/>
    <w:rsid w:val="002A0B23"/>
    <w:rsid w:val="002A0C2C"/>
    <w:rsid w:val="002A0D98"/>
    <w:rsid w:val="002A1715"/>
    <w:rsid w:val="002A1C94"/>
    <w:rsid w:val="002A2089"/>
    <w:rsid w:val="002A212C"/>
    <w:rsid w:val="002A27D7"/>
    <w:rsid w:val="002A29B4"/>
    <w:rsid w:val="002A3D55"/>
    <w:rsid w:val="002A4BB7"/>
    <w:rsid w:val="002A4BD9"/>
    <w:rsid w:val="002A4FCB"/>
    <w:rsid w:val="002A50A4"/>
    <w:rsid w:val="002A55B8"/>
    <w:rsid w:val="002A6D70"/>
    <w:rsid w:val="002A6D9D"/>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B6F81"/>
    <w:rsid w:val="002C03A9"/>
    <w:rsid w:val="002C1098"/>
    <w:rsid w:val="002C11E3"/>
    <w:rsid w:val="002C1A13"/>
    <w:rsid w:val="002C272D"/>
    <w:rsid w:val="002C2738"/>
    <w:rsid w:val="002C35EE"/>
    <w:rsid w:val="002C37EE"/>
    <w:rsid w:val="002C3937"/>
    <w:rsid w:val="002C39C2"/>
    <w:rsid w:val="002C3A0B"/>
    <w:rsid w:val="002C404D"/>
    <w:rsid w:val="002C51C8"/>
    <w:rsid w:val="002C6C1A"/>
    <w:rsid w:val="002C6C63"/>
    <w:rsid w:val="002C6D11"/>
    <w:rsid w:val="002D0630"/>
    <w:rsid w:val="002D085E"/>
    <w:rsid w:val="002D090D"/>
    <w:rsid w:val="002D0C95"/>
    <w:rsid w:val="002D14CD"/>
    <w:rsid w:val="002D1E52"/>
    <w:rsid w:val="002D1FD0"/>
    <w:rsid w:val="002D241D"/>
    <w:rsid w:val="002D28DE"/>
    <w:rsid w:val="002D2E56"/>
    <w:rsid w:val="002D35E5"/>
    <w:rsid w:val="002D4067"/>
    <w:rsid w:val="002D4273"/>
    <w:rsid w:val="002D4FFC"/>
    <w:rsid w:val="002D52AA"/>
    <w:rsid w:val="002D5FC5"/>
    <w:rsid w:val="002D6834"/>
    <w:rsid w:val="002D7021"/>
    <w:rsid w:val="002D767D"/>
    <w:rsid w:val="002D7EA0"/>
    <w:rsid w:val="002E0938"/>
    <w:rsid w:val="002E0DE8"/>
    <w:rsid w:val="002E14CE"/>
    <w:rsid w:val="002E19C1"/>
    <w:rsid w:val="002E1F11"/>
    <w:rsid w:val="002E21E4"/>
    <w:rsid w:val="002E22A3"/>
    <w:rsid w:val="002E2727"/>
    <w:rsid w:val="002E2F53"/>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433C"/>
    <w:rsid w:val="002F4398"/>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97F"/>
    <w:rsid w:val="00303E41"/>
    <w:rsid w:val="00304D3E"/>
    <w:rsid w:val="00304F9A"/>
    <w:rsid w:val="00305490"/>
    <w:rsid w:val="003058CD"/>
    <w:rsid w:val="00305AA1"/>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17F3D"/>
    <w:rsid w:val="0032000B"/>
    <w:rsid w:val="003209F4"/>
    <w:rsid w:val="0032118E"/>
    <w:rsid w:val="003215D4"/>
    <w:rsid w:val="00321625"/>
    <w:rsid w:val="00321B02"/>
    <w:rsid w:val="003223C4"/>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AA"/>
    <w:rsid w:val="003333AC"/>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4A1F"/>
    <w:rsid w:val="0037531B"/>
    <w:rsid w:val="003758B7"/>
    <w:rsid w:val="00375CBD"/>
    <w:rsid w:val="00376217"/>
    <w:rsid w:val="0037642E"/>
    <w:rsid w:val="0037647F"/>
    <w:rsid w:val="00376CC9"/>
    <w:rsid w:val="003770EE"/>
    <w:rsid w:val="0037789E"/>
    <w:rsid w:val="00377B2B"/>
    <w:rsid w:val="00377C9E"/>
    <w:rsid w:val="00380261"/>
    <w:rsid w:val="00380853"/>
    <w:rsid w:val="00380B58"/>
    <w:rsid w:val="00380E41"/>
    <w:rsid w:val="00380FBB"/>
    <w:rsid w:val="003812B7"/>
    <w:rsid w:val="00381AEE"/>
    <w:rsid w:val="00382665"/>
    <w:rsid w:val="0038435A"/>
    <w:rsid w:val="00384415"/>
    <w:rsid w:val="00385624"/>
    <w:rsid w:val="00385F40"/>
    <w:rsid w:val="003860AC"/>
    <w:rsid w:val="00386519"/>
    <w:rsid w:val="003865BE"/>
    <w:rsid w:val="00386AC2"/>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353"/>
    <w:rsid w:val="00394878"/>
    <w:rsid w:val="00394D0C"/>
    <w:rsid w:val="00394D21"/>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7288"/>
    <w:rsid w:val="003B7D4C"/>
    <w:rsid w:val="003B7F7D"/>
    <w:rsid w:val="003C03CE"/>
    <w:rsid w:val="003C0FB0"/>
    <w:rsid w:val="003C1EAF"/>
    <w:rsid w:val="003C26AC"/>
    <w:rsid w:val="003C3413"/>
    <w:rsid w:val="003C3715"/>
    <w:rsid w:val="003C3827"/>
    <w:rsid w:val="003C38D3"/>
    <w:rsid w:val="003C40EC"/>
    <w:rsid w:val="003C41B1"/>
    <w:rsid w:val="003C46FE"/>
    <w:rsid w:val="003C4918"/>
    <w:rsid w:val="003C4A30"/>
    <w:rsid w:val="003C4C18"/>
    <w:rsid w:val="003C514A"/>
    <w:rsid w:val="003C6217"/>
    <w:rsid w:val="003C65EA"/>
    <w:rsid w:val="003C66F6"/>
    <w:rsid w:val="003C6F44"/>
    <w:rsid w:val="003C71D6"/>
    <w:rsid w:val="003C7588"/>
    <w:rsid w:val="003C798F"/>
    <w:rsid w:val="003C7BE0"/>
    <w:rsid w:val="003D031D"/>
    <w:rsid w:val="003D0686"/>
    <w:rsid w:val="003D06C8"/>
    <w:rsid w:val="003D08C4"/>
    <w:rsid w:val="003D1F17"/>
    <w:rsid w:val="003D29D1"/>
    <w:rsid w:val="003D2B26"/>
    <w:rsid w:val="003D2B3A"/>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A17"/>
    <w:rsid w:val="003E66D9"/>
    <w:rsid w:val="003E6765"/>
    <w:rsid w:val="003E6DC7"/>
    <w:rsid w:val="003E79DB"/>
    <w:rsid w:val="003F0940"/>
    <w:rsid w:val="003F1005"/>
    <w:rsid w:val="003F164A"/>
    <w:rsid w:val="003F1AD1"/>
    <w:rsid w:val="003F1E1F"/>
    <w:rsid w:val="003F2428"/>
    <w:rsid w:val="003F2C85"/>
    <w:rsid w:val="003F3CC1"/>
    <w:rsid w:val="003F4294"/>
    <w:rsid w:val="003F4DCA"/>
    <w:rsid w:val="003F5027"/>
    <w:rsid w:val="003F508A"/>
    <w:rsid w:val="003F511C"/>
    <w:rsid w:val="003F5534"/>
    <w:rsid w:val="003F607F"/>
    <w:rsid w:val="003F60F1"/>
    <w:rsid w:val="003F7176"/>
    <w:rsid w:val="003F7D6D"/>
    <w:rsid w:val="00400143"/>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4ED7"/>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82"/>
    <w:rsid w:val="00422D12"/>
    <w:rsid w:val="00422E24"/>
    <w:rsid w:val="004230CF"/>
    <w:rsid w:val="0042323C"/>
    <w:rsid w:val="004234C8"/>
    <w:rsid w:val="004240BA"/>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B1B"/>
    <w:rsid w:val="004517BA"/>
    <w:rsid w:val="00451B4F"/>
    <w:rsid w:val="00451CA0"/>
    <w:rsid w:val="00452313"/>
    <w:rsid w:val="0045254A"/>
    <w:rsid w:val="00452EC9"/>
    <w:rsid w:val="004538AB"/>
    <w:rsid w:val="00453914"/>
    <w:rsid w:val="0045457A"/>
    <w:rsid w:val="00454DF9"/>
    <w:rsid w:val="004550DB"/>
    <w:rsid w:val="004553BC"/>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4508"/>
    <w:rsid w:val="00464C61"/>
    <w:rsid w:val="00464CD8"/>
    <w:rsid w:val="00464EC5"/>
    <w:rsid w:val="00465240"/>
    <w:rsid w:val="00465792"/>
    <w:rsid w:val="0046716D"/>
    <w:rsid w:val="00467629"/>
    <w:rsid w:val="00467DCB"/>
    <w:rsid w:val="004705DE"/>
    <w:rsid w:val="00470CF2"/>
    <w:rsid w:val="004711C6"/>
    <w:rsid w:val="00471381"/>
    <w:rsid w:val="00472211"/>
    <w:rsid w:val="004723C7"/>
    <w:rsid w:val="00472D18"/>
    <w:rsid w:val="00472F8B"/>
    <w:rsid w:val="004735A0"/>
    <w:rsid w:val="00473994"/>
    <w:rsid w:val="00473C8A"/>
    <w:rsid w:val="004745BB"/>
    <w:rsid w:val="004762B9"/>
    <w:rsid w:val="00476C21"/>
    <w:rsid w:val="00476D52"/>
    <w:rsid w:val="00477692"/>
    <w:rsid w:val="00477AB6"/>
    <w:rsid w:val="00477BA4"/>
    <w:rsid w:val="00477CCE"/>
    <w:rsid w:val="0048044F"/>
    <w:rsid w:val="00481059"/>
    <w:rsid w:val="00481BC2"/>
    <w:rsid w:val="00481CFA"/>
    <w:rsid w:val="004825DB"/>
    <w:rsid w:val="0048297E"/>
    <w:rsid w:val="00483998"/>
    <w:rsid w:val="00483F6C"/>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39A"/>
    <w:rsid w:val="004932C6"/>
    <w:rsid w:val="004934AA"/>
    <w:rsid w:val="00493D77"/>
    <w:rsid w:val="004943BF"/>
    <w:rsid w:val="004953D4"/>
    <w:rsid w:val="00495E8E"/>
    <w:rsid w:val="00495EE9"/>
    <w:rsid w:val="0049673E"/>
    <w:rsid w:val="004A02A1"/>
    <w:rsid w:val="004A07BA"/>
    <w:rsid w:val="004A0BFB"/>
    <w:rsid w:val="004A2445"/>
    <w:rsid w:val="004A293D"/>
    <w:rsid w:val="004A2945"/>
    <w:rsid w:val="004A2A27"/>
    <w:rsid w:val="004A33D4"/>
    <w:rsid w:val="004A37A0"/>
    <w:rsid w:val="004A38F2"/>
    <w:rsid w:val="004A3E33"/>
    <w:rsid w:val="004A42A3"/>
    <w:rsid w:val="004A4571"/>
    <w:rsid w:val="004A50E8"/>
    <w:rsid w:val="004A5245"/>
    <w:rsid w:val="004A53BF"/>
    <w:rsid w:val="004A541A"/>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C0D4C"/>
    <w:rsid w:val="004C0D97"/>
    <w:rsid w:val="004C12FC"/>
    <w:rsid w:val="004C1999"/>
    <w:rsid w:val="004C1A2A"/>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827"/>
    <w:rsid w:val="004E05EB"/>
    <w:rsid w:val="004E0BC8"/>
    <w:rsid w:val="004E1727"/>
    <w:rsid w:val="004E3B5C"/>
    <w:rsid w:val="004E46D9"/>
    <w:rsid w:val="004E46E5"/>
    <w:rsid w:val="004E475B"/>
    <w:rsid w:val="004E478B"/>
    <w:rsid w:val="004E49E7"/>
    <w:rsid w:val="004E58C4"/>
    <w:rsid w:val="004E5DB3"/>
    <w:rsid w:val="004E5FB0"/>
    <w:rsid w:val="004E608C"/>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1004F"/>
    <w:rsid w:val="00510CA1"/>
    <w:rsid w:val="00510CF7"/>
    <w:rsid w:val="005115B6"/>
    <w:rsid w:val="0051194F"/>
    <w:rsid w:val="0051233B"/>
    <w:rsid w:val="0051254F"/>
    <w:rsid w:val="00512569"/>
    <w:rsid w:val="005125B7"/>
    <w:rsid w:val="00512B45"/>
    <w:rsid w:val="00512E29"/>
    <w:rsid w:val="00513092"/>
    <w:rsid w:val="0051334E"/>
    <w:rsid w:val="00513BD6"/>
    <w:rsid w:val="00513CEA"/>
    <w:rsid w:val="00513DE5"/>
    <w:rsid w:val="00514227"/>
    <w:rsid w:val="0051475F"/>
    <w:rsid w:val="00514A08"/>
    <w:rsid w:val="00514BCF"/>
    <w:rsid w:val="00514CF8"/>
    <w:rsid w:val="00514DB1"/>
    <w:rsid w:val="00515F77"/>
    <w:rsid w:val="005168E2"/>
    <w:rsid w:val="0051717D"/>
    <w:rsid w:val="005175B8"/>
    <w:rsid w:val="00520515"/>
    <w:rsid w:val="00520A44"/>
    <w:rsid w:val="00521690"/>
    <w:rsid w:val="00522486"/>
    <w:rsid w:val="005229FE"/>
    <w:rsid w:val="00522AF2"/>
    <w:rsid w:val="005233A6"/>
    <w:rsid w:val="0052402D"/>
    <w:rsid w:val="005245FC"/>
    <w:rsid w:val="00524794"/>
    <w:rsid w:val="005248FB"/>
    <w:rsid w:val="00524DFF"/>
    <w:rsid w:val="005253B3"/>
    <w:rsid w:val="00525D9C"/>
    <w:rsid w:val="00525EC2"/>
    <w:rsid w:val="00526375"/>
    <w:rsid w:val="005264B2"/>
    <w:rsid w:val="00527384"/>
    <w:rsid w:val="00527CF2"/>
    <w:rsid w:val="00531097"/>
    <w:rsid w:val="005329F3"/>
    <w:rsid w:val="005331A5"/>
    <w:rsid w:val="0053511E"/>
    <w:rsid w:val="00535300"/>
    <w:rsid w:val="0053585F"/>
    <w:rsid w:val="00535921"/>
    <w:rsid w:val="00535E1E"/>
    <w:rsid w:val="00536110"/>
    <w:rsid w:val="005367C5"/>
    <w:rsid w:val="005369B7"/>
    <w:rsid w:val="00536A15"/>
    <w:rsid w:val="00536F65"/>
    <w:rsid w:val="00537CA9"/>
    <w:rsid w:val="00540260"/>
    <w:rsid w:val="00541177"/>
    <w:rsid w:val="00541636"/>
    <w:rsid w:val="005419A4"/>
    <w:rsid w:val="005420CB"/>
    <w:rsid w:val="00542F6F"/>
    <w:rsid w:val="00543333"/>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27B"/>
    <w:rsid w:val="00557A53"/>
    <w:rsid w:val="00557B0B"/>
    <w:rsid w:val="00557B9A"/>
    <w:rsid w:val="005600E5"/>
    <w:rsid w:val="00561CDA"/>
    <w:rsid w:val="00562207"/>
    <w:rsid w:val="005627F4"/>
    <w:rsid w:val="00562E5E"/>
    <w:rsid w:val="00564999"/>
    <w:rsid w:val="00564F97"/>
    <w:rsid w:val="00566BD8"/>
    <w:rsid w:val="00567190"/>
    <w:rsid w:val="005672DC"/>
    <w:rsid w:val="005673D7"/>
    <w:rsid w:val="00570332"/>
    <w:rsid w:val="00570577"/>
    <w:rsid w:val="0057079F"/>
    <w:rsid w:val="00570C75"/>
    <w:rsid w:val="00571255"/>
    <w:rsid w:val="00571C4C"/>
    <w:rsid w:val="00572775"/>
    <w:rsid w:val="0057326E"/>
    <w:rsid w:val="005737F3"/>
    <w:rsid w:val="00573EDD"/>
    <w:rsid w:val="0057410E"/>
    <w:rsid w:val="00574E85"/>
    <w:rsid w:val="005757A0"/>
    <w:rsid w:val="00575A1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216"/>
    <w:rsid w:val="005A0733"/>
    <w:rsid w:val="005A0E1A"/>
    <w:rsid w:val="005A1013"/>
    <w:rsid w:val="005A127F"/>
    <w:rsid w:val="005A1FF8"/>
    <w:rsid w:val="005A25D4"/>
    <w:rsid w:val="005A27E4"/>
    <w:rsid w:val="005A2C92"/>
    <w:rsid w:val="005A32F0"/>
    <w:rsid w:val="005A3C00"/>
    <w:rsid w:val="005A3CEA"/>
    <w:rsid w:val="005A3EDE"/>
    <w:rsid w:val="005A41E6"/>
    <w:rsid w:val="005A4355"/>
    <w:rsid w:val="005A4B00"/>
    <w:rsid w:val="005A7FC0"/>
    <w:rsid w:val="005B00BA"/>
    <w:rsid w:val="005B02B8"/>
    <w:rsid w:val="005B02DE"/>
    <w:rsid w:val="005B0ABF"/>
    <w:rsid w:val="005B0ACE"/>
    <w:rsid w:val="005B0D2C"/>
    <w:rsid w:val="005B10E8"/>
    <w:rsid w:val="005B183B"/>
    <w:rsid w:val="005B201F"/>
    <w:rsid w:val="005B2A0A"/>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51C1"/>
    <w:rsid w:val="005C58D6"/>
    <w:rsid w:val="005C620E"/>
    <w:rsid w:val="005C6496"/>
    <w:rsid w:val="005C6F00"/>
    <w:rsid w:val="005C7031"/>
    <w:rsid w:val="005C7230"/>
    <w:rsid w:val="005C75E1"/>
    <w:rsid w:val="005D0506"/>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1505"/>
    <w:rsid w:val="005F1CF0"/>
    <w:rsid w:val="005F1D21"/>
    <w:rsid w:val="005F2C99"/>
    <w:rsid w:val="005F2D0A"/>
    <w:rsid w:val="005F2E6D"/>
    <w:rsid w:val="005F3608"/>
    <w:rsid w:val="005F3667"/>
    <w:rsid w:val="005F37F3"/>
    <w:rsid w:val="005F47E2"/>
    <w:rsid w:val="005F4DC7"/>
    <w:rsid w:val="005F4FCB"/>
    <w:rsid w:val="005F681D"/>
    <w:rsid w:val="005F708A"/>
    <w:rsid w:val="005F750E"/>
    <w:rsid w:val="005F76C0"/>
    <w:rsid w:val="005F778B"/>
    <w:rsid w:val="006004D7"/>
    <w:rsid w:val="006008F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C4D"/>
    <w:rsid w:val="00625227"/>
    <w:rsid w:val="00625A6B"/>
    <w:rsid w:val="006262B2"/>
    <w:rsid w:val="00626D56"/>
    <w:rsid w:val="00626D9B"/>
    <w:rsid w:val="00626FED"/>
    <w:rsid w:val="00627EEB"/>
    <w:rsid w:val="00627FB9"/>
    <w:rsid w:val="00630A3C"/>
    <w:rsid w:val="00630E46"/>
    <w:rsid w:val="00630EE4"/>
    <w:rsid w:val="0063118F"/>
    <w:rsid w:val="00631AA3"/>
    <w:rsid w:val="00632B65"/>
    <w:rsid w:val="00632DCE"/>
    <w:rsid w:val="00633140"/>
    <w:rsid w:val="00634673"/>
    <w:rsid w:val="00634FDA"/>
    <w:rsid w:val="00635514"/>
    <w:rsid w:val="00636B6D"/>
    <w:rsid w:val="0064085E"/>
    <w:rsid w:val="00640C67"/>
    <w:rsid w:val="00640DAF"/>
    <w:rsid w:val="00640DEC"/>
    <w:rsid w:val="00640DFD"/>
    <w:rsid w:val="00641C1E"/>
    <w:rsid w:val="00642674"/>
    <w:rsid w:val="0064491B"/>
    <w:rsid w:val="00644EAD"/>
    <w:rsid w:val="006454D8"/>
    <w:rsid w:val="00645D17"/>
    <w:rsid w:val="0064606B"/>
    <w:rsid w:val="00646A40"/>
    <w:rsid w:val="00646C2F"/>
    <w:rsid w:val="00647715"/>
    <w:rsid w:val="00647B75"/>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2DED"/>
    <w:rsid w:val="00663711"/>
    <w:rsid w:val="0066373C"/>
    <w:rsid w:val="00663770"/>
    <w:rsid w:val="00663E4A"/>
    <w:rsid w:val="00664B6A"/>
    <w:rsid w:val="00664C54"/>
    <w:rsid w:val="00665949"/>
    <w:rsid w:val="00665F88"/>
    <w:rsid w:val="0066642C"/>
    <w:rsid w:val="006664AE"/>
    <w:rsid w:val="00666867"/>
    <w:rsid w:val="00666ADF"/>
    <w:rsid w:val="00666E30"/>
    <w:rsid w:val="00666E7F"/>
    <w:rsid w:val="00666EC6"/>
    <w:rsid w:val="0066768E"/>
    <w:rsid w:val="00667ED1"/>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573B"/>
    <w:rsid w:val="0068581C"/>
    <w:rsid w:val="00685BD1"/>
    <w:rsid w:val="0068617E"/>
    <w:rsid w:val="00686A3C"/>
    <w:rsid w:val="00687117"/>
    <w:rsid w:val="006872AD"/>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ECC"/>
    <w:rsid w:val="006A3FCC"/>
    <w:rsid w:val="006A4C24"/>
    <w:rsid w:val="006A5587"/>
    <w:rsid w:val="006A64DE"/>
    <w:rsid w:val="006A7545"/>
    <w:rsid w:val="006A77EF"/>
    <w:rsid w:val="006A781A"/>
    <w:rsid w:val="006A7CAE"/>
    <w:rsid w:val="006B0084"/>
    <w:rsid w:val="006B0B1F"/>
    <w:rsid w:val="006B1B72"/>
    <w:rsid w:val="006B1EB3"/>
    <w:rsid w:val="006B330C"/>
    <w:rsid w:val="006B44CC"/>
    <w:rsid w:val="006B4C8D"/>
    <w:rsid w:val="006B500C"/>
    <w:rsid w:val="006B51B4"/>
    <w:rsid w:val="006B577A"/>
    <w:rsid w:val="006B59F0"/>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0682"/>
    <w:rsid w:val="006D0C4B"/>
    <w:rsid w:val="006D1437"/>
    <w:rsid w:val="006D1663"/>
    <w:rsid w:val="006D1825"/>
    <w:rsid w:val="006D1D77"/>
    <w:rsid w:val="006D2B19"/>
    <w:rsid w:val="006D2D36"/>
    <w:rsid w:val="006D3488"/>
    <w:rsid w:val="006D3593"/>
    <w:rsid w:val="006D35E3"/>
    <w:rsid w:val="006D3A77"/>
    <w:rsid w:val="006D3E2D"/>
    <w:rsid w:val="006D5112"/>
    <w:rsid w:val="006D5229"/>
    <w:rsid w:val="006D5446"/>
    <w:rsid w:val="006D5586"/>
    <w:rsid w:val="006D6278"/>
    <w:rsid w:val="006D62C8"/>
    <w:rsid w:val="006D6C03"/>
    <w:rsid w:val="006D742D"/>
    <w:rsid w:val="006E021A"/>
    <w:rsid w:val="006E0C8A"/>
    <w:rsid w:val="006E1B00"/>
    <w:rsid w:val="006E1EE7"/>
    <w:rsid w:val="006E2162"/>
    <w:rsid w:val="006E25A6"/>
    <w:rsid w:val="006E26B2"/>
    <w:rsid w:val="006E29AE"/>
    <w:rsid w:val="006E2E8A"/>
    <w:rsid w:val="006E396A"/>
    <w:rsid w:val="006E3E6F"/>
    <w:rsid w:val="006E46CF"/>
    <w:rsid w:val="006E4AB1"/>
    <w:rsid w:val="006E508D"/>
    <w:rsid w:val="006E52E9"/>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D45"/>
    <w:rsid w:val="006F767D"/>
    <w:rsid w:val="006F7907"/>
    <w:rsid w:val="006F79F1"/>
    <w:rsid w:val="006F7F05"/>
    <w:rsid w:val="00700283"/>
    <w:rsid w:val="007005DE"/>
    <w:rsid w:val="007006DD"/>
    <w:rsid w:val="00700D8B"/>
    <w:rsid w:val="00701479"/>
    <w:rsid w:val="00701D45"/>
    <w:rsid w:val="00702EC5"/>
    <w:rsid w:val="007030F6"/>
    <w:rsid w:val="007033DF"/>
    <w:rsid w:val="00703618"/>
    <w:rsid w:val="00704310"/>
    <w:rsid w:val="007047C8"/>
    <w:rsid w:val="00704ED3"/>
    <w:rsid w:val="00704F09"/>
    <w:rsid w:val="0070548E"/>
    <w:rsid w:val="007054FC"/>
    <w:rsid w:val="00705702"/>
    <w:rsid w:val="00705719"/>
    <w:rsid w:val="00705C0C"/>
    <w:rsid w:val="0070645E"/>
    <w:rsid w:val="00706743"/>
    <w:rsid w:val="007067C1"/>
    <w:rsid w:val="00707070"/>
    <w:rsid w:val="00707213"/>
    <w:rsid w:val="00707256"/>
    <w:rsid w:val="007074DD"/>
    <w:rsid w:val="00710267"/>
    <w:rsid w:val="00710D3B"/>
    <w:rsid w:val="00710D6A"/>
    <w:rsid w:val="00710ECD"/>
    <w:rsid w:val="0071381B"/>
    <w:rsid w:val="00714F05"/>
    <w:rsid w:val="00714F84"/>
    <w:rsid w:val="00715066"/>
    <w:rsid w:val="00715B1F"/>
    <w:rsid w:val="00716A4A"/>
    <w:rsid w:val="00716CA0"/>
    <w:rsid w:val="00717030"/>
    <w:rsid w:val="0071705B"/>
    <w:rsid w:val="0071739D"/>
    <w:rsid w:val="00717606"/>
    <w:rsid w:val="0071762F"/>
    <w:rsid w:val="007205E0"/>
    <w:rsid w:val="00720DAB"/>
    <w:rsid w:val="00722265"/>
    <w:rsid w:val="00723040"/>
    <w:rsid w:val="007239C6"/>
    <w:rsid w:val="00723E59"/>
    <w:rsid w:val="00724740"/>
    <w:rsid w:val="007248AE"/>
    <w:rsid w:val="0072506F"/>
    <w:rsid w:val="00725196"/>
    <w:rsid w:val="00725330"/>
    <w:rsid w:val="0072594F"/>
    <w:rsid w:val="00726826"/>
    <w:rsid w:val="00726904"/>
    <w:rsid w:val="00726935"/>
    <w:rsid w:val="00727D48"/>
    <w:rsid w:val="00730FD2"/>
    <w:rsid w:val="007318E0"/>
    <w:rsid w:val="0073221D"/>
    <w:rsid w:val="007322C5"/>
    <w:rsid w:val="00732424"/>
    <w:rsid w:val="007326D9"/>
    <w:rsid w:val="00732D5D"/>
    <w:rsid w:val="00733160"/>
    <w:rsid w:val="00733387"/>
    <w:rsid w:val="00734888"/>
    <w:rsid w:val="00735621"/>
    <w:rsid w:val="00735D28"/>
    <w:rsid w:val="00737604"/>
    <w:rsid w:val="00740F69"/>
    <w:rsid w:val="007417AB"/>
    <w:rsid w:val="0074250D"/>
    <w:rsid w:val="00743116"/>
    <w:rsid w:val="00743781"/>
    <w:rsid w:val="00743D44"/>
    <w:rsid w:val="00743F6C"/>
    <w:rsid w:val="00744236"/>
    <w:rsid w:val="007447A4"/>
    <w:rsid w:val="00745B4B"/>
    <w:rsid w:val="00746138"/>
    <w:rsid w:val="00746A3F"/>
    <w:rsid w:val="00746AEC"/>
    <w:rsid w:val="00747712"/>
    <w:rsid w:val="007500E6"/>
    <w:rsid w:val="007505B8"/>
    <w:rsid w:val="007505FD"/>
    <w:rsid w:val="00750ADD"/>
    <w:rsid w:val="0075120B"/>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527"/>
    <w:rsid w:val="00763B6D"/>
    <w:rsid w:val="00763EBE"/>
    <w:rsid w:val="007648FD"/>
    <w:rsid w:val="00764D52"/>
    <w:rsid w:val="0076549F"/>
    <w:rsid w:val="00765FC5"/>
    <w:rsid w:val="00766A13"/>
    <w:rsid w:val="00766D09"/>
    <w:rsid w:val="00767DB9"/>
    <w:rsid w:val="00771692"/>
    <w:rsid w:val="007721A0"/>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A36"/>
    <w:rsid w:val="007910B1"/>
    <w:rsid w:val="007933EC"/>
    <w:rsid w:val="00795C07"/>
    <w:rsid w:val="0079778F"/>
    <w:rsid w:val="007A0808"/>
    <w:rsid w:val="007A0912"/>
    <w:rsid w:val="007A266B"/>
    <w:rsid w:val="007A2BB9"/>
    <w:rsid w:val="007A2C84"/>
    <w:rsid w:val="007A2E02"/>
    <w:rsid w:val="007A3500"/>
    <w:rsid w:val="007A3831"/>
    <w:rsid w:val="007A3BB5"/>
    <w:rsid w:val="007A3BDF"/>
    <w:rsid w:val="007A3D40"/>
    <w:rsid w:val="007A4200"/>
    <w:rsid w:val="007A45B7"/>
    <w:rsid w:val="007A59BB"/>
    <w:rsid w:val="007A69AB"/>
    <w:rsid w:val="007A6A31"/>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11B"/>
    <w:rsid w:val="007B585F"/>
    <w:rsid w:val="007B5F3B"/>
    <w:rsid w:val="007B60D4"/>
    <w:rsid w:val="007B6F7B"/>
    <w:rsid w:val="007B7861"/>
    <w:rsid w:val="007B7C4B"/>
    <w:rsid w:val="007C0B89"/>
    <w:rsid w:val="007C0C5C"/>
    <w:rsid w:val="007C0CC2"/>
    <w:rsid w:val="007C1CBE"/>
    <w:rsid w:val="007C22C0"/>
    <w:rsid w:val="007C29A2"/>
    <w:rsid w:val="007C2ADE"/>
    <w:rsid w:val="007C3323"/>
    <w:rsid w:val="007C3551"/>
    <w:rsid w:val="007C3904"/>
    <w:rsid w:val="007C3E1B"/>
    <w:rsid w:val="007C3F30"/>
    <w:rsid w:val="007C4843"/>
    <w:rsid w:val="007C5156"/>
    <w:rsid w:val="007C5308"/>
    <w:rsid w:val="007C6087"/>
    <w:rsid w:val="007C6CC3"/>
    <w:rsid w:val="007C6F6C"/>
    <w:rsid w:val="007C751F"/>
    <w:rsid w:val="007C7E40"/>
    <w:rsid w:val="007C7F99"/>
    <w:rsid w:val="007D032C"/>
    <w:rsid w:val="007D0AE2"/>
    <w:rsid w:val="007D0E9F"/>
    <w:rsid w:val="007D10AA"/>
    <w:rsid w:val="007D17A9"/>
    <w:rsid w:val="007D21F7"/>
    <w:rsid w:val="007D322E"/>
    <w:rsid w:val="007D39BE"/>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CEF"/>
    <w:rsid w:val="007F1856"/>
    <w:rsid w:val="007F1FA8"/>
    <w:rsid w:val="007F2B0C"/>
    <w:rsid w:val="007F31D6"/>
    <w:rsid w:val="007F330A"/>
    <w:rsid w:val="007F41DB"/>
    <w:rsid w:val="007F43B3"/>
    <w:rsid w:val="007F4712"/>
    <w:rsid w:val="007F5CA0"/>
    <w:rsid w:val="007F757D"/>
    <w:rsid w:val="007F7AAA"/>
    <w:rsid w:val="00800502"/>
    <w:rsid w:val="00800B21"/>
    <w:rsid w:val="008010FE"/>
    <w:rsid w:val="008013DD"/>
    <w:rsid w:val="00802FE8"/>
    <w:rsid w:val="00804127"/>
    <w:rsid w:val="00804B97"/>
    <w:rsid w:val="00804FFC"/>
    <w:rsid w:val="0080536D"/>
    <w:rsid w:val="0080617A"/>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632"/>
    <w:rsid w:val="00846922"/>
    <w:rsid w:val="00846E64"/>
    <w:rsid w:val="00847CF0"/>
    <w:rsid w:val="00850A91"/>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BA3"/>
    <w:rsid w:val="008609BE"/>
    <w:rsid w:val="00860E9C"/>
    <w:rsid w:val="00861390"/>
    <w:rsid w:val="008626E0"/>
    <w:rsid w:val="0086284C"/>
    <w:rsid w:val="008633AC"/>
    <w:rsid w:val="008634A7"/>
    <w:rsid w:val="00863B17"/>
    <w:rsid w:val="00864053"/>
    <w:rsid w:val="00864DC3"/>
    <w:rsid w:val="00865893"/>
    <w:rsid w:val="00865A4F"/>
    <w:rsid w:val="008661AD"/>
    <w:rsid w:val="00866691"/>
    <w:rsid w:val="00870095"/>
    <w:rsid w:val="0087074A"/>
    <w:rsid w:val="008708F0"/>
    <w:rsid w:val="008709F3"/>
    <w:rsid w:val="00871E86"/>
    <w:rsid w:val="008721E9"/>
    <w:rsid w:val="0087368F"/>
    <w:rsid w:val="008737E8"/>
    <w:rsid w:val="00873F11"/>
    <w:rsid w:val="00874FF5"/>
    <w:rsid w:val="00875102"/>
    <w:rsid w:val="00875323"/>
    <w:rsid w:val="00875800"/>
    <w:rsid w:val="00875814"/>
    <w:rsid w:val="008758E9"/>
    <w:rsid w:val="00876927"/>
    <w:rsid w:val="00877AD3"/>
    <w:rsid w:val="0088043F"/>
    <w:rsid w:val="00880446"/>
    <w:rsid w:val="00880E1E"/>
    <w:rsid w:val="008813AA"/>
    <w:rsid w:val="00881543"/>
    <w:rsid w:val="00881AAC"/>
    <w:rsid w:val="00881F9A"/>
    <w:rsid w:val="008821E4"/>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863"/>
    <w:rsid w:val="00896A24"/>
    <w:rsid w:val="008973CA"/>
    <w:rsid w:val="00897441"/>
    <w:rsid w:val="008A08DC"/>
    <w:rsid w:val="008A0925"/>
    <w:rsid w:val="008A0C9C"/>
    <w:rsid w:val="008A1BBF"/>
    <w:rsid w:val="008A1D26"/>
    <w:rsid w:val="008A1DAD"/>
    <w:rsid w:val="008A26E6"/>
    <w:rsid w:val="008A2939"/>
    <w:rsid w:val="008A2C16"/>
    <w:rsid w:val="008A3806"/>
    <w:rsid w:val="008A404B"/>
    <w:rsid w:val="008A4B24"/>
    <w:rsid w:val="008A54EA"/>
    <w:rsid w:val="008A5B2B"/>
    <w:rsid w:val="008A6AD1"/>
    <w:rsid w:val="008A6BE6"/>
    <w:rsid w:val="008A7874"/>
    <w:rsid w:val="008A7AF2"/>
    <w:rsid w:val="008B111F"/>
    <w:rsid w:val="008B186A"/>
    <w:rsid w:val="008B2662"/>
    <w:rsid w:val="008B2910"/>
    <w:rsid w:val="008B293C"/>
    <w:rsid w:val="008B2C1B"/>
    <w:rsid w:val="008B2D9F"/>
    <w:rsid w:val="008B37FD"/>
    <w:rsid w:val="008B3C7E"/>
    <w:rsid w:val="008B4A7D"/>
    <w:rsid w:val="008B4DB5"/>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E1A"/>
    <w:rsid w:val="008D123C"/>
    <w:rsid w:val="008D1437"/>
    <w:rsid w:val="008D15D7"/>
    <w:rsid w:val="008D19D8"/>
    <w:rsid w:val="008D21ED"/>
    <w:rsid w:val="008D27F0"/>
    <w:rsid w:val="008D36D7"/>
    <w:rsid w:val="008D3E71"/>
    <w:rsid w:val="008D407C"/>
    <w:rsid w:val="008D4FFC"/>
    <w:rsid w:val="008D5191"/>
    <w:rsid w:val="008D53C7"/>
    <w:rsid w:val="008D6363"/>
    <w:rsid w:val="008D6413"/>
    <w:rsid w:val="008D6E49"/>
    <w:rsid w:val="008D7166"/>
    <w:rsid w:val="008D7D29"/>
    <w:rsid w:val="008E143D"/>
    <w:rsid w:val="008E2299"/>
    <w:rsid w:val="008E2B88"/>
    <w:rsid w:val="008E3B29"/>
    <w:rsid w:val="008E3F59"/>
    <w:rsid w:val="008E546F"/>
    <w:rsid w:val="008E581F"/>
    <w:rsid w:val="008E66A2"/>
    <w:rsid w:val="008E707A"/>
    <w:rsid w:val="008E70C6"/>
    <w:rsid w:val="008E7802"/>
    <w:rsid w:val="008F0154"/>
    <w:rsid w:val="008F01A3"/>
    <w:rsid w:val="008F16A1"/>
    <w:rsid w:val="008F17E7"/>
    <w:rsid w:val="008F1FFE"/>
    <w:rsid w:val="008F2114"/>
    <w:rsid w:val="008F2183"/>
    <w:rsid w:val="008F28B0"/>
    <w:rsid w:val="008F3423"/>
    <w:rsid w:val="008F52E1"/>
    <w:rsid w:val="008F532D"/>
    <w:rsid w:val="008F5385"/>
    <w:rsid w:val="008F63BB"/>
    <w:rsid w:val="008F7037"/>
    <w:rsid w:val="00900EBC"/>
    <w:rsid w:val="00902132"/>
    <w:rsid w:val="009022EE"/>
    <w:rsid w:val="0090290A"/>
    <w:rsid w:val="00903BD6"/>
    <w:rsid w:val="00903DCE"/>
    <w:rsid w:val="009044CE"/>
    <w:rsid w:val="009049CE"/>
    <w:rsid w:val="00905261"/>
    <w:rsid w:val="0090545A"/>
    <w:rsid w:val="00905951"/>
    <w:rsid w:val="009072CE"/>
    <w:rsid w:val="00907976"/>
    <w:rsid w:val="00910CAC"/>
    <w:rsid w:val="00910E36"/>
    <w:rsid w:val="00910F44"/>
    <w:rsid w:val="00911951"/>
    <w:rsid w:val="00912035"/>
    <w:rsid w:val="0091227A"/>
    <w:rsid w:val="0091253E"/>
    <w:rsid w:val="00913A82"/>
    <w:rsid w:val="00914F16"/>
    <w:rsid w:val="00915778"/>
    <w:rsid w:val="009161C4"/>
    <w:rsid w:val="009169E0"/>
    <w:rsid w:val="009178F5"/>
    <w:rsid w:val="00917A73"/>
    <w:rsid w:val="00917A8F"/>
    <w:rsid w:val="00917B7C"/>
    <w:rsid w:val="00917F45"/>
    <w:rsid w:val="00920044"/>
    <w:rsid w:val="00920833"/>
    <w:rsid w:val="0092100C"/>
    <w:rsid w:val="009211C6"/>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1406"/>
    <w:rsid w:val="009415F8"/>
    <w:rsid w:val="00941ACB"/>
    <w:rsid w:val="00941DAF"/>
    <w:rsid w:val="0094252D"/>
    <w:rsid w:val="00942AB2"/>
    <w:rsid w:val="00942D3A"/>
    <w:rsid w:val="0094354C"/>
    <w:rsid w:val="0094373D"/>
    <w:rsid w:val="009443A2"/>
    <w:rsid w:val="009444C9"/>
    <w:rsid w:val="00944902"/>
    <w:rsid w:val="0094514B"/>
    <w:rsid w:val="009453FF"/>
    <w:rsid w:val="009462CB"/>
    <w:rsid w:val="00946351"/>
    <w:rsid w:val="009468D5"/>
    <w:rsid w:val="0094768E"/>
    <w:rsid w:val="00950A3A"/>
    <w:rsid w:val="00950AFE"/>
    <w:rsid w:val="00952951"/>
    <w:rsid w:val="00952DD1"/>
    <w:rsid w:val="00952DDB"/>
    <w:rsid w:val="00953991"/>
    <w:rsid w:val="00953D98"/>
    <w:rsid w:val="0095401B"/>
    <w:rsid w:val="00954C4D"/>
    <w:rsid w:val="0095507B"/>
    <w:rsid w:val="009553C2"/>
    <w:rsid w:val="00955D4D"/>
    <w:rsid w:val="009579C1"/>
    <w:rsid w:val="00957BDB"/>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5AFD"/>
    <w:rsid w:val="00965B1A"/>
    <w:rsid w:val="009661A1"/>
    <w:rsid w:val="00967D31"/>
    <w:rsid w:val="00971665"/>
    <w:rsid w:val="00971678"/>
    <w:rsid w:val="00971691"/>
    <w:rsid w:val="00971E91"/>
    <w:rsid w:val="00972E78"/>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3600"/>
    <w:rsid w:val="0099413B"/>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3B9E"/>
    <w:rsid w:val="009A3CE5"/>
    <w:rsid w:val="009A4D4A"/>
    <w:rsid w:val="009A4FD7"/>
    <w:rsid w:val="009A53EE"/>
    <w:rsid w:val="009A557F"/>
    <w:rsid w:val="009A57A4"/>
    <w:rsid w:val="009A5954"/>
    <w:rsid w:val="009A5F12"/>
    <w:rsid w:val="009A635D"/>
    <w:rsid w:val="009A6CD6"/>
    <w:rsid w:val="009A73D6"/>
    <w:rsid w:val="009A7F93"/>
    <w:rsid w:val="009B008B"/>
    <w:rsid w:val="009B1707"/>
    <w:rsid w:val="009B171D"/>
    <w:rsid w:val="009B2087"/>
    <w:rsid w:val="009B230C"/>
    <w:rsid w:val="009B2693"/>
    <w:rsid w:val="009B31A9"/>
    <w:rsid w:val="009B3CB0"/>
    <w:rsid w:val="009B45E7"/>
    <w:rsid w:val="009B4CCA"/>
    <w:rsid w:val="009B4D07"/>
    <w:rsid w:val="009B4DC8"/>
    <w:rsid w:val="009B4FE4"/>
    <w:rsid w:val="009B5337"/>
    <w:rsid w:val="009B553C"/>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73E2"/>
    <w:rsid w:val="009C750A"/>
    <w:rsid w:val="009C7A96"/>
    <w:rsid w:val="009D0369"/>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259"/>
    <w:rsid w:val="009E55BB"/>
    <w:rsid w:val="009E5CF3"/>
    <w:rsid w:val="009E706E"/>
    <w:rsid w:val="009E771D"/>
    <w:rsid w:val="009E77B4"/>
    <w:rsid w:val="009F0869"/>
    <w:rsid w:val="009F0B53"/>
    <w:rsid w:val="009F11BE"/>
    <w:rsid w:val="009F1761"/>
    <w:rsid w:val="009F21B0"/>
    <w:rsid w:val="009F273B"/>
    <w:rsid w:val="009F275B"/>
    <w:rsid w:val="009F3014"/>
    <w:rsid w:val="009F3148"/>
    <w:rsid w:val="009F36F7"/>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162"/>
    <w:rsid w:val="00A162CA"/>
    <w:rsid w:val="00A172D6"/>
    <w:rsid w:val="00A17CA2"/>
    <w:rsid w:val="00A21010"/>
    <w:rsid w:val="00A21F70"/>
    <w:rsid w:val="00A22092"/>
    <w:rsid w:val="00A229A6"/>
    <w:rsid w:val="00A22AD4"/>
    <w:rsid w:val="00A232D9"/>
    <w:rsid w:val="00A24338"/>
    <w:rsid w:val="00A24746"/>
    <w:rsid w:val="00A24C78"/>
    <w:rsid w:val="00A2574B"/>
    <w:rsid w:val="00A267E9"/>
    <w:rsid w:val="00A27BAE"/>
    <w:rsid w:val="00A27F5C"/>
    <w:rsid w:val="00A30414"/>
    <w:rsid w:val="00A30635"/>
    <w:rsid w:val="00A3082B"/>
    <w:rsid w:val="00A311C6"/>
    <w:rsid w:val="00A3161F"/>
    <w:rsid w:val="00A317AE"/>
    <w:rsid w:val="00A31B7A"/>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6AC"/>
    <w:rsid w:val="00A40BCF"/>
    <w:rsid w:val="00A41360"/>
    <w:rsid w:val="00A41828"/>
    <w:rsid w:val="00A41BB0"/>
    <w:rsid w:val="00A41EBA"/>
    <w:rsid w:val="00A434CC"/>
    <w:rsid w:val="00A43B9E"/>
    <w:rsid w:val="00A43CC8"/>
    <w:rsid w:val="00A4446F"/>
    <w:rsid w:val="00A445EF"/>
    <w:rsid w:val="00A46437"/>
    <w:rsid w:val="00A465B4"/>
    <w:rsid w:val="00A46E5B"/>
    <w:rsid w:val="00A47504"/>
    <w:rsid w:val="00A47C2F"/>
    <w:rsid w:val="00A47E8E"/>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5B11"/>
    <w:rsid w:val="00A663DC"/>
    <w:rsid w:val="00A66775"/>
    <w:rsid w:val="00A67598"/>
    <w:rsid w:val="00A677C3"/>
    <w:rsid w:val="00A67D86"/>
    <w:rsid w:val="00A67F00"/>
    <w:rsid w:val="00A701DA"/>
    <w:rsid w:val="00A7039A"/>
    <w:rsid w:val="00A70FAB"/>
    <w:rsid w:val="00A71063"/>
    <w:rsid w:val="00A71310"/>
    <w:rsid w:val="00A7159F"/>
    <w:rsid w:val="00A71EA8"/>
    <w:rsid w:val="00A72763"/>
    <w:rsid w:val="00A72FFC"/>
    <w:rsid w:val="00A73202"/>
    <w:rsid w:val="00A73537"/>
    <w:rsid w:val="00A73B06"/>
    <w:rsid w:val="00A74F63"/>
    <w:rsid w:val="00A756A1"/>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0A6"/>
    <w:rsid w:val="00AA4621"/>
    <w:rsid w:val="00AA4852"/>
    <w:rsid w:val="00AA4923"/>
    <w:rsid w:val="00AA4E27"/>
    <w:rsid w:val="00AA4F0F"/>
    <w:rsid w:val="00AA5370"/>
    <w:rsid w:val="00AA577C"/>
    <w:rsid w:val="00AA5845"/>
    <w:rsid w:val="00AB002D"/>
    <w:rsid w:val="00AB021C"/>
    <w:rsid w:val="00AB0DB4"/>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290"/>
    <w:rsid w:val="00AC4480"/>
    <w:rsid w:val="00AC4A4A"/>
    <w:rsid w:val="00AC672B"/>
    <w:rsid w:val="00AC69D7"/>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5FE4"/>
    <w:rsid w:val="00AD6277"/>
    <w:rsid w:val="00AD6B2A"/>
    <w:rsid w:val="00AD78B4"/>
    <w:rsid w:val="00AD7C73"/>
    <w:rsid w:val="00AE017C"/>
    <w:rsid w:val="00AE0184"/>
    <w:rsid w:val="00AE08E4"/>
    <w:rsid w:val="00AE0BBD"/>
    <w:rsid w:val="00AE1E69"/>
    <w:rsid w:val="00AE2985"/>
    <w:rsid w:val="00AE2A59"/>
    <w:rsid w:val="00AE2F0E"/>
    <w:rsid w:val="00AE3287"/>
    <w:rsid w:val="00AE3502"/>
    <w:rsid w:val="00AE3E8D"/>
    <w:rsid w:val="00AE42E4"/>
    <w:rsid w:val="00AE46DD"/>
    <w:rsid w:val="00AE484A"/>
    <w:rsid w:val="00AE60B9"/>
    <w:rsid w:val="00AE6106"/>
    <w:rsid w:val="00AE6400"/>
    <w:rsid w:val="00AE6807"/>
    <w:rsid w:val="00AE696C"/>
    <w:rsid w:val="00AE7D71"/>
    <w:rsid w:val="00AE7F64"/>
    <w:rsid w:val="00AE7FDB"/>
    <w:rsid w:val="00AF108D"/>
    <w:rsid w:val="00AF243A"/>
    <w:rsid w:val="00AF27EB"/>
    <w:rsid w:val="00AF2BA1"/>
    <w:rsid w:val="00AF2C5E"/>
    <w:rsid w:val="00AF3225"/>
    <w:rsid w:val="00AF3425"/>
    <w:rsid w:val="00AF3727"/>
    <w:rsid w:val="00AF37F7"/>
    <w:rsid w:val="00AF3A26"/>
    <w:rsid w:val="00AF3BE3"/>
    <w:rsid w:val="00AF40AE"/>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60DA"/>
    <w:rsid w:val="00B164F6"/>
    <w:rsid w:val="00B16DF9"/>
    <w:rsid w:val="00B17467"/>
    <w:rsid w:val="00B1753B"/>
    <w:rsid w:val="00B2009F"/>
    <w:rsid w:val="00B20608"/>
    <w:rsid w:val="00B2061F"/>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26EA4"/>
    <w:rsid w:val="00B30170"/>
    <w:rsid w:val="00B304B6"/>
    <w:rsid w:val="00B30B6F"/>
    <w:rsid w:val="00B30EF3"/>
    <w:rsid w:val="00B31347"/>
    <w:rsid w:val="00B31539"/>
    <w:rsid w:val="00B3167A"/>
    <w:rsid w:val="00B3329F"/>
    <w:rsid w:val="00B3423F"/>
    <w:rsid w:val="00B34CAA"/>
    <w:rsid w:val="00B359BB"/>
    <w:rsid w:val="00B363CA"/>
    <w:rsid w:val="00B364F9"/>
    <w:rsid w:val="00B36A08"/>
    <w:rsid w:val="00B40603"/>
    <w:rsid w:val="00B40A8D"/>
    <w:rsid w:val="00B40DB3"/>
    <w:rsid w:val="00B42058"/>
    <w:rsid w:val="00B42F36"/>
    <w:rsid w:val="00B431EC"/>
    <w:rsid w:val="00B433F9"/>
    <w:rsid w:val="00B4400D"/>
    <w:rsid w:val="00B4475F"/>
    <w:rsid w:val="00B44953"/>
    <w:rsid w:val="00B458FA"/>
    <w:rsid w:val="00B45D99"/>
    <w:rsid w:val="00B46099"/>
    <w:rsid w:val="00B4615D"/>
    <w:rsid w:val="00B4635F"/>
    <w:rsid w:val="00B46710"/>
    <w:rsid w:val="00B46B8B"/>
    <w:rsid w:val="00B46EA3"/>
    <w:rsid w:val="00B4749B"/>
    <w:rsid w:val="00B47989"/>
    <w:rsid w:val="00B50685"/>
    <w:rsid w:val="00B5097F"/>
    <w:rsid w:val="00B50E33"/>
    <w:rsid w:val="00B51121"/>
    <w:rsid w:val="00B52652"/>
    <w:rsid w:val="00B526A2"/>
    <w:rsid w:val="00B54011"/>
    <w:rsid w:val="00B5455F"/>
    <w:rsid w:val="00B5523A"/>
    <w:rsid w:val="00B55274"/>
    <w:rsid w:val="00B554CD"/>
    <w:rsid w:val="00B5575E"/>
    <w:rsid w:val="00B55F08"/>
    <w:rsid w:val="00B561D4"/>
    <w:rsid w:val="00B5628D"/>
    <w:rsid w:val="00B56497"/>
    <w:rsid w:val="00B56858"/>
    <w:rsid w:val="00B57131"/>
    <w:rsid w:val="00B57282"/>
    <w:rsid w:val="00B574BE"/>
    <w:rsid w:val="00B57692"/>
    <w:rsid w:val="00B57F13"/>
    <w:rsid w:val="00B603CF"/>
    <w:rsid w:val="00B60E23"/>
    <w:rsid w:val="00B6139A"/>
    <w:rsid w:val="00B61D36"/>
    <w:rsid w:val="00B62280"/>
    <w:rsid w:val="00B6235F"/>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0CE"/>
    <w:rsid w:val="00B8229B"/>
    <w:rsid w:val="00B8401A"/>
    <w:rsid w:val="00B8473B"/>
    <w:rsid w:val="00B84EE9"/>
    <w:rsid w:val="00B84F76"/>
    <w:rsid w:val="00B8528B"/>
    <w:rsid w:val="00B855DC"/>
    <w:rsid w:val="00B85B87"/>
    <w:rsid w:val="00B85FEE"/>
    <w:rsid w:val="00B865BE"/>
    <w:rsid w:val="00B867A4"/>
    <w:rsid w:val="00B86849"/>
    <w:rsid w:val="00B907B1"/>
    <w:rsid w:val="00B90F54"/>
    <w:rsid w:val="00B91215"/>
    <w:rsid w:val="00B91799"/>
    <w:rsid w:val="00B91D87"/>
    <w:rsid w:val="00B9279B"/>
    <w:rsid w:val="00B934E9"/>
    <w:rsid w:val="00B9354C"/>
    <w:rsid w:val="00B939A3"/>
    <w:rsid w:val="00B93D2C"/>
    <w:rsid w:val="00B942FA"/>
    <w:rsid w:val="00B942FB"/>
    <w:rsid w:val="00B95414"/>
    <w:rsid w:val="00B957D3"/>
    <w:rsid w:val="00B957D4"/>
    <w:rsid w:val="00B95FBA"/>
    <w:rsid w:val="00B96DA1"/>
    <w:rsid w:val="00B972C1"/>
    <w:rsid w:val="00B97815"/>
    <w:rsid w:val="00B97A54"/>
    <w:rsid w:val="00B97ED6"/>
    <w:rsid w:val="00BA0F2F"/>
    <w:rsid w:val="00BA0F74"/>
    <w:rsid w:val="00BA153D"/>
    <w:rsid w:val="00BA15C3"/>
    <w:rsid w:val="00BA1E39"/>
    <w:rsid w:val="00BA2F24"/>
    <w:rsid w:val="00BA3CAE"/>
    <w:rsid w:val="00BA440F"/>
    <w:rsid w:val="00BA4BE0"/>
    <w:rsid w:val="00BA4CCE"/>
    <w:rsid w:val="00BA50EE"/>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70DA"/>
    <w:rsid w:val="00BB7320"/>
    <w:rsid w:val="00BB7644"/>
    <w:rsid w:val="00BB7708"/>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C6F"/>
    <w:rsid w:val="00BE37AD"/>
    <w:rsid w:val="00BE3F1E"/>
    <w:rsid w:val="00BE3FCD"/>
    <w:rsid w:val="00BE53C0"/>
    <w:rsid w:val="00BE557D"/>
    <w:rsid w:val="00BE55D6"/>
    <w:rsid w:val="00BE60F5"/>
    <w:rsid w:val="00BE675B"/>
    <w:rsid w:val="00BE67BE"/>
    <w:rsid w:val="00BE6887"/>
    <w:rsid w:val="00BE6895"/>
    <w:rsid w:val="00BE6B86"/>
    <w:rsid w:val="00BE6C2F"/>
    <w:rsid w:val="00BE705F"/>
    <w:rsid w:val="00BE7545"/>
    <w:rsid w:val="00BE76F3"/>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860"/>
    <w:rsid w:val="00C0375C"/>
    <w:rsid w:val="00C03BAA"/>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764F"/>
    <w:rsid w:val="00C3034F"/>
    <w:rsid w:val="00C304AD"/>
    <w:rsid w:val="00C311B2"/>
    <w:rsid w:val="00C31DB0"/>
    <w:rsid w:val="00C31FF7"/>
    <w:rsid w:val="00C32DED"/>
    <w:rsid w:val="00C33426"/>
    <w:rsid w:val="00C34E36"/>
    <w:rsid w:val="00C35058"/>
    <w:rsid w:val="00C3548A"/>
    <w:rsid w:val="00C35716"/>
    <w:rsid w:val="00C3752F"/>
    <w:rsid w:val="00C4150D"/>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6FE"/>
    <w:rsid w:val="00C75BE4"/>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69C"/>
    <w:rsid w:val="00C86771"/>
    <w:rsid w:val="00C867CF"/>
    <w:rsid w:val="00C86998"/>
    <w:rsid w:val="00C86DAE"/>
    <w:rsid w:val="00C936AA"/>
    <w:rsid w:val="00C939EE"/>
    <w:rsid w:val="00C950FE"/>
    <w:rsid w:val="00C9523A"/>
    <w:rsid w:val="00C95990"/>
    <w:rsid w:val="00C96340"/>
    <w:rsid w:val="00C96B37"/>
    <w:rsid w:val="00C96F46"/>
    <w:rsid w:val="00C97B6E"/>
    <w:rsid w:val="00CA093E"/>
    <w:rsid w:val="00CA0EBD"/>
    <w:rsid w:val="00CA1018"/>
    <w:rsid w:val="00CA17FD"/>
    <w:rsid w:val="00CA1C70"/>
    <w:rsid w:val="00CA242C"/>
    <w:rsid w:val="00CA3A4A"/>
    <w:rsid w:val="00CA3B2D"/>
    <w:rsid w:val="00CA41BA"/>
    <w:rsid w:val="00CA4940"/>
    <w:rsid w:val="00CA49EE"/>
    <w:rsid w:val="00CA4A1A"/>
    <w:rsid w:val="00CA59B7"/>
    <w:rsid w:val="00CA5A76"/>
    <w:rsid w:val="00CA736A"/>
    <w:rsid w:val="00CB02ED"/>
    <w:rsid w:val="00CB077B"/>
    <w:rsid w:val="00CB1AF8"/>
    <w:rsid w:val="00CB1FFE"/>
    <w:rsid w:val="00CB3696"/>
    <w:rsid w:val="00CB3AD0"/>
    <w:rsid w:val="00CB3E50"/>
    <w:rsid w:val="00CB44FE"/>
    <w:rsid w:val="00CB46AA"/>
    <w:rsid w:val="00CB56D1"/>
    <w:rsid w:val="00CB5A5D"/>
    <w:rsid w:val="00CB5B91"/>
    <w:rsid w:val="00CB62BB"/>
    <w:rsid w:val="00CB6440"/>
    <w:rsid w:val="00CB6629"/>
    <w:rsid w:val="00CB67AF"/>
    <w:rsid w:val="00CB67CF"/>
    <w:rsid w:val="00CB6908"/>
    <w:rsid w:val="00CB69BD"/>
    <w:rsid w:val="00CB73C7"/>
    <w:rsid w:val="00CB73F4"/>
    <w:rsid w:val="00CB7F9C"/>
    <w:rsid w:val="00CC05BF"/>
    <w:rsid w:val="00CC07EF"/>
    <w:rsid w:val="00CC0A01"/>
    <w:rsid w:val="00CC0E08"/>
    <w:rsid w:val="00CC0F04"/>
    <w:rsid w:val="00CC14F7"/>
    <w:rsid w:val="00CC15D8"/>
    <w:rsid w:val="00CC16BF"/>
    <w:rsid w:val="00CC1A33"/>
    <w:rsid w:val="00CC1D49"/>
    <w:rsid w:val="00CC1E79"/>
    <w:rsid w:val="00CC3874"/>
    <w:rsid w:val="00CC4E75"/>
    <w:rsid w:val="00CC608C"/>
    <w:rsid w:val="00CC67F1"/>
    <w:rsid w:val="00CC7C98"/>
    <w:rsid w:val="00CD0242"/>
    <w:rsid w:val="00CD0340"/>
    <w:rsid w:val="00CD0344"/>
    <w:rsid w:val="00CD0ED9"/>
    <w:rsid w:val="00CD150A"/>
    <w:rsid w:val="00CD1E96"/>
    <w:rsid w:val="00CD1FFC"/>
    <w:rsid w:val="00CD20FB"/>
    <w:rsid w:val="00CD3505"/>
    <w:rsid w:val="00CD37A2"/>
    <w:rsid w:val="00CD3B91"/>
    <w:rsid w:val="00CD419E"/>
    <w:rsid w:val="00CD4A6B"/>
    <w:rsid w:val="00CD625A"/>
    <w:rsid w:val="00CD65F2"/>
    <w:rsid w:val="00CD6691"/>
    <w:rsid w:val="00CD693F"/>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6D8"/>
    <w:rsid w:val="00CF2B1E"/>
    <w:rsid w:val="00CF2D16"/>
    <w:rsid w:val="00CF2EBB"/>
    <w:rsid w:val="00CF3053"/>
    <w:rsid w:val="00CF3339"/>
    <w:rsid w:val="00CF3948"/>
    <w:rsid w:val="00CF3B4A"/>
    <w:rsid w:val="00CF4011"/>
    <w:rsid w:val="00CF4C6D"/>
    <w:rsid w:val="00CF5CCC"/>
    <w:rsid w:val="00CF5D82"/>
    <w:rsid w:val="00CF5EA0"/>
    <w:rsid w:val="00CF6292"/>
    <w:rsid w:val="00CF66B0"/>
    <w:rsid w:val="00CF79B3"/>
    <w:rsid w:val="00CF7DCD"/>
    <w:rsid w:val="00CF7F36"/>
    <w:rsid w:val="00CF7FF4"/>
    <w:rsid w:val="00D00C86"/>
    <w:rsid w:val="00D00E49"/>
    <w:rsid w:val="00D013B3"/>
    <w:rsid w:val="00D01A91"/>
    <w:rsid w:val="00D01BCE"/>
    <w:rsid w:val="00D028D7"/>
    <w:rsid w:val="00D0332C"/>
    <w:rsid w:val="00D036A3"/>
    <w:rsid w:val="00D04138"/>
    <w:rsid w:val="00D046E3"/>
    <w:rsid w:val="00D059CA"/>
    <w:rsid w:val="00D06317"/>
    <w:rsid w:val="00D06C25"/>
    <w:rsid w:val="00D06F99"/>
    <w:rsid w:val="00D0717E"/>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31B6"/>
    <w:rsid w:val="00D237D0"/>
    <w:rsid w:val="00D23B3B"/>
    <w:rsid w:val="00D24A03"/>
    <w:rsid w:val="00D24EF5"/>
    <w:rsid w:val="00D26873"/>
    <w:rsid w:val="00D26980"/>
    <w:rsid w:val="00D269A8"/>
    <w:rsid w:val="00D26C65"/>
    <w:rsid w:val="00D27214"/>
    <w:rsid w:val="00D30CDC"/>
    <w:rsid w:val="00D30FE8"/>
    <w:rsid w:val="00D311CC"/>
    <w:rsid w:val="00D31C27"/>
    <w:rsid w:val="00D32083"/>
    <w:rsid w:val="00D325F3"/>
    <w:rsid w:val="00D3285F"/>
    <w:rsid w:val="00D32C31"/>
    <w:rsid w:val="00D33956"/>
    <w:rsid w:val="00D3399D"/>
    <w:rsid w:val="00D339EC"/>
    <w:rsid w:val="00D34CA0"/>
    <w:rsid w:val="00D34DC8"/>
    <w:rsid w:val="00D351A2"/>
    <w:rsid w:val="00D351A4"/>
    <w:rsid w:val="00D35326"/>
    <w:rsid w:val="00D3541B"/>
    <w:rsid w:val="00D35AA8"/>
    <w:rsid w:val="00D37ED2"/>
    <w:rsid w:val="00D40591"/>
    <w:rsid w:val="00D4106B"/>
    <w:rsid w:val="00D41167"/>
    <w:rsid w:val="00D41BC3"/>
    <w:rsid w:val="00D43FA2"/>
    <w:rsid w:val="00D443C4"/>
    <w:rsid w:val="00D4640A"/>
    <w:rsid w:val="00D46FA0"/>
    <w:rsid w:val="00D47294"/>
    <w:rsid w:val="00D472AC"/>
    <w:rsid w:val="00D47B6A"/>
    <w:rsid w:val="00D504D1"/>
    <w:rsid w:val="00D50633"/>
    <w:rsid w:val="00D506C8"/>
    <w:rsid w:val="00D50744"/>
    <w:rsid w:val="00D53B4E"/>
    <w:rsid w:val="00D540CE"/>
    <w:rsid w:val="00D54535"/>
    <w:rsid w:val="00D546AC"/>
    <w:rsid w:val="00D54C97"/>
    <w:rsid w:val="00D55430"/>
    <w:rsid w:val="00D5596D"/>
    <w:rsid w:val="00D55E5B"/>
    <w:rsid w:val="00D56524"/>
    <w:rsid w:val="00D56E41"/>
    <w:rsid w:val="00D57724"/>
    <w:rsid w:val="00D60789"/>
    <w:rsid w:val="00D617E3"/>
    <w:rsid w:val="00D6283F"/>
    <w:rsid w:val="00D62C62"/>
    <w:rsid w:val="00D62DA6"/>
    <w:rsid w:val="00D6321D"/>
    <w:rsid w:val="00D6354E"/>
    <w:rsid w:val="00D636D8"/>
    <w:rsid w:val="00D63889"/>
    <w:rsid w:val="00D639B1"/>
    <w:rsid w:val="00D63D15"/>
    <w:rsid w:val="00D63DE4"/>
    <w:rsid w:val="00D64F72"/>
    <w:rsid w:val="00D65504"/>
    <w:rsid w:val="00D656FF"/>
    <w:rsid w:val="00D67B84"/>
    <w:rsid w:val="00D72140"/>
    <w:rsid w:val="00D72D6E"/>
    <w:rsid w:val="00D72D9C"/>
    <w:rsid w:val="00D738E8"/>
    <w:rsid w:val="00D73C74"/>
    <w:rsid w:val="00D748A7"/>
    <w:rsid w:val="00D757FB"/>
    <w:rsid w:val="00D760B6"/>
    <w:rsid w:val="00D7681A"/>
    <w:rsid w:val="00D76C16"/>
    <w:rsid w:val="00D77957"/>
    <w:rsid w:val="00D779A3"/>
    <w:rsid w:val="00D77D1B"/>
    <w:rsid w:val="00D77DC0"/>
    <w:rsid w:val="00D80270"/>
    <w:rsid w:val="00D814FD"/>
    <w:rsid w:val="00D81636"/>
    <w:rsid w:val="00D818A8"/>
    <w:rsid w:val="00D82F4E"/>
    <w:rsid w:val="00D8318A"/>
    <w:rsid w:val="00D83209"/>
    <w:rsid w:val="00D833BC"/>
    <w:rsid w:val="00D8372F"/>
    <w:rsid w:val="00D8378A"/>
    <w:rsid w:val="00D839F4"/>
    <w:rsid w:val="00D83F54"/>
    <w:rsid w:val="00D84410"/>
    <w:rsid w:val="00D84BFD"/>
    <w:rsid w:val="00D84C7A"/>
    <w:rsid w:val="00D85827"/>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4F73"/>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0AC"/>
    <w:rsid w:val="00DD3F0A"/>
    <w:rsid w:val="00DD4010"/>
    <w:rsid w:val="00DD453D"/>
    <w:rsid w:val="00DD5026"/>
    <w:rsid w:val="00DD5204"/>
    <w:rsid w:val="00DD52AD"/>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6C"/>
    <w:rsid w:val="00DE4274"/>
    <w:rsid w:val="00DE439D"/>
    <w:rsid w:val="00DE4C9A"/>
    <w:rsid w:val="00DE5D8C"/>
    <w:rsid w:val="00DE7380"/>
    <w:rsid w:val="00DE74B6"/>
    <w:rsid w:val="00DE7A74"/>
    <w:rsid w:val="00DE7ABB"/>
    <w:rsid w:val="00DE7F8C"/>
    <w:rsid w:val="00DF01BD"/>
    <w:rsid w:val="00DF0B67"/>
    <w:rsid w:val="00DF1A3F"/>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691"/>
    <w:rsid w:val="00E14902"/>
    <w:rsid w:val="00E14EEC"/>
    <w:rsid w:val="00E150E6"/>
    <w:rsid w:val="00E154E7"/>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0FE8"/>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6623"/>
    <w:rsid w:val="00E40541"/>
    <w:rsid w:val="00E41B1D"/>
    <w:rsid w:val="00E41EB1"/>
    <w:rsid w:val="00E42762"/>
    <w:rsid w:val="00E42CDB"/>
    <w:rsid w:val="00E42FE9"/>
    <w:rsid w:val="00E43FD9"/>
    <w:rsid w:val="00E444FA"/>
    <w:rsid w:val="00E45011"/>
    <w:rsid w:val="00E4549E"/>
    <w:rsid w:val="00E45AFC"/>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74A"/>
    <w:rsid w:val="00E54EDF"/>
    <w:rsid w:val="00E55217"/>
    <w:rsid w:val="00E55A1E"/>
    <w:rsid w:val="00E56038"/>
    <w:rsid w:val="00E578D3"/>
    <w:rsid w:val="00E57FAD"/>
    <w:rsid w:val="00E604F4"/>
    <w:rsid w:val="00E60BCC"/>
    <w:rsid w:val="00E60D00"/>
    <w:rsid w:val="00E61017"/>
    <w:rsid w:val="00E61107"/>
    <w:rsid w:val="00E615E1"/>
    <w:rsid w:val="00E62461"/>
    <w:rsid w:val="00E6288A"/>
    <w:rsid w:val="00E63881"/>
    <w:rsid w:val="00E6454A"/>
    <w:rsid w:val="00E64618"/>
    <w:rsid w:val="00E65283"/>
    <w:rsid w:val="00E656EA"/>
    <w:rsid w:val="00E6582B"/>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D6B"/>
    <w:rsid w:val="00E72745"/>
    <w:rsid w:val="00E727C4"/>
    <w:rsid w:val="00E72B44"/>
    <w:rsid w:val="00E73253"/>
    <w:rsid w:val="00E739AE"/>
    <w:rsid w:val="00E73E83"/>
    <w:rsid w:val="00E73EBD"/>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4AD4"/>
    <w:rsid w:val="00E85491"/>
    <w:rsid w:val="00E864E5"/>
    <w:rsid w:val="00E87385"/>
    <w:rsid w:val="00E8740A"/>
    <w:rsid w:val="00E87CEF"/>
    <w:rsid w:val="00E9057E"/>
    <w:rsid w:val="00E90A6A"/>
    <w:rsid w:val="00E90A7D"/>
    <w:rsid w:val="00E91855"/>
    <w:rsid w:val="00E91B44"/>
    <w:rsid w:val="00E92AB6"/>
    <w:rsid w:val="00E92AFF"/>
    <w:rsid w:val="00E9325B"/>
    <w:rsid w:val="00E94596"/>
    <w:rsid w:val="00E94774"/>
    <w:rsid w:val="00E95130"/>
    <w:rsid w:val="00E9516D"/>
    <w:rsid w:val="00E956A3"/>
    <w:rsid w:val="00E95763"/>
    <w:rsid w:val="00E95A71"/>
    <w:rsid w:val="00E963B0"/>
    <w:rsid w:val="00E96BEA"/>
    <w:rsid w:val="00E96FA6"/>
    <w:rsid w:val="00E970A4"/>
    <w:rsid w:val="00E97105"/>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BCE"/>
    <w:rsid w:val="00ED1B0B"/>
    <w:rsid w:val="00ED1F42"/>
    <w:rsid w:val="00ED297E"/>
    <w:rsid w:val="00ED30D1"/>
    <w:rsid w:val="00ED319F"/>
    <w:rsid w:val="00ED3390"/>
    <w:rsid w:val="00ED33C8"/>
    <w:rsid w:val="00ED3515"/>
    <w:rsid w:val="00ED3E2F"/>
    <w:rsid w:val="00ED4785"/>
    <w:rsid w:val="00ED4BED"/>
    <w:rsid w:val="00ED547C"/>
    <w:rsid w:val="00ED56E6"/>
    <w:rsid w:val="00ED5D97"/>
    <w:rsid w:val="00ED6A6C"/>
    <w:rsid w:val="00ED6CD0"/>
    <w:rsid w:val="00ED6D89"/>
    <w:rsid w:val="00EE03E5"/>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4495"/>
    <w:rsid w:val="00F050CC"/>
    <w:rsid w:val="00F05302"/>
    <w:rsid w:val="00F05CE0"/>
    <w:rsid w:val="00F05EE2"/>
    <w:rsid w:val="00F064D1"/>
    <w:rsid w:val="00F06F64"/>
    <w:rsid w:val="00F071A9"/>
    <w:rsid w:val="00F077F6"/>
    <w:rsid w:val="00F07A2F"/>
    <w:rsid w:val="00F07AB1"/>
    <w:rsid w:val="00F07C4B"/>
    <w:rsid w:val="00F11C7F"/>
    <w:rsid w:val="00F11F0E"/>
    <w:rsid w:val="00F12186"/>
    <w:rsid w:val="00F12D6C"/>
    <w:rsid w:val="00F12F27"/>
    <w:rsid w:val="00F131EF"/>
    <w:rsid w:val="00F13353"/>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1FFE"/>
    <w:rsid w:val="00F33921"/>
    <w:rsid w:val="00F33BDB"/>
    <w:rsid w:val="00F34299"/>
    <w:rsid w:val="00F34E93"/>
    <w:rsid w:val="00F350AA"/>
    <w:rsid w:val="00F3594C"/>
    <w:rsid w:val="00F35DCF"/>
    <w:rsid w:val="00F35DFC"/>
    <w:rsid w:val="00F404DB"/>
    <w:rsid w:val="00F40BF3"/>
    <w:rsid w:val="00F40DCC"/>
    <w:rsid w:val="00F410C5"/>
    <w:rsid w:val="00F412C5"/>
    <w:rsid w:val="00F425B1"/>
    <w:rsid w:val="00F42E32"/>
    <w:rsid w:val="00F43127"/>
    <w:rsid w:val="00F4391A"/>
    <w:rsid w:val="00F43F8D"/>
    <w:rsid w:val="00F4433D"/>
    <w:rsid w:val="00F449B8"/>
    <w:rsid w:val="00F46ABC"/>
    <w:rsid w:val="00F46B83"/>
    <w:rsid w:val="00F46BAD"/>
    <w:rsid w:val="00F46DC0"/>
    <w:rsid w:val="00F46EF3"/>
    <w:rsid w:val="00F47072"/>
    <w:rsid w:val="00F478E6"/>
    <w:rsid w:val="00F47C97"/>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122"/>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6EC"/>
    <w:rsid w:val="00F909CF"/>
    <w:rsid w:val="00F90C56"/>
    <w:rsid w:val="00F9130E"/>
    <w:rsid w:val="00F9193B"/>
    <w:rsid w:val="00F91BD4"/>
    <w:rsid w:val="00F92241"/>
    <w:rsid w:val="00F92E29"/>
    <w:rsid w:val="00F92FD2"/>
    <w:rsid w:val="00F930F1"/>
    <w:rsid w:val="00F935A3"/>
    <w:rsid w:val="00F937C1"/>
    <w:rsid w:val="00F93BC7"/>
    <w:rsid w:val="00F9519F"/>
    <w:rsid w:val="00F957B0"/>
    <w:rsid w:val="00F97D80"/>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6C94"/>
    <w:rsid w:val="00FC7383"/>
    <w:rsid w:val="00FC7751"/>
    <w:rsid w:val="00FD04C7"/>
    <w:rsid w:val="00FD07CA"/>
    <w:rsid w:val="00FD0E09"/>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B95"/>
    <w:rsid w:val="00FE61F8"/>
    <w:rsid w:val="00FE6567"/>
    <w:rsid w:val="00FE65BE"/>
    <w:rsid w:val="00FE7C50"/>
    <w:rsid w:val="00FF1736"/>
    <w:rsid w:val="00FF2038"/>
    <w:rsid w:val="00FF2862"/>
    <w:rsid w:val="00FF2DF8"/>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50947381">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2497865">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8853390">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18197693">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7500834">
      <w:bodyDiv w:val="1"/>
      <w:marLeft w:val="0"/>
      <w:marRight w:val="0"/>
      <w:marTop w:val="0"/>
      <w:marBottom w:val="0"/>
      <w:divBdr>
        <w:top w:val="none" w:sz="0" w:space="0" w:color="auto"/>
        <w:left w:val="none" w:sz="0" w:space="0" w:color="auto"/>
        <w:bottom w:val="none" w:sz="0" w:space="0" w:color="auto"/>
        <w:right w:val="none" w:sz="0" w:space="0" w:color="auto"/>
      </w:divBdr>
      <w:divsChild>
        <w:div w:id="1883051395">
          <w:marLeft w:val="1166"/>
          <w:marRight w:val="0"/>
          <w:marTop w:val="100"/>
          <w:marBottom w:val="0"/>
          <w:divBdr>
            <w:top w:val="none" w:sz="0" w:space="0" w:color="auto"/>
            <w:left w:val="none" w:sz="0" w:space="0" w:color="auto"/>
            <w:bottom w:val="none" w:sz="0" w:space="0" w:color="auto"/>
            <w:right w:val="none" w:sz="0" w:space="0" w:color="auto"/>
          </w:divBdr>
        </w:div>
      </w:divsChild>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erciaux.celca.caisse-epargne.fr/download/329/lutte-anti-resiliation/7789/lutte-anti-resiliation.xlsx" TargetMode="External"/><Relationship Id="rId18" Type="http://schemas.openxmlformats.org/officeDocument/2006/relationships/hyperlink" Target="http://commerciaux.celca.caisse-epargne.fr/download/1294/2018/7536/news-jeunes_mars.pdf" TargetMode="External"/><Relationship Id="rId26" Type="http://schemas.openxmlformats.org/officeDocument/2006/relationships/hyperlink" Target="http://commerciaux.celca.caisse-epargne.fr/download/1176/documents-hors-arbo-2/5429/delai-de-traitement-bdd-dircred-2017.xlsx" TargetMode="External"/><Relationship Id="rId3" Type="http://schemas.openxmlformats.org/officeDocument/2006/relationships/styles" Target="styles.xml"/><Relationship Id="rId21" Type="http://schemas.openxmlformats.org/officeDocument/2006/relationships/hyperlink" Target="http://commerciaux.celca.caisse-epargne.fr/download/1276/2018/7767/2018_04_05_-hdj-mycredimmo-instruction.pptx" TargetMode="External"/><Relationship Id="rId7" Type="http://schemas.openxmlformats.org/officeDocument/2006/relationships/footnotes" Target="footnotes.xml"/><Relationship Id="rId12" Type="http://schemas.openxmlformats.org/officeDocument/2006/relationships/hyperlink" Target="http://commerciaux.celca.caisse-epargne.fr/download/267/pel-en-non-respect/7788/pel-potentiellement-en-non-respect.xlsx" TargetMode="External"/><Relationship Id="rId17" Type="http://schemas.openxmlformats.org/officeDocument/2006/relationships/hyperlink" Target="http://wnsgprw1.celca.caisse-epargne.fr/app/bci/INF/DMA_INF_N025_18_LEP.pdf" TargetMode="External"/><Relationship Id="rId25" Type="http://schemas.openxmlformats.org/officeDocument/2006/relationships/hyperlink" Target="http://commerciaux.celca.caisse-epargne.fr/download/1293/iris/7794/suivi-commercialisation-iris.xlsx" TargetMode="External"/><Relationship Id="rId2" Type="http://schemas.openxmlformats.org/officeDocument/2006/relationships/numbering" Target="numbering.xml"/><Relationship Id="rId16" Type="http://schemas.openxmlformats.org/officeDocument/2006/relationships/hyperlink" Target="http://commerciaux.celca.caisse-epargne.fr/download/295/livret-a-ldds/7792/rdc-livrets-a-cloture-a-la-concurrence-mars-2018.xlsx" TargetMode="External"/><Relationship Id="rId20" Type="http://schemas.openxmlformats.org/officeDocument/2006/relationships/hyperlink" Target="http://commerciaux.celca.caisse-epargne.fr/download/29/hdj-de-la-semaine/7769/2018_04_12_-hdj-nouvelle-tarification-saccef-2.pptx"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download/1157/fichiers-a-traiter/4147/mb_dossiers-domilis-a-saisir-mode-operatoire.docx" TargetMode="External"/><Relationship Id="rId24" Type="http://schemas.openxmlformats.org/officeDocument/2006/relationships/hyperlink" Target="http://commerciaux.celca.caisse-epargne.fr/download/236/oav/7756/suivi-mb-isilis-banque-darrivee-mars18.xls" TargetMode="External"/><Relationship Id="rId5" Type="http://schemas.openxmlformats.org/officeDocument/2006/relationships/settings" Target="settings.xml"/><Relationship Id="rId15" Type="http://schemas.openxmlformats.org/officeDocument/2006/relationships/hyperlink" Target="http://wnsgprw1.celca.caisse-epargne.fr/app/bci/INF/DSB_INF_17_05.pdf" TargetMode="External"/><Relationship Id="rId23" Type="http://schemas.openxmlformats.org/officeDocument/2006/relationships/hyperlink" Target="http://commerciaux.celca.caisse-epargne.fr/download/1373/directive-mif-ii/7798/pros-mif-2.pptx" TargetMode="External"/><Relationship Id="rId28" Type="http://schemas.openxmlformats.org/officeDocument/2006/relationships/fontTable" Target="fontTable.xml"/><Relationship Id="rId10" Type="http://schemas.openxmlformats.org/officeDocument/2006/relationships/hyperlink" Target="http://commerciaux.celca.caisse-epargne.fr/download/1157/fichiers-a-traiter/4960/mb_dossiers-domilis-a-saisir.xls" TargetMode="External"/><Relationship Id="rId19" Type="http://schemas.openxmlformats.org/officeDocument/2006/relationships/hyperlink" Target="mailto:serviceclient.saccef@c-garanties.com" TargetMode="External"/><Relationship Id="rId4" Type="http://schemas.microsoft.com/office/2007/relationships/stylesWithEffects" Target="stylesWithEffects.xml"/><Relationship Id="rId9" Type="http://schemas.openxmlformats.org/officeDocument/2006/relationships/hyperlink" Target="http://commerciaux.celca.caisse-epargne.fr/download/1078/izivente-izicarte-oav/3541/fichier-izicartes-en-instance-3.xlsx" TargetMode="External"/><Relationship Id="rId14" Type="http://schemas.openxmlformats.org/officeDocument/2006/relationships/hyperlink" Target="http://commerciaux.celca.caisse-epargne.fr/download/1126/surveillance/7391/majorations-resilisations-auto-mrh-mai-rdc.xlsx" TargetMode="External"/><Relationship Id="rId22" Type="http://schemas.openxmlformats.org/officeDocument/2006/relationships/hyperlink" Target="http://commerciaux.celca.caisse-epargne.fr/download/1236/france-active/7771/20180412-nouvelle-gamme-france-active.pdf" TargetMode="External"/><Relationship Id="rId27"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8365CB-E3B5-4EA0-A6A5-C66789DBD1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2135</TotalTime>
  <Pages>1</Pages>
  <Words>1997</Words>
  <Characters>10989</Characters>
  <Application>Microsoft Office Word</Application>
  <DocSecurity>0</DocSecurity>
  <Lines>91</Lines>
  <Paragraphs>25</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12961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233</cp:revision>
  <dcterms:created xsi:type="dcterms:W3CDTF">2018-01-22T16:25:00Z</dcterms:created>
  <dcterms:modified xsi:type="dcterms:W3CDTF">2018-04-16T13:58:00Z</dcterms:modified>
</cp:coreProperties>
</file>