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 DES ACTUALITES</w:t>
            </w:r>
            <w:r w:rsidR="00BB7708">
              <w:rPr>
                <w:rFonts w:ascii="Times New Roman" w:hAnsi="Times New Roman" w:cs="Times New Roman"/>
                <w:b/>
                <w:sz w:val="32"/>
                <w:szCs w:val="40"/>
              </w:rPr>
              <w:t xml:space="preserve"> 2018</w:t>
            </w:r>
            <w:r w:rsidR="00CF26D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C351E7">
              <w:rPr>
                <w:rFonts w:ascii="Times New Roman" w:hAnsi="Times New Roman" w:cs="Times New Roman"/>
                <w:b/>
                <w:sz w:val="32"/>
                <w:szCs w:val="40"/>
              </w:rPr>
              <w:t>19</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193A6E" w:rsidRPr="00C351E7" w:rsidTr="00AF3BE3">
        <w:trPr>
          <w:trHeight w:val="515"/>
        </w:trPr>
        <w:tc>
          <w:tcPr>
            <w:tcW w:w="1560" w:type="dxa"/>
            <w:tcBorders>
              <w:bottom w:val="single" w:sz="4" w:space="0" w:color="auto"/>
            </w:tcBorders>
            <w:shd w:val="clear" w:color="auto" w:fill="FFFFFF" w:themeFill="background1"/>
          </w:tcPr>
          <w:p w:rsidR="00193A6E" w:rsidRPr="00B458BF" w:rsidRDefault="00B458BF">
            <w:pPr>
              <w:rPr>
                <w:rFonts w:ascii="Times New Roman" w:hAnsi="Times New Roman" w:cs="Times New Roman"/>
                <w:b/>
                <w:bCs/>
                <w:sz w:val="20"/>
                <w:szCs w:val="20"/>
              </w:rPr>
            </w:pPr>
            <w:r w:rsidRPr="00B458B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193A6E" w:rsidRPr="00B458BF" w:rsidRDefault="00193A6E">
            <w:pPr>
              <w:spacing w:after="200" w:line="276" w:lineRule="auto"/>
              <w:rPr>
                <w:rFonts w:ascii="Times New Roman" w:hAnsi="Times New Roman" w:cs="Times New Roman"/>
                <w:b/>
                <w:bCs/>
                <w:sz w:val="20"/>
                <w:szCs w:val="20"/>
              </w:rPr>
            </w:pPr>
            <w:r w:rsidRPr="00B458BF">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193A6E" w:rsidRPr="00B458BF" w:rsidRDefault="008A35B4" w:rsidP="00193A6E">
            <w:pPr>
              <w:numPr>
                <w:ilvl w:val="0"/>
                <w:numId w:val="34"/>
              </w:numPr>
              <w:spacing w:after="200" w:line="276" w:lineRule="auto"/>
              <w:ind w:left="176" w:hanging="176"/>
              <w:contextualSpacing/>
              <w:jc w:val="both"/>
              <w:rPr>
                <w:rFonts w:ascii="Times New Roman" w:hAnsi="Times New Roman" w:cs="Times New Roman"/>
                <w:sz w:val="20"/>
                <w:szCs w:val="20"/>
                <w:lang w:eastAsia="fr-FR"/>
              </w:rPr>
            </w:pPr>
            <w:hyperlink r:id="rId9" w:history="1">
              <w:r w:rsidR="00193A6E" w:rsidRPr="00B458BF">
                <w:rPr>
                  <w:rStyle w:val="Lienhypertexte"/>
                  <w:rFonts w:ascii="Times New Roman" w:hAnsi="Times New Roman" w:cs="Times New Roman"/>
                  <w:sz w:val="20"/>
                  <w:szCs w:val="20"/>
                  <w:lang w:eastAsia="fr-FR"/>
                </w:rPr>
                <w:t>CLIQUEZ ICI</w:t>
              </w:r>
            </w:hyperlink>
            <w:r w:rsidR="00193A6E" w:rsidRPr="00B458BF">
              <w:rPr>
                <w:rFonts w:ascii="Times New Roman" w:hAnsi="Times New Roman" w:cs="Times New Roman"/>
                <w:sz w:val="20"/>
                <w:szCs w:val="20"/>
                <w:lang w:eastAsia="fr-FR"/>
              </w:rPr>
              <w:t xml:space="preserve"> pour trouver le fichier des IZICARTES en attente de saisie d’une date de signature (volumétrie : 212 cartes en attente). Tant que les 2 étapes « mise en force » et « saisie la date de signature » ne seront pas faites, nos clients ne recevront pas leur carte.</w:t>
            </w:r>
          </w:p>
        </w:tc>
      </w:tr>
      <w:tr w:rsidR="000915D0" w:rsidRPr="00C351E7" w:rsidTr="00AF3BE3">
        <w:trPr>
          <w:trHeight w:val="515"/>
        </w:trPr>
        <w:tc>
          <w:tcPr>
            <w:tcW w:w="1560" w:type="dxa"/>
            <w:tcBorders>
              <w:bottom w:val="single" w:sz="4" w:space="0" w:color="auto"/>
            </w:tcBorders>
            <w:shd w:val="clear" w:color="auto" w:fill="FFFFFF" w:themeFill="background1"/>
          </w:tcPr>
          <w:p w:rsidR="000915D0" w:rsidRPr="00B458BF" w:rsidRDefault="000915D0">
            <w:pPr>
              <w:rPr>
                <w:rFonts w:ascii="Times New Roman" w:hAnsi="Times New Roman" w:cs="Times New Roman"/>
                <w:color w:val="000000"/>
                <w:sz w:val="20"/>
                <w:szCs w:val="20"/>
              </w:rPr>
            </w:pPr>
            <w:r w:rsidRPr="00B458B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0915D0" w:rsidRPr="00B458BF" w:rsidRDefault="000915D0">
            <w:pPr>
              <w:rPr>
                <w:rFonts w:ascii="Times New Roman" w:hAnsi="Times New Roman" w:cs="Times New Roman"/>
                <w:b/>
                <w:bCs/>
                <w:color w:val="000000"/>
                <w:sz w:val="20"/>
                <w:szCs w:val="20"/>
              </w:rPr>
            </w:pPr>
            <w:r w:rsidRPr="00B458BF">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0915D0" w:rsidRPr="000915D0" w:rsidRDefault="000915D0" w:rsidP="000915D0">
            <w:pPr>
              <w:numPr>
                <w:ilvl w:val="0"/>
                <w:numId w:val="46"/>
              </w:numPr>
              <w:ind w:left="176" w:hanging="176"/>
              <w:contextualSpacing/>
              <w:jc w:val="both"/>
              <w:rPr>
                <w:rFonts w:ascii="Times New Roman" w:hAnsi="Times New Roman" w:cs="Times New Roman"/>
                <w:b/>
                <w:bCs/>
                <w:color w:val="000000"/>
                <w:sz w:val="20"/>
                <w:szCs w:val="20"/>
              </w:rPr>
            </w:pPr>
            <w:r w:rsidRPr="000915D0">
              <w:rPr>
                <w:rFonts w:ascii="Times New Roman" w:hAnsi="Times New Roman" w:cs="Times New Roman"/>
                <w:color w:val="000000"/>
                <w:sz w:val="20"/>
                <w:szCs w:val="20"/>
                <w:lang w:eastAsia="fr-FR"/>
              </w:rPr>
              <w:t xml:space="preserve">CLIQUEZ </w:t>
            </w:r>
            <w:hyperlink r:id="rId10" w:history="1">
              <w:r w:rsidRPr="000915D0">
                <w:rPr>
                  <w:rStyle w:val="Lienhypertexte"/>
                  <w:rFonts w:ascii="Times New Roman" w:hAnsi="Times New Roman" w:cs="Times New Roman"/>
                  <w:sz w:val="20"/>
                  <w:szCs w:val="20"/>
                  <w:lang w:eastAsia="fr-FR"/>
                </w:rPr>
                <w:t>ICI</w:t>
              </w:r>
            </w:hyperlink>
            <w:r w:rsidRPr="000915D0">
              <w:rPr>
                <w:rFonts w:ascii="Times New Roman" w:hAnsi="Times New Roman" w:cs="Times New Roman"/>
                <w:color w:val="000000"/>
                <w:sz w:val="20"/>
                <w:szCs w:val="20"/>
                <w:lang w:eastAsia="fr-FR"/>
              </w:rPr>
              <w:t xml:space="preserve"> pour accéder à la liste des PEL potentiellement en non-respect arrêté au 07 mai 2018 qui seront clôturés à J+1 de la date anniversaire (volumétrie 278 clients)</w:t>
            </w:r>
            <w:r>
              <w:rPr>
                <w:rFonts w:ascii="Times New Roman" w:hAnsi="Times New Roman" w:cs="Times New Roman"/>
                <w:color w:val="000000"/>
                <w:sz w:val="20"/>
                <w:szCs w:val="20"/>
                <w:lang w:eastAsia="fr-FR"/>
              </w:rPr>
              <w:t>.</w:t>
            </w:r>
          </w:p>
        </w:tc>
      </w:tr>
      <w:tr w:rsidR="000915D0" w:rsidRPr="00C351E7" w:rsidTr="002A6D9D">
        <w:trPr>
          <w:trHeight w:val="380"/>
        </w:trPr>
        <w:tc>
          <w:tcPr>
            <w:tcW w:w="1560" w:type="dxa"/>
            <w:tcBorders>
              <w:bottom w:val="single" w:sz="4" w:space="0" w:color="auto"/>
            </w:tcBorders>
            <w:shd w:val="clear" w:color="auto" w:fill="FFFFFF" w:themeFill="background1"/>
          </w:tcPr>
          <w:p w:rsidR="000915D0" w:rsidRPr="00B458BF" w:rsidRDefault="000915D0">
            <w:pPr>
              <w:rPr>
                <w:rFonts w:ascii="Times New Roman" w:hAnsi="Times New Roman" w:cs="Times New Roman"/>
                <w:color w:val="000000"/>
                <w:sz w:val="20"/>
                <w:szCs w:val="20"/>
              </w:rPr>
            </w:pPr>
            <w:r w:rsidRPr="00B458B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0915D0" w:rsidRPr="00B458BF" w:rsidRDefault="000915D0">
            <w:pPr>
              <w:rPr>
                <w:rFonts w:ascii="Times New Roman" w:hAnsi="Times New Roman" w:cs="Times New Roman"/>
                <w:b/>
                <w:bCs/>
                <w:color w:val="000000"/>
                <w:sz w:val="20"/>
                <w:szCs w:val="20"/>
              </w:rPr>
            </w:pPr>
            <w:r w:rsidRPr="00B458BF">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0915D0" w:rsidRPr="000915D0" w:rsidRDefault="000915D0" w:rsidP="000915D0">
            <w:pPr>
              <w:numPr>
                <w:ilvl w:val="0"/>
                <w:numId w:val="46"/>
              </w:numPr>
              <w:ind w:left="176" w:hanging="176"/>
              <w:contextualSpacing/>
              <w:jc w:val="both"/>
              <w:rPr>
                <w:rFonts w:ascii="Times New Roman" w:hAnsi="Times New Roman" w:cs="Times New Roman"/>
                <w:color w:val="000000"/>
                <w:sz w:val="20"/>
                <w:szCs w:val="20"/>
                <w:lang w:eastAsia="fr-FR"/>
              </w:rPr>
            </w:pPr>
            <w:r w:rsidRPr="000915D0">
              <w:rPr>
                <w:rFonts w:ascii="Times New Roman" w:hAnsi="Times New Roman" w:cs="Times New Roman"/>
                <w:color w:val="000000"/>
                <w:sz w:val="20"/>
                <w:szCs w:val="20"/>
                <w:lang w:eastAsia="fr-FR"/>
              </w:rPr>
              <w:t xml:space="preserve">CLIQUEZ </w:t>
            </w:r>
            <w:hyperlink r:id="rId11" w:history="1">
              <w:r w:rsidRPr="000915D0">
                <w:rPr>
                  <w:rStyle w:val="Lienhypertexte"/>
                  <w:rFonts w:ascii="Times New Roman" w:hAnsi="Times New Roman" w:cs="Times New Roman"/>
                  <w:sz w:val="20"/>
                  <w:szCs w:val="20"/>
                  <w:lang w:eastAsia="fr-FR"/>
                </w:rPr>
                <w:t>ICI</w:t>
              </w:r>
            </w:hyperlink>
            <w:r w:rsidRPr="000915D0">
              <w:rPr>
                <w:rFonts w:ascii="Times New Roman" w:hAnsi="Times New Roman" w:cs="Times New Roman"/>
                <w:color w:val="000000"/>
                <w:sz w:val="20"/>
                <w:szCs w:val="20"/>
                <w:lang w:eastAsia="fr-FR"/>
              </w:rPr>
              <w:t xml:space="preserve"> pour accéder au fichier Lutte anti-résiliation IARD arrêté au 30 avril 2018 (volumétrie 435 clients). </w:t>
            </w:r>
          </w:p>
        </w:tc>
      </w:tr>
      <w:tr w:rsidR="000915D0" w:rsidRPr="00C351E7" w:rsidTr="002A6D9D">
        <w:trPr>
          <w:trHeight w:val="288"/>
        </w:trPr>
        <w:tc>
          <w:tcPr>
            <w:tcW w:w="1560" w:type="dxa"/>
            <w:tcBorders>
              <w:bottom w:val="single" w:sz="4" w:space="0" w:color="auto"/>
            </w:tcBorders>
            <w:shd w:val="clear" w:color="auto" w:fill="FFFFFF" w:themeFill="background1"/>
          </w:tcPr>
          <w:p w:rsidR="000915D0" w:rsidRPr="00B458BF" w:rsidRDefault="000915D0">
            <w:pPr>
              <w:rPr>
                <w:rFonts w:ascii="Times New Roman" w:hAnsi="Times New Roman" w:cs="Times New Roman"/>
                <w:b/>
                <w:bCs/>
                <w:color w:val="000000"/>
                <w:sz w:val="20"/>
                <w:szCs w:val="20"/>
              </w:rPr>
            </w:pPr>
            <w:r w:rsidRPr="00B458B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0915D0" w:rsidRPr="00B458BF" w:rsidRDefault="000915D0">
            <w:pPr>
              <w:rPr>
                <w:rFonts w:ascii="Times New Roman" w:hAnsi="Times New Roman" w:cs="Times New Roman"/>
                <w:b/>
                <w:bCs/>
                <w:color w:val="000000"/>
                <w:sz w:val="20"/>
                <w:szCs w:val="20"/>
              </w:rPr>
            </w:pPr>
            <w:r w:rsidRPr="00B458BF">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0915D0" w:rsidRPr="000915D0" w:rsidRDefault="000915D0" w:rsidP="000915D0">
            <w:pPr>
              <w:numPr>
                <w:ilvl w:val="0"/>
                <w:numId w:val="46"/>
              </w:numPr>
              <w:ind w:left="176" w:hanging="176"/>
              <w:contextualSpacing/>
              <w:jc w:val="both"/>
              <w:rPr>
                <w:rFonts w:ascii="Times New Roman" w:hAnsi="Times New Roman" w:cs="Times New Roman"/>
                <w:color w:val="000000"/>
                <w:sz w:val="20"/>
                <w:szCs w:val="20"/>
                <w:lang w:eastAsia="fr-FR"/>
              </w:rPr>
            </w:pPr>
            <w:r w:rsidRPr="000915D0">
              <w:rPr>
                <w:rFonts w:ascii="Times New Roman" w:hAnsi="Times New Roman" w:cs="Times New Roman"/>
                <w:sz w:val="20"/>
                <w:szCs w:val="20"/>
              </w:rPr>
              <w:t xml:space="preserve">CLIQUEZ </w:t>
            </w:r>
            <w:hyperlink r:id="rId12" w:history="1">
              <w:r w:rsidRPr="000915D0">
                <w:rPr>
                  <w:rStyle w:val="Lienhypertexte"/>
                  <w:rFonts w:ascii="Times New Roman" w:hAnsi="Times New Roman" w:cs="Times New Roman"/>
                  <w:sz w:val="20"/>
                  <w:szCs w:val="20"/>
                </w:rPr>
                <w:t>ICI</w:t>
              </w:r>
            </w:hyperlink>
            <w:r w:rsidRPr="000915D0">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B458BF" w:rsidRPr="00C351E7" w:rsidTr="00B458BF">
        <w:trPr>
          <w:trHeight w:val="367"/>
        </w:trPr>
        <w:tc>
          <w:tcPr>
            <w:tcW w:w="1560" w:type="dxa"/>
            <w:tcBorders>
              <w:bottom w:val="single" w:sz="4" w:space="0" w:color="auto"/>
            </w:tcBorders>
            <w:shd w:val="clear" w:color="auto" w:fill="FFFFFF" w:themeFill="background1"/>
          </w:tcPr>
          <w:p w:rsidR="00B458BF" w:rsidRPr="00B458BF" w:rsidRDefault="00B458BF">
            <w:pPr>
              <w:rPr>
                <w:rFonts w:ascii="Times New Roman" w:hAnsi="Times New Roman" w:cs="Times New Roman"/>
                <w:b/>
                <w:bCs/>
                <w:color w:val="000000"/>
                <w:sz w:val="20"/>
                <w:szCs w:val="20"/>
              </w:rPr>
            </w:pPr>
            <w:r w:rsidRPr="00B458B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B458BF" w:rsidRPr="00B458BF" w:rsidRDefault="00B458BF" w:rsidP="00B458BF">
            <w:pPr>
              <w:rPr>
                <w:rFonts w:ascii="Times New Roman" w:hAnsi="Times New Roman" w:cs="Times New Roman"/>
                <w:b/>
                <w:bCs/>
                <w:sz w:val="20"/>
                <w:szCs w:val="20"/>
              </w:rPr>
            </w:pPr>
            <w:r w:rsidRPr="00B458BF">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B458BF" w:rsidRPr="00B458BF" w:rsidRDefault="008A35B4" w:rsidP="00B458BF">
            <w:pPr>
              <w:numPr>
                <w:ilvl w:val="0"/>
                <w:numId w:val="46"/>
              </w:numPr>
              <w:ind w:left="176" w:hanging="176"/>
              <w:contextualSpacing/>
              <w:jc w:val="both"/>
              <w:rPr>
                <w:rFonts w:ascii="Times New Roman" w:hAnsi="Times New Roman" w:cs="Times New Roman"/>
                <w:sz w:val="20"/>
                <w:szCs w:val="20"/>
                <w:lang w:eastAsia="fr-FR"/>
              </w:rPr>
            </w:pPr>
            <w:hyperlink r:id="rId13" w:history="1">
              <w:r w:rsidR="00B458BF" w:rsidRPr="00B458BF">
                <w:rPr>
                  <w:rStyle w:val="Lienhypertexte"/>
                  <w:rFonts w:ascii="Times New Roman" w:hAnsi="Times New Roman" w:cs="Times New Roman"/>
                  <w:sz w:val="20"/>
                  <w:szCs w:val="20"/>
                  <w:lang w:eastAsia="fr-FR"/>
                </w:rPr>
                <w:t>CLIQUEZ ICI</w:t>
              </w:r>
            </w:hyperlink>
            <w:r w:rsidR="00B458BF" w:rsidRPr="00B458BF">
              <w:rPr>
                <w:rStyle w:val="Lienhypertexte"/>
                <w:rFonts w:ascii="Times New Roman" w:hAnsi="Times New Roman" w:cs="Times New Roman"/>
                <w:sz w:val="20"/>
                <w:szCs w:val="20"/>
                <w:lang w:eastAsia="fr-FR"/>
              </w:rPr>
              <w:t xml:space="preserve"> </w:t>
            </w:r>
            <w:r w:rsidR="00B458BF" w:rsidRPr="00B458BF">
              <w:rPr>
                <w:rFonts w:ascii="Times New Roman" w:hAnsi="Times New Roman" w:cs="Times New Roman"/>
                <w:sz w:val="20"/>
                <w:szCs w:val="20"/>
                <w:lang w:eastAsia="fr-FR"/>
              </w:rPr>
              <w:t>pour trouver</w:t>
            </w:r>
            <w:r w:rsidR="000915D0">
              <w:rPr>
                <w:rFonts w:ascii="Times New Roman" w:hAnsi="Times New Roman" w:cs="Times New Roman"/>
                <w:sz w:val="20"/>
                <w:szCs w:val="20"/>
                <w:lang w:eastAsia="fr-FR"/>
              </w:rPr>
              <w:t xml:space="preserve"> </w:t>
            </w:r>
            <w:r w:rsidR="00B458BF" w:rsidRPr="00B458BF">
              <w:rPr>
                <w:rFonts w:ascii="Times New Roman" w:hAnsi="Times New Roman" w:cs="Times New Roman"/>
                <w:sz w:val="20"/>
                <w:szCs w:val="20"/>
                <w:lang w:eastAsia="fr-FR"/>
              </w:rPr>
              <w:t xml:space="preserve">la liste des dossiers Domilis à initier, qui sont pour l’heure en échec suite au rejet des mandats (volumétrie : 601 mandats au 7 mai 2018) </w:t>
            </w:r>
            <w:hyperlink r:id="rId14" w:history="1">
              <w:r w:rsidR="00B458BF" w:rsidRPr="00B458BF">
                <w:rPr>
                  <w:rStyle w:val="Lienhypertexte"/>
                  <w:rFonts w:ascii="Times New Roman" w:hAnsi="Times New Roman" w:cs="Times New Roman"/>
                  <w:sz w:val="20"/>
                  <w:szCs w:val="20"/>
                  <w:lang w:eastAsia="fr-FR"/>
                </w:rPr>
                <w:t>CLIQUEZ ICI</w:t>
              </w:r>
            </w:hyperlink>
            <w:r w:rsidR="00B458BF" w:rsidRPr="00B458BF">
              <w:rPr>
                <w:rFonts w:ascii="Times New Roman" w:hAnsi="Times New Roman" w:cs="Times New Roman"/>
                <w:sz w:val="20"/>
                <w:szCs w:val="20"/>
                <w:lang w:eastAsia="fr-FR"/>
              </w:rPr>
              <w:t xml:space="preserve"> pour accéder au mode opératoire.</w:t>
            </w:r>
          </w:p>
        </w:tc>
      </w:tr>
      <w:tr w:rsidR="00AE0FBE" w:rsidRPr="00C351E7" w:rsidTr="002A6D9D">
        <w:trPr>
          <w:trHeight w:val="403"/>
        </w:trPr>
        <w:tc>
          <w:tcPr>
            <w:tcW w:w="1560" w:type="dxa"/>
            <w:tcBorders>
              <w:bottom w:val="single" w:sz="4" w:space="0" w:color="auto"/>
            </w:tcBorders>
            <w:shd w:val="clear" w:color="auto" w:fill="FFFFFF" w:themeFill="background1"/>
          </w:tcPr>
          <w:p w:rsidR="00AE0FBE" w:rsidRPr="00B458BF" w:rsidRDefault="00AE0FBE">
            <w:pPr>
              <w:rPr>
                <w:rFonts w:ascii="Times New Roman" w:hAnsi="Times New Roman" w:cs="Times New Roman"/>
                <w:b/>
                <w:bCs/>
                <w:color w:val="000000"/>
                <w:sz w:val="20"/>
                <w:szCs w:val="20"/>
              </w:rPr>
            </w:pPr>
            <w:r w:rsidRPr="00B458BF">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AE0FBE" w:rsidRPr="00B458BF" w:rsidRDefault="00AE0FBE" w:rsidP="00B458BF">
            <w:pPr>
              <w:rPr>
                <w:rFonts w:ascii="Times New Roman" w:hAnsi="Times New Roman" w:cs="Times New Roman"/>
                <w:b/>
                <w:bCs/>
                <w:color w:val="000000"/>
                <w:sz w:val="20"/>
                <w:szCs w:val="20"/>
              </w:rPr>
            </w:pPr>
            <w:r w:rsidRPr="00B458BF">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AE0FBE" w:rsidRPr="00B458BF" w:rsidRDefault="00B458BF" w:rsidP="00B458BF">
            <w:pPr>
              <w:numPr>
                <w:ilvl w:val="0"/>
                <w:numId w:val="39"/>
              </w:numPr>
              <w:ind w:left="176" w:hanging="176"/>
              <w:contextualSpacing/>
              <w:jc w:val="both"/>
              <w:rPr>
                <w:rFonts w:ascii="Times New Roman" w:hAnsi="Times New Roman" w:cs="Times New Roman"/>
                <w:color w:val="000000"/>
                <w:sz w:val="20"/>
                <w:szCs w:val="20"/>
              </w:rPr>
            </w:pPr>
            <w:r w:rsidRPr="00B458BF">
              <w:rPr>
                <w:rFonts w:ascii="Times New Roman" w:hAnsi="Times New Roman" w:cs="Times New Roman"/>
                <w:color w:val="000000"/>
                <w:sz w:val="20"/>
                <w:szCs w:val="20"/>
                <w:lang w:eastAsia="fr-FR"/>
              </w:rPr>
              <w:t xml:space="preserve">Comme indiqué dans la note </w:t>
            </w:r>
            <w:hyperlink r:id="rId15" w:history="1">
              <w:r w:rsidRPr="00B458BF">
                <w:rPr>
                  <w:rStyle w:val="Lienhypertexte"/>
                  <w:rFonts w:ascii="Times New Roman" w:hAnsi="Times New Roman" w:cs="Times New Roman"/>
                  <w:color w:val="000000"/>
                  <w:sz w:val="20"/>
                  <w:szCs w:val="20"/>
                  <w:lang w:eastAsia="fr-FR"/>
                </w:rPr>
                <w:t>DSB INF17/05</w:t>
              </w:r>
            </w:hyperlink>
            <w:r w:rsidRPr="00B458BF">
              <w:rPr>
                <w:rFonts w:ascii="Times New Roman" w:hAnsi="Times New Roman" w:cs="Times New Roman"/>
                <w:color w:val="000000"/>
                <w:sz w:val="20"/>
                <w:szCs w:val="20"/>
                <w:lang w:eastAsia="fr-FR"/>
              </w:rPr>
              <w:t xml:space="preserve">, vous trouverez la liste des Livrets A ouverts en février suite à clôture à la concurrence en </w:t>
            </w:r>
            <w:r w:rsidRPr="00B458BF">
              <w:rPr>
                <w:rFonts w:ascii="Times New Roman" w:hAnsi="Times New Roman" w:cs="Times New Roman"/>
                <w:sz w:val="20"/>
                <w:szCs w:val="20"/>
                <w:lang w:eastAsia="fr-FR"/>
              </w:rPr>
              <w:t xml:space="preserve">cliquant </w:t>
            </w:r>
            <w:hyperlink r:id="rId16" w:history="1">
              <w:r w:rsidRPr="00B458BF">
                <w:rPr>
                  <w:rStyle w:val="Lienhypertexte"/>
                  <w:rFonts w:ascii="Times New Roman" w:hAnsi="Times New Roman" w:cs="Times New Roman"/>
                  <w:sz w:val="20"/>
                  <w:szCs w:val="20"/>
                  <w:lang w:eastAsia="fr-FR"/>
                </w:rPr>
                <w:t>ici</w:t>
              </w:r>
            </w:hyperlink>
            <w:r w:rsidRPr="00B458BF">
              <w:rPr>
                <w:rFonts w:ascii="Times New Roman" w:hAnsi="Times New Roman" w:cs="Times New Roman"/>
                <w:color w:val="000000"/>
                <w:sz w:val="20"/>
                <w:szCs w:val="20"/>
                <w:lang w:eastAsia="fr-FR"/>
              </w:rPr>
              <w:t xml:space="preserve"> (146 clients). </w:t>
            </w:r>
          </w:p>
        </w:tc>
      </w:tr>
      <w:tr w:rsidR="00A62E1D" w:rsidRPr="00E81F6E" w:rsidTr="002F4398">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4824B8" w:rsidRPr="00E81F6E" w:rsidTr="00681565">
        <w:trPr>
          <w:trHeight w:val="341"/>
        </w:trPr>
        <w:tc>
          <w:tcPr>
            <w:tcW w:w="15735" w:type="dxa"/>
            <w:gridSpan w:val="3"/>
            <w:tcBorders>
              <w:bottom w:val="single" w:sz="4" w:space="0" w:color="auto"/>
            </w:tcBorders>
            <w:shd w:val="clear" w:color="auto" w:fill="BFBFBF" w:themeFill="background1" w:themeFillShade="BF"/>
            <w:vAlign w:val="center"/>
          </w:tcPr>
          <w:p w:rsidR="004824B8" w:rsidRPr="00317E86" w:rsidRDefault="004824B8" w:rsidP="00681565">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r w:rsidR="002B0A2B">
              <w:rPr>
                <w:rFonts w:ascii="Times New Roman" w:hAnsi="Times New Roman" w:cs="Times New Roman"/>
                <w:b/>
                <w:color w:val="000000"/>
                <w:sz w:val="20"/>
                <w:szCs w:val="20"/>
                <w:lang w:eastAsia="fr-FR"/>
              </w:rPr>
              <w:t xml:space="preserve"> </w:t>
            </w:r>
            <w:r>
              <w:rPr>
                <w:rFonts w:ascii="Times New Roman" w:hAnsi="Times New Roman" w:cs="Times New Roman"/>
                <w:b/>
                <w:color w:val="000000"/>
                <w:sz w:val="20"/>
                <w:szCs w:val="20"/>
                <w:lang w:eastAsia="fr-FR"/>
              </w:rPr>
              <w:t>/ IARD</w:t>
            </w:r>
            <w:r w:rsidR="002B0A2B">
              <w:rPr>
                <w:rFonts w:ascii="Times New Roman" w:hAnsi="Times New Roman" w:cs="Times New Roman"/>
                <w:b/>
                <w:color w:val="000000"/>
                <w:sz w:val="20"/>
                <w:szCs w:val="20"/>
                <w:lang w:eastAsia="fr-FR"/>
              </w:rPr>
              <w:t xml:space="preserve"> / Prévoyance</w:t>
            </w:r>
          </w:p>
        </w:tc>
      </w:tr>
      <w:tr w:rsidR="00C351E7" w:rsidRPr="00E81F6E" w:rsidTr="00681565">
        <w:trPr>
          <w:trHeight w:val="208"/>
        </w:trPr>
        <w:tc>
          <w:tcPr>
            <w:tcW w:w="1560" w:type="dxa"/>
            <w:tcBorders>
              <w:bottom w:val="single" w:sz="4" w:space="0" w:color="auto"/>
            </w:tcBorders>
          </w:tcPr>
          <w:p w:rsidR="00C351E7" w:rsidRPr="00C351E7" w:rsidRDefault="00B458BF">
            <w:pPr>
              <w:rPr>
                <w:rFonts w:ascii="Times New Roman" w:hAnsi="Times New Roman" w:cs="Times New Roman"/>
                <w:b/>
                <w:bCs/>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C351E7" w:rsidRPr="00C351E7" w:rsidRDefault="00C351E7">
            <w:pPr>
              <w:rPr>
                <w:rFonts w:ascii="Times New Roman" w:hAnsi="Times New Roman" w:cs="Times New Roman"/>
                <w:b/>
                <w:bCs/>
                <w:sz w:val="20"/>
                <w:szCs w:val="20"/>
              </w:rPr>
            </w:pPr>
            <w:r w:rsidRPr="00C351E7">
              <w:rPr>
                <w:rFonts w:ascii="Times New Roman" w:hAnsi="Times New Roman" w:cs="Times New Roman"/>
                <w:b/>
                <w:bCs/>
                <w:sz w:val="20"/>
                <w:szCs w:val="20"/>
              </w:rPr>
              <w:t xml:space="preserve">Rappel </w:t>
            </w:r>
          </w:p>
          <w:p w:rsidR="00C351E7" w:rsidRPr="00C351E7" w:rsidRDefault="00C351E7">
            <w:pPr>
              <w:rPr>
                <w:rFonts w:ascii="Times New Roman" w:hAnsi="Times New Roman" w:cs="Times New Roman"/>
                <w:b/>
                <w:bCs/>
                <w:sz w:val="20"/>
                <w:szCs w:val="20"/>
              </w:rPr>
            </w:pPr>
            <w:r w:rsidRPr="00C351E7">
              <w:rPr>
                <w:rFonts w:ascii="Times New Roman" w:hAnsi="Times New Roman" w:cs="Times New Roman"/>
                <w:b/>
                <w:bCs/>
                <w:sz w:val="20"/>
                <w:szCs w:val="20"/>
              </w:rPr>
              <w:t>Carte Visa / Location de voiture</w:t>
            </w:r>
          </w:p>
        </w:tc>
        <w:tc>
          <w:tcPr>
            <w:tcW w:w="12332" w:type="dxa"/>
            <w:tcBorders>
              <w:bottom w:val="single" w:sz="4" w:space="0" w:color="auto"/>
            </w:tcBorders>
            <w:shd w:val="clear" w:color="auto" w:fill="auto"/>
          </w:tcPr>
          <w:p w:rsidR="00C351E7" w:rsidRPr="001D24EC" w:rsidRDefault="00C351E7" w:rsidP="00C351E7">
            <w:pPr>
              <w:pStyle w:val="Paragraphedeliste"/>
              <w:numPr>
                <w:ilvl w:val="0"/>
                <w:numId w:val="32"/>
              </w:numPr>
              <w:ind w:left="176" w:hanging="176"/>
              <w:jc w:val="both"/>
              <w:rPr>
                <w:rFonts w:ascii="Times New Roman" w:hAnsi="Times New Roman" w:cs="Times New Roman"/>
                <w:sz w:val="20"/>
                <w:szCs w:val="20"/>
                <w:lang w:eastAsia="fr-FR"/>
              </w:rPr>
            </w:pPr>
            <w:r w:rsidRPr="001D24EC">
              <w:rPr>
                <w:rFonts w:ascii="Times New Roman" w:hAnsi="Times New Roman" w:cs="Times New Roman"/>
                <w:sz w:val="20"/>
                <w:szCs w:val="20"/>
              </w:rPr>
              <w:t xml:space="preserve">Depuis juin 2016, le règlement européen sur les interchanges impose l’identification des catégories de cartes « DEBIT », « CREDIT », « PREPAYE », par un marquage visuel sur le recto de la carte et par une identification électronique correspondante. </w:t>
            </w:r>
          </w:p>
          <w:p w:rsidR="00C351E7" w:rsidRPr="001D24EC" w:rsidRDefault="00C351E7" w:rsidP="00C351E7">
            <w:pPr>
              <w:pStyle w:val="Paragraphedeliste"/>
              <w:numPr>
                <w:ilvl w:val="0"/>
                <w:numId w:val="32"/>
              </w:numPr>
              <w:ind w:left="176" w:hanging="176"/>
              <w:jc w:val="both"/>
              <w:rPr>
                <w:rFonts w:ascii="Times New Roman" w:eastAsia="Times New Roman" w:hAnsi="Times New Roman" w:cs="Times New Roman"/>
                <w:sz w:val="20"/>
                <w:szCs w:val="20"/>
              </w:rPr>
            </w:pPr>
            <w:r w:rsidRPr="001D24EC">
              <w:rPr>
                <w:rFonts w:ascii="Times New Roman" w:hAnsi="Times New Roman" w:cs="Times New Roman"/>
                <w:sz w:val="20"/>
                <w:szCs w:val="20"/>
              </w:rPr>
              <w:t xml:space="preserve">Malheureusement, au fur et à mesure du déploiement du marquage sur les cartes, des </w:t>
            </w:r>
            <w:r w:rsidRPr="001D24EC">
              <w:rPr>
                <w:rFonts w:ascii="Times New Roman" w:hAnsi="Times New Roman" w:cs="Times New Roman"/>
                <w:b/>
                <w:bCs/>
                <w:sz w:val="20"/>
                <w:szCs w:val="20"/>
              </w:rPr>
              <w:t>problèmes d’acceptation</w:t>
            </w:r>
            <w:r w:rsidRPr="001D24EC">
              <w:rPr>
                <w:rFonts w:ascii="Times New Roman" w:hAnsi="Times New Roman" w:cs="Times New Roman"/>
                <w:sz w:val="20"/>
                <w:szCs w:val="20"/>
              </w:rPr>
              <w:t xml:space="preserve"> des cartes bancaires à mention «DEBIT » sont apparus chez certains accepteurs comme les </w:t>
            </w:r>
            <w:r w:rsidRPr="001D24EC">
              <w:rPr>
                <w:rFonts w:ascii="Times New Roman" w:hAnsi="Times New Roman" w:cs="Times New Roman"/>
                <w:b/>
                <w:bCs/>
                <w:sz w:val="20"/>
                <w:szCs w:val="20"/>
              </w:rPr>
              <w:t>loueurs de voitures</w:t>
            </w:r>
            <w:r w:rsidRPr="001D24EC">
              <w:rPr>
                <w:rFonts w:ascii="Times New Roman" w:hAnsi="Times New Roman" w:cs="Times New Roman"/>
                <w:sz w:val="20"/>
                <w:szCs w:val="20"/>
              </w:rPr>
              <w:t>. Ces problèmes tendent à augmenter fortement.</w:t>
            </w:r>
          </w:p>
          <w:p w:rsidR="00C351E7" w:rsidRPr="001D24EC" w:rsidRDefault="00C351E7" w:rsidP="00C351E7">
            <w:pPr>
              <w:pStyle w:val="Paragraphedeliste"/>
              <w:numPr>
                <w:ilvl w:val="0"/>
                <w:numId w:val="32"/>
              </w:numPr>
              <w:ind w:left="176" w:hanging="176"/>
              <w:jc w:val="both"/>
              <w:rPr>
                <w:rFonts w:ascii="Times New Roman" w:hAnsi="Times New Roman" w:cs="Times New Roman"/>
                <w:sz w:val="20"/>
                <w:szCs w:val="20"/>
                <w:lang w:eastAsia="fr-FR"/>
              </w:rPr>
            </w:pPr>
            <w:r w:rsidRPr="001D24EC">
              <w:rPr>
                <w:rFonts w:ascii="Times New Roman" w:hAnsi="Times New Roman" w:cs="Times New Roman"/>
                <w:sz w:val="20"/>
                <w:szCs w:val="20"/>
              </w:rPr>
              <w:t>En effet, les conditions générales des loueurs de voitures exigent généralement de détenir une carte de « CREDIT » comportant une réserve financière pour assurer la bonne fin du règlement de la location.</w:t>
            </w:r>
          </w:p>
          <w:p w:rsidR="00C351E7" w:rsidRPr="001D24EC" w:rsidRDefault="00C351E7" w:rsidP="00C351E7">
            <w:pPr>
              <w:pStyle w:val="Paragraphedeliste"/>
              <w:numPr>
                <w:ilvl w:val="0"/>
                <w:numId w:val="32"/>
              </w:numPr>
              <w:ind w:left="176" w:hanging="176"/>
              <w:rPr>
                <w:rFonts w:ascii="Times New Roman" w:hAnsi="Times New Roman" w:cs="Times New Roman"/>
                <w:sz w:val="20"/>
                <w:szCs w:val="20"/>
              </w:rPr>
            </w:pPr>
            <w:r w:rsidRPr="001D24EC">
              <w:rPr>
                <w:rFonts w:ascii="Times New Roman" w:hAnsi="Times New Roman" w:cs="Times New Roman"/>
                <w:sz w:val="20"/>
                <w:szCs w:val="20"/>
              </w:rPr>
              <w:t xml:space="preserve">Des actions sont en cours depuis juillet 2017 par les réseaux Visa auprès des sociétés de location. Cependant, nous vous invitons à prendre les mesures nécessaires auprès des </w:t>
            </w:r>
            <w:r w:rsidRPr="001D24EC">
              <w:rPr>
                <w:rFonts w:ascii="Times New Roman" w:hAnsi="Times New Roman" w:cs="Times New Roman"/>
                <w:b/>
                <w:bCs/>
                <w:sz w:val="20"/>
                <w:szCs w:val="20"/>
              </w:rPr>
              <w:t>clients faisant part d’un voyage à l’étranger / d’une location de véhicule</w:t>
            </w:r>
            <w:r w:rsidRPr="001D24EC">
              <w:rPr>
                <w:rFonts w:ascii="Times New Roman" w:hAnsi="Times New Roman" w:cs="Times New Roman"/>
                <w:sz w:val="20"/>
                <w:szCs w:val="20"/>
              </w:rPr>
              <w:t xml:space="preserve"> :</w:t>
            </w:r>
          </w:p>
          <w:p w:rsidR="00C351E7" w:rsidRPr="001D24EC" w:rsidRDefault="00C351E7" w:rsidP="00C351E7">
            <w:pPr>
              <w:pStyle w:val="Paragraphedeliste"/>
              <w:numPr>
                <w:ilvl w:val="1"/>
                <w:numId w:val="33"/>
              </w:numPr>
              <w:rPr>
                <w:rFonts w:ascii="Times New Roman" w:hAnsi="Times New Roman" w:cs="Times New Roman"/>
                <w:sz w:val="20"/>
                <w:szCs w:val="20"/>
              </w:rPr>
            </w:pPr>
            <w:r w:rsidRPr="001D24EC">
              <w:rPr>
                <w:rFonts w:ascii="Times New Roman" w:hAnsi="Times New Roman" w:cs="Times New Roman"/>
                <w:sz w:val="20"/>
                <w:szCs w:val="20"/>
              </w:rPr>
              <w:t xml:space="preserve">Vérifier la présence ou non de la mention « CREDIT » sur la carte </w:t>
            </w:r>
          </w:p>
          <w:p w:rsidR="00C351E7" w:rsidRPr="001D24EC" w:rsidRDefault="00C351E7" w:rsidP="00C351E7">
            <w:pPr>
              <w:pStyle w:val="Paragraphedeliste"/>
              <w:numPr>
                <w:ilvl w:val="1"/>
                <w:numId w:val="33"/>
              </w:numPr>
              <w:rPr>
                <w:rFonts w:ascii="Times New Roman" w:hAnsi="Times New Roman" w:cs="Times New Roman"/>
                <w:sz w:val="20"/>
                <w:szCs w:val="20"/>
              </w:rPr>
            </w:pPr>
            <w:r w:rsidRPr="001D24EC">
              <w:rPr>
                <w:rFonts w:ascii="Times New Roman" w:hAnsi="Times New Roman" w:cs="Times New Roman"/>
                <w:sz w:val="20"/>
                <w:szCs w:val="20"/>
              </w:rPr>
              <w:t>Le cas échéant, procéder à la re-fabrication anticipée (lorsque le timing le permet) et/ou la montée en gamme (DI vers DD ou Izicarte).</w:t>
            </w:r>
          </w:p>
        </w:tc>
      </w:tr>
      <w:tr w:rsidR="002B0A2B" w:rsidRPr="00E81F6E" w:rsidTr="00681565">
        <w:trPr>
          <w:trHeight w:val="208"/>
        </w:trPr>
        <w:tc>
          <w:tcPr>
            <w:tcW w:w="1560" w:type="dxa"/>
            <w:tcBorders>
              <w:bottom w:val="single" w:sz="4" w:space="0" w:color="auto"/>
            </w:tcBorders>
          </w:tcPr>
          <w:p w:rsidR="002B0A2B" w:rsidRPr="002B0A2B" w:rsidRDefault="002B0A2B">
            <w:pPr>
              <w:rPr>
                <w:rFonts w:ascii="Calibri" w:hAnsi="Calibri" w:cs="Calibri"/>
                <w:sz w:val="20"/>
                <w:szCs w:val="20"/>
              </w:rPr>
            </w:pPr>
            <w:r w:rsidRPr="002B0A2B">
              <w:rPr>
                <w:rFonts w:ascii="Times New Roman" w:hAnsi="Times New Roman" w:cs="Times New Roman"/>
                <w:b/>
                <w:bCs/>
                <w:color w:val="000000"/>
                <w:sz w:val="20"/>
                <w:szCs w:val="20"/>
              </w:rPr>
              <w:t>Com. DMA</w:t>
            </w:r>
          </w:p>
        </w:tc>
        <w:tc>
          <w:tcPr>
            <w:tcW w:w="1843" w:type="dxa"/>
            <w:tcBorders>
              <w:bottom w:val="single" w:sz="4" w:space="0" w:color="auto"/>
            </w:tcBorders>
          </w:tcPr>
          <w:p w:rsidR="002B0A2B" w:rsidRPr="002B0A2B" w:rsidRDefault="002B0A2B">
            <w:pPr>
              <w:rPr>
                <w:rFonts w:ascii="Times New Roman" w:hAnsi="Times New Roman" w:cs="Times New Roman"/>
                <w:b/>
                <w:bCs/>
                <w:sz w:val="20"/>
                <w:szCs w:val="20"/>
                <w:lang w:eastAsia="fr-FR"/>
              </w:rPr>
            </w:pPr>
            <w:r w:rsidRPr="002B0A2B">
              <w:rPr>
                <w:rFonts w:ascii="Times New Roman" w:hAnsi="Times New Roman" w:cs="Times New Roman"/>
                <w:b/>
                <w:bCs/>
                <w:sz w:val="20"/>
                <w:szCs w:val="20"/>
                <w:lang w:eastAsia="fr-FR"/>
              </w:rPr>
              <w:t>CONQUETE EN PREVOYANCE</w:t>
            </w:r>
          </w:p>
          <w:p w:rsidR="002B0A2B" w:rsidRPr="002B0A2B" w:rsidRDefault="002B0A2B">
            <w:pPr>
              <w:rPr>
                <w:rFonts w:ascii="Times New Roman" w:hAnsi="Times New Roman" w:cs="Times New Roman"/>
                <w:b/>
                <w:bCs/>
                <w:sz w:val="20"/>
                <w:szCs w:val="20"/>
                <w:highlight w:val="yellow"/>
                <w:lang w:eastAsia="fr-FR"/>
              </w:rPr>
            </w:pPr>
          </w:p>
        </w:tc>
        <w:tc>
          <w:tcPr>
            <w:tcW w:w="12332" w:type="dxa"/>
            <w:tcBorders>
              <w:bottom w:val="single" w:sz="4" w:space="0" w:color="auto"/>
            </w:tcBorders>
            <w:shd w:val="clear" w:color="auto" w:fill="auto"/>
          </w:tcPr>
          <w:p w:rsidR="002B0A2B" w:rsidRPr="001D24EC" w:rsidRDefault="002B0A2B" w:rsidP="002B0A2B">
            <w:pPr>
              <w:pStyle w:val="Paragraphedeliste"/>
              <w:numPr>
                <w:ilvl w:val="0"/>
                <w:numId w:val="38"/>
              </w:numPr>
              <w:ind w:left="176" w:hanging="176"/>
              <w:contextualSpacing w:val="0"/>
              <w:rPr>
                <w:rFonts w:ascii="Times New Roman" w:hAnsi="Times New Roman" w:cs="Times New Roman"/>
                <w:sz w:val="20"/>
                <w:szCs w:val="20"/>
                <w:lang w:eastAsia="fr-FR"/>
              </w:rPr>
            </w:pPr>
            <w:r w:rsidRPr="001D24EC">
              <w:rPr>
                <w:rFonts w:ascii="Times New Roman" w:hAnsi="Times New Roman" w:cs="Times New Roman"/>
                <w:sz w:val="20"/>
                <w:szCs w:val="20"/>
                <w:lang w:eastAsia="fr-FR"/>
              </w:rPr>
              <w:t>3 626 clients non détenteurs de contrats de Prévoyance vont recevoir début mai un courrier ou e-mailing</w:t>
            </w:r>
            <w:r w:rsidRPr="001D24EC">
              <w:rPr>
                <w:rFonts w:ascii="Times New Roman" w:hAnsi="Times New Roman" w:cs="Times New Roman"/>
                <w:color w:val="1F497D"/>
                <w:sz w:val="20"/>
                <w:szCs w:val="20"/>
                <w:lang w:eastAsia="fr-FR"/>
              </w:rPr>
              <w:t xml:space="preserve"> </w:t>
            </w:r>
            <w:r w:rsidRPr="001D24EC">
              <w:rPr>
                <w:rFonts w:ascii="Times New Roman" w:hAnsi="Times New Roman" w:cs="Times New Roman"/>
                <w:sz w:val="20"/>
                <w:szCs w:val="20"/>
                <w:lang w:eastAsia="fr-FR"/>
              </w:rPr>
              <w:t>afin de promouvoir notre offre.</w:t>
            </w:r>
          </w:p>
          <w:p w:rsidR="002B0A2B" w:rsidRPr="001D24EC" w:rsidRDefault="002B0A2B" w:rsidP="002B0A2B">
            <w:pPr>
              <w:pStyle w:val="Paragraphedeliste"/>
              <w:numPr>
                <w:ilvl w:val="0"/>
                <w:numId w:val="38"/>
              </w:numPr>
              <w:ind w:left="176" w:hanging="176"/>
              <w:contextualSpacing w:val="0"/>
              <w:rPr>
                <w:rFonts w:ascii="Times New Roman" w:eastAsia="Times New Roman" w:hAnsi="Times New Roman" w:cs="Times New Roman"/>
                <w:sz w:val="20"/>
                <w:szCs w:val="20"/>
                <w:lang w:eastAsia="fr-FR"/>
              </w:rPr>
            </w:pPr>
            <w:r w:rsidRPr="001D24EC">
              <w:rPr>
                <w:rFonts w:ascii="Times New Roman" w:hAnsi="Times New Roman" w:cs="Times New Roman"/>
                <w:sz w:val="20"/>
                <w:szCs w:val="20"/>
                <w:lang w:eastAsia="fr-FR"/>
              </w:rPr>
              <w:t>Une belle opportunité de contact nous est offerte avec la relance des clients concernés via 2 cibles GERC (livraison prévue</w:t>
            </w:r>
            <w:r w:rsidR="000915D0" w:rsidRPr="001D24EC">
              <w:rPr>
                <w:rFonts w:ascii="Times New Roman" w:hAnsi="Times New Roman" w:cs="Times New Roman"/>
                <w:sz w:val="20"/>
                <w:szCs w:val="20"/>
                <w:lang w:eastAsia="fr-FR"/>
              </w:rPr>
              <w:t xml:space="preserve"> </w:t>
            </w:r>
            <w:r w:rsidRPr="001D24EC">
              <w:rPr>
                <w:rFonts w:ascii="Times New Roman" w:hAnsi="Times New Roman" w:cs="Times New Roman"/>
                <w:sz w:val="20"/>
                <w:szCs w:val="20"/>
                <w:lang w:eastAsia="fr-FR"/>
              </w:rPr>
              <w:t>le 14 mai).</w:t>
            </w:r>
          </w:p>
          <w:p w:rsidR="002B0A2B" w:rsidRPr="001D24EC" w:rsidRDefault="002B0A2B" w:rsidP="002B0A2B">
            <w:pPr>
              <w:pStyle w:val="Paragraphedeliste"/>
              <w:numPr>
                <w:ilvl w:val="0"/>
                <w:numId w:val="38"/>
              </w:numPr>
              <w:ind w:left="176" w:hanging="176"/>
              <w:contextualSpacing w:val="0"/>
              <w:rPr>
                <w:rFonts w:ascii="Times New Roman" w:hAnsi="Times New Roman" w:cs="Times New Roman"/>
                <w:sz w:val="20"/>
                <w:szCs w:val="20"/>
                <w:lang w:eastAsia="fr-FR"/>
              </w:rPr>
            </w:pPr>
            <w:r w:rsidRPr="001D24EC">
              <w:rPr>
                <w:rFonts w:ascii="Times New Roman" w:hAnsi="Times New Roman" w:cs="Times New Roman"/>
                <w:sz w:val="20"/>
                <w:szCs w:val="20"/>
                <w:lang w:eastAsia="fr-FR"/>
              </w:rPr>
              <w:t>Cette opération est assortie d’un jeu concours du 15 mai au 15 juillet qui permettra</w:t>
            </w:r>
            <w:r w:rsidRPr="001D24EC">
              <w:rPr>
                <w:rFonts w:ascii="Times New Roman" w:hAnsi="Times New Roman" w:cs="Times New Roman"/>
                <w:color w:val="1F497D"/>
                <w:sz w:val="20"/>
                <w:szCs w:val="20"/>
                <w:lang w:eastAsia="fr-FR"/>
              </w:rPr>
              <w:t xml:space="preserve"> </w:t>
            </w:r>
            <w:r w:rsidRPr="001D24EC">
              <w:rPr>
                <w:rFonts w:ascii="Times New Roman" w:hAnsi="Times New Roman" w:cs="Times New Roman"/>
                <w:sz w:val="20"/>
                <w:szCs w:val="20"/>
                <w:lang w:eastAsia="fr-FR"/>
              </w:rPr>
              <w:t xml:space="preserve">à nos clients destinataires du publipostage de gagner un coffret SMART BOX d’une valeur de 389€ « Nuits et tables d’exception » </w:t>
            </w:r>
          </w:p>
          <w:p w:rsidR="002B0A2B" w:rsidRPr="001D24EC" w:rsidRDefault="002B0A2B" w:rsidP="002B0A2B">
            <w:pPr>
              <w:pStyle w:val="Paragraphedeliste"/>
              <w:numPr>
                <w:ilvl w:val="0"/>
                <w:numId w:val="38"/>
              </w:numPr>
              <w:ind w:left="176" w:hanging="176"/>
              <w:contextualSpacing w:val="0"/>
              <w:rPr>
                <w:rFonts w:ascii="Times New Roman" w:hAnsi="Times New Roman" w:cs="Times New Roman"/>
                <w:sz w:val="20"/>
                <w:szCs w:val="20"/>
                <w:lang w:eastAsia="fr-FR"/>
              </w:rPr>
            </w:pPr>
            <w:r w:rsidRPr="001D24EC">
              <w:rPr>
                <w:rFonts w:ascii="Times New Roman" w:hAnsi="Times New Roman" w:cs="Times New Roman"/>
                <w:sz w:val="20"/>
                <w:szCs w:val="20"/>
                <w:lang w:eastAsia="fr-FR"/>
              </w:rPr>
              <w:t xml:space="preserve">Vous pouvez retrouver le détail des cibles, Slide 14 de l’HDJ du 19 avril ou en </w:t>
            </w:r>
            <w:hyperlink r:id="rId17" w:history="1">
              <w:r w:rsidRPr="001D24EC">
                <w:rPr>
                  <w:rStyle w:val="Lienhypertexte"/>
                  <w:rFonts w:ascii="Times New Roman" w:hAnsi="Times New Roman" w:cs="Times New Roman"/>
                  <w:sz w:val="20"/>
                  <w:szCs w:val="20"/>
                  <w:lang w:eastAsia="fr-FR"/>
                </w:rPr>
                <w:t>cliquant ICI</w:t>
              </w:r>
            </w:hyperlink>
            <w:r w:rsidRPr="001D24EC">
              <w:rPr>
                <w:rFonts w:ascii="Times New Roman" w:hAnsi="Times New Roman" w:cs="Times New Roman"/>
                <w:sz w:val="20"/>
                <w:szCs w:val="20"/>
                <w:lang w:eastAsia="fr-FR"/>
              </w:rPr>
              <w:t>.</w:t>
            </w:r>
          </w:p>
        </w:tc>
      </w:tr>
      <w:tr w:rsidR="00AF2DC6" w:rsidRPr="00E81F6E" w:rsidTr="00681565">
        <w:trPr>
          <w:trHeight w:val="208"/>
        </w:trPr>
        <w:tc>
          <w:tcPr>
            <w:tcW w:w="1560" w:type="dxa"/>
            <w:tcBorders>
              <w:bottom w:val="single" w:sz="4" w:space="0" w:color="auto"/>
            </w:tcBorders>
          </w:tcPr>
          <w:p w:rsidR="00AF2DC6" w:rsidRPr="00AF2DC6" w:rsidRDefault="00AF2DC6">
            <w:pPr>
              <w:spacing w:after="200" w:line="276" w:lineRule="auto"/>
              <w:rPr>
                <w:rFonts w:ascii="Calibri" w:hAnsi="Calibri" w:cs="Calibri"/>
                <w:sz w:val="20"/>
                <w:szCs w:val="20"/>
              </w:rPr>
            </w:pPr>
            <w:r w:rsidRPr="00AF2DC6">
              <w:rPr>
                <w:rFonts w:ascii="Times New Roman" w:hAnsi="Times New Roman" w:cs="Times New Roman"/>
                <w:b/>
                <w:bCs/>
                <w:sz w:val="20"/>
                <w:szCs w:val="20"/>
              </w:rPr>
              <w:t>Com. DMA</w:t>
            </w:r>
          </w:p>
        </w:tc>
        <w:tc>
          <w:tcPr>
            <w:tcW w:w="1843" w:type="dxa"/>
            <w:tcBorders>
              <w:bottom w:val="single" w:sz="4" w:space="0" w:color="auto"/>
            </w:tcBorders>
          </w:tcPr>
          <w:p w:rsidR="00AF2DC6" w:rsidRPr="00AF2DC6" w:rsidRDefault="00AF2DC6">
            <w:pPr>
              <w:spacing w:after="200" w:line="276" w:lineRule="auto"/>
              <w:rPr>
                <w:rFonts w:ascii="Calibri" w:hAnsi="Calibri" w:cs="Calibri"/>
                <w:sz w:val="20"/>
                <w:szCs w:val="20"/>
              </w:rPr>
            </w:pPr>
            <w:r w:rsidRPr="00AF2DC6">
              <w:rPr>
                <w:rFonts w:ascii="Times New Roman" w:hAnsi="Times New Roman" w:cs="Times New Roman"/>
                <w:b/>
                <w:bCs/>
                <w:sz w:val="20"/>
                <w:szCs w:val="20"/>
              </w:rPr>
              <w:t xml:space="preserve">Lancement de Samsung Pay </w:t>
            </w:r>
          </w:p>
        </w:tc>
        <w:tc>
          <w:tcPr>
            <w:tcW w:w="12332" w:type="dxa"/>
            <w:tcBorders>
              <w:bottom w:val="single" w:sz="4" w:space="0" w:color="auto"/>
            </w:tcBorders>
            <w:shd w:val="clear" w:color="auto" w:fill="auto"/>
          </w:tcPr>
          <w:p w:rsidR="00AF2DC6" w:rsidRPr="001D24EC" w:rsidRDefault="00AF2DC6" w:rsidP="00AF2DC6">
            <w:pPr>
              <w:pStyle w:val="Paragraphedeliste"/>
              <w:numPr>
                <w:ilvl w:val="0"/>
                <w:numId w:val="39"/>
              </w:numPr>
              <w:ind w:left="176" w:hanging="176"/>
              <w:contextualSpacing w:val="0"/>
              <w:rPr>
                <w:rFonts w:ascii="Times New Roman" w:hAnsi="Times New Roman" w:cs="Times New Roman"/>
                <w:sz w:val="20"/>
                <w:szCs w:val="20"/>
              </w:rPr>
            </w:pPr>
            <w:r w:rsidRPr="001D24EC">
              <w:rPr>
                <w:rFonts w:ascii="Times New Roman" w:hAnsi="Times New Roman" w:cs="Times New Roman"/>
                <w:b/>
                <w:sz w:val="20"/>
                <w:szCs w:val="20"/>
              </w:rPr>
              <w:t>Samsung Pay est disponible !</w:t>
            </w:r>
            <w:r w:rsidRPr="001D24EC">
              <w:rPr>
                <w:rFonts w:ascii="Times New Roman" w:hAnsi="Times New Roman" w:cs="Times New Roman"/>
                <w:sz w:val="20"/>
                <w:szCs w:val="20"/>
              </w:rPr>
              <w:t xml:space="preserve"> Avec cette nouvelle solution de paiement mobile, nos clients peuvent réaliser leurs achats avec leur </w:t>
            </w:r>
            <w:r w:rsidR="00231F7E" w:rsidRPr="001D24EC">
              <w:rPr>
                <w:rFonts w:ascii="Times New Roman" w:hAnsi="Times New Roman" w:cs="Times New Roman"/>
                <w:sz w:val="20"/>
                <w:szCs w:val="20"/>
              </w:rPr>
              <w:t>Smartphone</w:t>
            </w:r>
            <w:r w:rsidRPr="001D24EC">
              <w:rPr>
                <w:rFonts w:ascii="Times New Roman" w:hAnsi="Times New Roman" w:cs="Times New Roman"/>
                <w:sz w:val="20"/>
                <w:szCs w:val="20"/>
              </w:rPr>
              <w:t xml:space="preserve"> partout où les paiements sans contact Visa sont acceptés en France et à l’étranger. La solution est proposée en exclusivité aux clients Caisse d'Epargne et Banque Populaire, nous sommes le premier groupe bancaire à lancer Samsung Pay en France !!</w:t>
            </w:r>
          </w:p>
          <w:p w:rsidR="00AF2DC6" w:rsidRPr="001D24EC" w:rsidRDefault="00AF2DC6" w:rsidP="00AF2DC6">
            <w:pPr>
              <w:pStyle w:val="Paragraphedeliste"/>
              <w:numPr>
                <w:ilvl w:val="0"/>
                <w:numId w:val="39"/>
              </w:numPr>
              <w:ind w:left="176" w:hanging="176"/>
              <w:contextualSpacing w:val="0"/>
              <w:rPr>
                <w:rFonts w:ascii="Times New Roman" w:eastAsia="Times New Roman" w:hAnsi="Times New Roman" w:cs="Times New Roman"/>
                <w:sz w:val="20"/>
                <w:szCs w:val="20"/>
                <w:lang w:eastAsia="fr-FR"/>
              </w:rPr>
            </w:pPr>
            <w:r w:rsidRPr="001D24EC">
              <w:rPr>
                <w:rFonts w:ascii="Times New Roman" w:hAnsi="Times New Roman" w:cs="Times New Roman"/>
                <w:sz w:val="20"/>
                <w:szCs w:val="20"/>
              </w:rPr>
              <w:t xml:space="preserve">Suite </w:t>
            </w:r>
            <w:r w:rsidR="005B2FC9" w:rsidRPr="001D24EC">
              <w:rPr>
                <w:rFonts w:ascii="Times New Roman" w:hAnsi="Times New Roman" w:cs="Times New Roman"/>
                <w:sz w:val="20"/>
                <w:szCs w:val="20"/>
              </w:rPr>
              <w:t>à ce</w:t>
            </w:r>
            <w:r w:rsidRPr="001D24EC">
              <w:rPr>
                <w:rFonts w:ascii="Times New Roman" w:hAnsi="Times New Roman" w:cs="Times New Roman"/>
                <w:sz w:val="20"/>
                <w:szCs w:val="20"/>
              </w:rPr>
              <w:t xml:space="preserve"> lancement, notre objectif est de capitaliser sur la notoriété de Samsung pour développer la modernité de notre marque. Par conséquent, un push mobile sera envoyé prochainement à nos clients détenteurs d’un Smartphone compatible de la marque Samsung afin de les inciter à s’enrôler et à réaliser des paiements avec Samsung Pay. </w:t>
            </w:r>
            <w:r w:rsidRPr="001D24EC">
              <w:rPr>
                <w:rFonts w:ascii="Times New Roman" w:hAnsi="Times New Roman" w:cs="Times New Roman"/>
                <w:sz w:val="20"/>
                <w:szCs w:val="20"/>
              </w:rPr>
              <w:br/>
              <w:t xml:space="preserve">Par ailleurs, Samsung a fait partir fin avril un emailing auprès de 1,4 millions de ses clients mettant en avant la Caisse d’Epargne. </w:t>
            </w:r>
          </w:p>
          <w:p w:rsidR="00AF2DC6" w:rsidRPr="001D24EC" w:rsidRDefault="00AF2DC6" w:rsidP="00AF2DC6">
            <w:pPr>
              <w:pStyle w:val="Paragraphedeliste"/>
              <w:numPr>
                <w:ilvl w:val="0"/>
                <w:numId w:val="39"/>
              </w:numPr>
              <w:ind w:left="176" w:hanging="176"/>
              <w:contextualSpacing w:val="0"/>
              <w:rPr>
                <w:rFonts w:ascii="Times New Roman" w:hAnsi="Times New Roman" w:cs="Times New Roman"/>
                <w:sz w:val="20"/>
                <w:szCs w:val="20"/>
              </w:rPr>
            </w:pPr>
            <w:r w:rsidRPr="001D24EC">
              <w:rPr>
                <w:rFonts w:ascii="Times New Roman" w:hAnsi="Times New Roman" w:cs="Times New Roman"/>
                <w:sz w:val="20"/>
                <w:szCs w:val="20"/>
              </w:rPr>
              <w:t>Ci-dessous des informations complémentaires pour</w:t>
            </w:r>
            <w:r w:rsidRPr="001D24EC">
              <w:rPr>
                <w:rFonts w:ascii="Times New Roman" w:hAnsi="Times New Roman" w:cs="Times New Roman"/>
                <w:b/>
                <w:bCs/>
                <w:sz w:val="20"/>
                <w:szCs w:val="20"/>
              </w:rPr>
              <w:t xml:space="preserve"> accéder à l’application Samsung Pay </w:t>
            </w:r>
          </w:p>
          <w:p w:rsidR="00AF2DC6" w:rsidRPr="001D24EC" w:rsidRDefault="00AF2DC6" w:rsidP="00AF2DC6">
            <w:pPr>
              <w:pStyle w:val="Paragraphedeliste"/>
              <w:numPr>
                <w:ilvl w:val="1"/>
                <w:numId w:val="39"/>
              </w:numPr>
              <w:contextualSpacing w:val="0"/>
              <w:rPr>
                <w:rFonts w:ascii="Times New Roman" w:hAnsi="Times New Roman" w:cs="Times New Roman"/>
                <w:sz w:val="20"/>
                <w:szCs w:val="20"/>
              </w:rPr>
            </w:pPr>
            <w:r w:rsidRPr="001D24EC">
              <w:rPr>
                <w:rFonts w:ascii="Times New Roman" w:hAnsi="Times New Roman" w:cs="Times New Roman"/>
                <w:b/>
                <w:bCs/>
                <w:sz w:val="20"/>
                <w:szCs w:val="20"/>
              </w:rPr>
              <w:t>Pour les personnes équipées d’un S7, S7 Edge ou A5 2017</w:t>
            </w:r>
            <w:r w:rsidRPr="001D24EC">
              <w:rPr>
                <w:rFonts w:ascii="Times New Roman" w:hAnsi="Times New Roman" w:cs="Times New Roman"/>
                <w:sz w:val="20"/>
                <w:szCs w:val="20"/>
              </w:rPr>
              <w:t xml:space="preserve"> : ces dernières ne peuvent avoir accès à l’appli Samsung Pay dans le </w:t>
            </w:r>
            <w:r w:rsidRPr="001D24EC">
              <w:rPr>
                <w:rFonts w:ascii="Times New Roman" w:hAnsi="Times New Roman" w:cs="Times New Roman"/>
                <w:sz w:val="20"/>
                <w:szCs w:val="20"/>
              </w:rPr>
              <w:lastRenderedPageBreak/>
              <w:t>PlayStore mais uniquement via la mise à jour poussée par Samsung (</w:t>
            </w:r>
            <w:hyperlink r:id="rId18" w:history="1">
              <w:r w:rsidRPr="001D24EC">
                <w:rPr>
                  <w:rStyle w:val="Lienhypertexte"/>
                  <w:rFonts w:ascii="Times New Roman" w:hAnsi="Times New Roman" w:cs="Times New Roman"/>
                  <w:sz w:val="20"/>
                  <w:szCs w:val="20"/>
                </w:rPr>
                <w:t>CLIQUEZ ICI</w:t>
              </w:r>
            </w:hyperlink>
            <w:r w:rsidRPr="001D24EC">
              <w:rPr>
                <w:rFonts w:ascii="Times New Roman" w:hAnsi="Times New Roman" w:cs="Times New Roman"/>
                <w:sz w:val="20"/>
                <w:szCs w:val="20"/>
              </w:rPr>
              <w:t xml:space="preserve"> pour accéder à la procédure)</w:t>
            </w:r>
            <w:r w:rsidRPr="001D24EC">
              <w:rPr>
                <w:rFonts w:ascii="Times New Roman" w:hAnsi="Times New Roman" w:cs="Times New Roman"/>
                <w:color w:val="1F497D"/>
                <w:sz w:val="20"/>
                <w:szCs w:val="20"/>
              </w:rPr>
              <w:t>.</w:t>
            </w:r>
          </w:p>
          <w:p w:rsidR="00AF2DC6" w:rsidRPr="001D24EC" w:rsidRDefault="00AF2DC6" w:rsidP="005B2FC9">
            <w:pPr>
              <w:pStyle w:val="Paragraphedeliste"/>
              <w:numPr>
                <w:ilvl w:val="1"/>
                <w:numId w:val="39"/>
              </w:numPr>
              <w:contextualSpacing w:val="0"/>
              <w:rPr>
                <w:rFonts w:ascii="Times New Roman" w:hAnsi="Times New Roman" w:cs="Times New Roman"/>
                <w:sz w:val="20"/>
                <w:szCs w:val="20"/>
              </w:rPr>
            </w:pPr>
            <w:r w:rsidRPr="001D24EC">
              <w:rPr>
                <w:rFonts w:ascii="Times New Roman" w:hAnsi="Times New Roman" w:cs="Times New Roman"/>
                <w:b/>
                <w:bCs/>
                <w:sz w:val="20"/>
                <w:szCs w:val="20"/>
              </w:rPr>
              <w:t xml:space="preserve">Pour les autres téléphones S9/S9+, S8/S8+, A8 ou Note 8 l’application est </w:t>
            </w:r>
            <w:r w:rsidR="005B2FC9" w:rsidRPr="001D24EC">
              <w:rPr>
                <w:rFonts w:ascii="Times New Roman" w:hAnsi="Times New Roman" w:cs="Times New Roman"/>
                <w:b/>
                <w:bCs/>
                <w:sz w:val="20"/>
                <w:szCs w:val="20"/>
              </w:rPr>
              <w:t>disponible dans</w:t>
            </w:r>
            <w:r w:rsidRPr="001D24EC">
              <w:rPr>
                <w:rFonts w:ascii="Times New Roman" w:hAnsi="Times New Roman" w:cs="Times New Roman"/>
                <w:b/>
                <w:bCs/>
                <w:sz w:val="20"/>
                <w:szCs w:val="20"/>
              </w:rPr>
              <w:t xml:space="preserve"> le Play Store.</w:t>
            </w:r>
          </w:p>
        </w:tc>
      </w:tr>
      <w:tr w:rsidR="00802DB3" w:rsidRPr="00E81F6E" w:rsidTr="00681565">
        <w:trPr>
          <w:trHeight w:val="208"/>
        </w:trPr>
        <w:tc>
          <w:tcPr>
            <w:tcW w:w="1560" w:type="dxa"/>
            <w:tcBorders>
              <w:bottom w:val="single" w:sz="4" w:space="0" w:color="auto"/>
            </w:tcBorders>
          </w:tcPr>
          <w:p w:rsidR="00802DB3" w:rsidRDefault="00802DB3" w:rsidP="00CF72D7">
            <w:pPr>
              <w:rPr>
                <w:rFonts w:ascii="Times New Roman" w:hAnsi="Times New Roman" w:cs="Times New Roman"/>
                <w:b/>
                <w:bCs/>
                <w:sz w:val="20"/>
                <w:szCs w:val="20"/>
              </w:rPr>
            </w:pPr>
            <w:r>
              <w:rPr>
                <w:rFonts w:ascii="Times New Roman" w:hAnsi="Times New Roman" w:cs="Times New Roman"/>
                <w:b/>
                <w:bCs/>
                <w:sz w:val="20"/>
                <w:szCs w:val="20"/>
              </w:rPr>
              <w:lastRenderedPageBreak/>
              <w:t>Com</w:t>
            </w:r>
            <w:r w:rsidR="00CF72D7">
              <w:rPr>
                <w:rFonts w:ascii="Times New Roman" w:hAnsi="Times New Roman" w:cs="Times New Roman"/>
                <w:b/>
                <w:bCs/>
                <w:sz w:val="20"/>
                <w:szCs w:val="20"/>
              </w:rPr>
              <w:t>.</w:t>
            </w:r>
            <w:r>
              <w:rPr>
                <w:rFonts w:ascii="Times New Roman" w:hAnsi="Times New Roman" w:cs="Times New Roman"/>
                <w:b/>
                <w:bCs/>
                <w:sz w:val="20"/>
                <w:szCs w:val="20"/>
              </w:rPr>
              <w:t xml:space="preserve"> DMA</w:t>
            </w:r>
          </w:p>
        </w:tc>
        <w:tc>
          <w:tcPr>
            <w:tcW w:w="1843" w:type="dxa"/>
            <w:tcBorders>
              <w:bottom w:val="single" w:sz="4" w:space="0" w:color="auto"/>
            </w:tcBorders>
          </w:tcPr>
          <w:p w:rsidR="00802DB3" w:rsidRDefault="00802DB3">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Rappel sur les plafonds de cartes bancaires</w:t>
            </w:r>
          </w:p>
        </w:tc>
        <w:tc>
          <w:tcPr>
            <w:tcW w:w="12332" w:type="dxa"/>
            <w:tcBorders>
              <w:bottom w:val="single" w:sz="4" w:space="0" w:color="auto"/>
            </w:tcBorders>
            <w:shd w:val="clear" w:color="auto" w:fill="auto"/>
          </w:tcPr>
          <w:p w:rsidR="00802DB3" w:rsidRPr="001D24EC" w:rsidRDefault="00802DB3" w:rsidP="00802DB3">
            <w:pPr>
              <w:numPr>
                <w:ilvl w:val="0"/>
                <w:numId w:val="39"/>
              </w:numPr>
              <w:spacing w:after="200" w:line="276" w:lineRule="auto"/>
              <w:ind w:left="176" w:hanging="176"/>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Depuis février 2016, lors de la souscription d’une carte bancaire, le niveau de plafond standard s’applique par défaut mais le conseiller peut sélectionner un niveau inférieur ou supérieur en fonction du profil du client (chaque carte dispose d’un catalogue de 3 niveaux de plafonds)</w:t>
            </w:r>
          </w:p>
          <w:p w:rsidR="00802DB3" w:rsidRPr="001D24EC" w:rsidRDefault="00802DB3" w:rsidP="00802DB3">
            <w:pPr>
              <w:numPr>
                <w:ilvl w:val="0"/>
                <w:numId w:val="39"/>
              </w:numPr>
              <w:spacing w:after="200" w:line="276" w:lineRule="auto"/>
              <w:ind w:left="176" w:hanging="176"/>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Lorsqu’un client a besoin d’un plafond supérieur (achat exceptionnel, voyage), plusieurs solutions existent :</w:t>
            </w:r>
          </w:p>
          <w:p w:rsidR="00802DB3" w:rsidRPr="001D24EC" w:rsidRDefault="00802DB3" w:rsidP="00802DB3">
            <w:pPr>
              <w:numPr>
                <w:ilvl w:val="0"/>
                <w:numId w:val="41"/>
              </w:numPr>
              <w:spacing w:after="200" w:line="276" w:lineRule="auto"/>
              <w:ind w:left="883"/>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 xml:space="preserve">Positionner un niveau supérieur dans le catalogue des 3 plafonds, s’il est adapté à la demande et au profil du client (pérenne et gratuit) </w:t>
            </w:r>
          </w:p>
          <w:p w:rsidR="00802DB3" w:rsidRPr="001D24EC" w:rsidRDefault="00802DB3" w:rsidP="00802DB3">
            <w:pPr>
              <w:numPr>
                <w:ilvl w:val="0"/>
                <w:numId w:val="41"/>
              </w:numPr>
              <w:spacing w:after="200" w:line="276" w:lineRule="auto"/>
              <w:ind w:left="883"/>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 xml:space="preserve">Positionner un plafond dérogatoire soumis à délégation (limité à 2 mois – facturé 10€) =&gt; ces plafonds sont également disponibles sur DEI (en fonction de critères d’éligibilité des clients). Le plafond est actif dans un délai d’1h environ (cf. note </w:t>
            </w:r>
            <w:hyperlink r:id="rId19" w:history="1">
              <w:r w:rsidRPr="001D24EC">
                <w:rPr>
                  <w:rStyle w:val="Lienhypertexte"/>
                  <w:rFonts w:ascii="Times New Roman" w:hAnsi="Times New Roman" w:cs="Times New Roman"/>
                  <w:sz w:val="20"/>
                  <w:szCs w:val="20"/>
                  <w:lang w:eastAsia="fr-FR"/>
                </w:rPr>
                <w:t>DMA-INF/16.052</w:t>
              </w:r>
            </w:hyperlink>
            <w:r w:rsidRPr="001D24EC">
              <w:rPr>
                <w:rFonts w:ascii="Times New Roman" w:hAnsi="Times New Roman" w:cs="Times New Roman"/>
                <w:sz w:val="20"/>
                <w:szCs w:val="20"/>
                <w:lang w:eastAsia="fr-FR"/>
              </w:rPr>
              <w:t>)</w:t>
            </w:r>
          </w:p>
          <w:p w:rsidR="00802DB3" w:rsidRPr="001D24EC" w:rsidRDefault="00802DB3" w:rsidP="00802DB3">
            <w:pPr>
              <w:numPr>
                <w:ilvl w:val="0"/>
                <w:numId w:val="41"/>
              </w:numPr>
              <w:spacing w:after="200" w:line="276" w:lineRule="auto"/>
              <w:ind w:left="883"/>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Proposer une montée en gamme de carte pour des besoins plus récurrents.</w:t>
            </w:r>
          </w:p>
          <w:p w:rsidR="00802DB3" w:rsidRPr="001D24EC" w:rsidRDefault="00802DB3" w:rsidP="00802DB3">
            <w:pPr>
              <w:numPr>
                <w:ilvl w:val="0"/>
                <w:numId w:val="39"/>
              </w:numPr>
              <w:spacing w:after="200" w:line="276" w:lineRule="auto"/>
              <w:ind w:left="176" w:hanging="176"/>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Pour rappel, les plafonds sont applicables sur 30 jours glissants pour les paiements et 7 jours glissants pour les retraits. Pour les retraits, un plafond maximal sur 1 jour s’applique également.</w:t>
            </w:r>
          </w:p>
          <w:p w:rsidR="00802DB3" w:rsidRPr="001D24EC" w:rsidRDefault="00802DB3" w:rsidP="00802DB3">
            <w:pPr>
              <w:numPr>
                <w:ilvl w:val="0"/>
                <w:numId w:val="39"/>
              </w:numPr>
              <w:spacing w:after="200" w:line="276" w:lineRule="auto"/>
              <w:ind w:left="176" w:hanging="176"/>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Documents à votre disposition dans la rubrique des commerciaux &gt; bancarisation &gt; fonctions des cartes:</w:t>
            </w:r>
          </w:p>
          <w:p w:rsidR="00DD62C0" w:rsidRPr="001D24EC" w:rsidRDefault="00802DB3" w:rsidP="00DD62C0">
            <w:pPr>
              <w:numPr>
                <w:ilvl w:val="0"/>
                <w:numId w:val="41"/>
              </w:numPr>
              <w:spacing w:after="200" w:line="276" w:lineRule="auto"/>
              <w:ind w:left="883"/>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Une fiche technique qui recense les niveaux disponibles pour chaque type de carte + un mode opératoire pour changer le plafond</w:t>
            </w:r>
          </w:p>
          <w:p w:rsidR="00DD62C0" w:rsidRPr="001D24EC" w:rsidRDefault="00802DB3" w:rsidP="00DD62C0">
            <w:pPr>
              <w:numPr>
                <w:ilvl w:val="0"/>
                <w:numId w:val="41"/>
              </w:numPr>
              <w:spacing w:after="200" w:line="276" w:lineRule="auto"/>
              <w:ind w:left="883"/>
              <w:contextualSpacing/>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Une fiche pratique pour connaitre le détail du fonctionnement des plafonds de paiement et retrait</w:t>
            </w:r>
            <w:r w:rsidR="00DD62C0" w:rsidRPr="001D24EC">
              <w:rPr>
                <w:rFonts w:ascii="Times New Roman" w:hAnsi="Times New Roman" w:cs="Times New Roman"/>
                <w:sz w:val="20"/>
                <w:szCs w:val="20"/>
                <w:lang w:eastAsia="fr-FR"/>
              </w:rPr>
              <w:t xml:space="preserve"> </w:t>
            </w:r>
          </w:p>
          <w:p w:rsidR="00CD4710" w:rsidRPr="001D24EC" w:rsidRDefault="008A35B4" w:rsidP="00CD4710">
            <w:pPr>
              <w:ind w:left="176"/>
              <w:contextualSpacing/>
              <w:jc w:val="both"/>
              <w:rPr>
                <w:rFonts w:ascii="Times New Roman" w:hAnsi="Times New Roman" w:cs="Times New Roman"/>
                <w:sz w:val="20"/>
                <w:szCs w:val="20"/>
                <w:lang w:eastAsia="fr-FR"/>
              </w:rPr>
            </w:pPr>
            <w:hyperlink r:id="rId20" w:history="1">
              <w:r w:rsidR="00CD4710" w:rsidRPr="001D24EC">
                <w:rPr>
                  <w:rStyle w:val="Lienhypertexte"/>
                  <w:rFonts w:ascii="Times New Roman" w:hAnsi="Times New Roman" w:cs="Times New Roman"/>
                  <w:sz w:val="20"/>
                  <w:szCs w:val="20"/>
                  <w:lang w:eastAsia="fr-FR"/>
                </w:rPr>
                <w:t>Cliquez ICI pour y accéder. </w:t>
              </w:r>
            </w:hyperlink>
          </w:p>
          <w:p w:rsidR="00DD62C0" w:rsidRPr="001D24EC" w:rsidRDefault="00DD62C0" w:rsidP="00DD62C0">
            <w:pPr>
              <w:pStyle w:val="Paragraphedeliste"/>
              <w:numPr>
                <w:ilvl w:val="0"/>
                <w:numId w:val="44"/>
              </w:numPr>
              <w:ind w:left="176" w:hanging="175"/>
              <w:jc w:val="both"/>
              <w:rPr>
                <w:rFonts w:ascii="Times New Roman" w:hAnsi="Times New Roman" w:cs="Times New Roman"/>
                <w:sz w:val="20"/>
                <w:szCs w:val="20"/>
                <w:lang w:eastAsia="fr-FR"/>
              </w:rPr>
            </w:pPr>
            <w:r w:rsidRPr="001D24EC">
              <w:rPr>
                <w:rFonts w:ascii="Times New Roman" w:hAnsi="Times New Roman" w:cs="Times New Roman"/>
                <w:sz w:val="20"/>
                <w:szCs w:val="20"/>
                <w:lang w:eastAsia="fr-FR"/>
              </w:rPr>
              <w:t xml:space="preserve">Retrouvez les délégations dans le référentiel </w:t>
            </w:r>
            <w:hyperlink r:id="rId21" w:history="1">
              <w:r w:rsidRPr="001D24EC">
                <w:rPr>
                  <w:rStyle w:val="Lienhypertexte"/>
                  <w:rFonts w:ascii="Times New Roman" w:hAnsi="Times New Roman" w:cs="Times New Roman"/>
                  <w:sz w:val="20"/>
                  <w:szCs w:val="20"/>
                  <w:lang w:eastAsia="fr-FR"/>
                </w:rPr>
                <w:t>en cliquant ICI.</w:t>
              </w:r>
            </w:hyperlink>
          </w:p>
        </w:tc>
      </w:tr>
      <w:tr w:rsidR="004824B8" w:rsidRPr="00E81F6E" w:rsidTr="00681565">
        <w:trPr>
          <w:trHeight w:val="248"/>
        </w:trPr>
        <w:tc>
          <w:tcPr>
            <w:tcW w:w="15735" w:type="dxa"/>
            <w:gridSpan w:val="3"/>
            <w:tcBorders>
              <w:bottom w:val="single" w:sz="4" w:space="0" w:color="auto"/>
            </w:tcBorders>
            <w:shd w:val="pct20" w:color="auto" w:fill="auto"/>
          </w:tcPr>
          <w:p w:rsidR="004824B8" w:rsidRPr="00AF3BE3" w:rsidRDefault="004824B8" w:rsidP="00681565">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2B0A2B" w:rsidRPr="00E81F6E" w:rsidTr="00681565">
        <w:trPr>
          <w:trHeight w:val="983"/>
        </w:trPr>
        <w:tc>
          <w:tcPr>
            <w:tcW w:w="1560" w:type="dxa"/>
            <w:tcBorders>
              <w:bottom w:val="single" w:sz="4" w:space="0" w:color="auto"/>
            </w:tcBorders>
          </w:tcPr>
          <w:p w:rsidR="002B0A2B" w:rsidRPr="002B0A2B" w:rsidRDefault="002B0A2B">
            <w:pPr>
              <w:rPr>
                <w:rFonts w:ascii="Calibri" w:hAnsi="Calibri" w:cs="Calibri"/>
                <w:sz w:val="20"/>
                <w:szCs w:val="20"/>
              </w:rPr>
            </w:pPr>
            <w:r w:rsidRPr="002B0A2B">
              <w:rPr>
                <w:rFonts w:ascii="Times New Roman" w:hAnsi="Times New Roman" w:cs="Times New Roman"/>
                <w:b/>
                <w:bCs/>
                <w:color w:val="000000"/>
                <w:sz w:val="20"/>
                <w:szCs w:val="20"/>
              </w:rPr>
              <w:t>Com. DSB</w:t>
            </w:r>
          </w:p>
        </w:tc>
        <w:tc>
          <w:tcPr>
            <w:tcW w:w="1843" w:type="dxa"/>
            <w:tcBorders>
              <w:bottom w:val="single" w:sz="4" w:space="0" w:color="auto"/>
            </w:tcBorders>
          </w:tcPr>
          <w:p w:rsidR="002B0A2B" w:rsidRPr="002B0A2B" w:rsidRDefault="002B0A2B">
            <w:pPr>
              <w:rPr>
                <w:rFonts w:ascii="Times New Roman" w:hAnsi="Times New Roman" w:cs="Times New Roman"/>
                <w:b/>
                <w:bCs/>
                <w:sz w:val="20"/>
                <w:szCs w:val="20"/>
                <w:lang w:eastAsia="fr-FR"/>
              </w:rPr>
            </w:pPr>
            <w:r w:rsidRPr="002B0A2B">
              <w:rPr>
                <w:rFonts w:ascii="Times New Roman" w:hAnsi="Times New Roman" w:cs="Times New Roman"/>
                <w:b/>
                <w:bCs/>
                <w:sz w:val="20"/>
                <w:szCs w:val="20"/>
                <w:lang w:eastAsia="fr-FR"/>
              </w:rPr>
              <w:t>LEP : Communication Clients</w:t>
            </w:r>
          </w:p>
          <w:p w:rsidR="002B0A2B" w:rsidRPr="002B0A2B" w:rsidRDefault="002B0A2B">
            <w:pPr>
              <w:rPr>
                <w:rFonts w:ascii="Times New Roman" w:hAnsi="Times New Roman" w:cs="Times New Roman"/>
                <w:b/>
                <w:bCs/>
                <w:sz w:val="20"/>
                <w:szCs w:val="20"/>
                <w:highlight w:val="yellow"/>
                <w:lang w:eastAsia="fr-FR"/>
              </w:rPr>
            </w:pPr>
          </w:p>
        </w:tc>
        <w:tc>
          <w:tcPr>
            <w:tcW w:w="12332" w:type="dxa"/>
            <w:tcBorders>
              <w:bottom w:val="single" w:sz="4" w:space="0" w:color="auto"/>
            </w:tcBorders>
            <w:shd w:val="clear" w:color="auto" w:fill="auto"/>
          </w:tcPr>
          <w:p w:rsidR="002B0A2B" w:rsidRPr="008A31F7" w:rsidRDefault="002B0A2B" w:rsidP="001A11EE">
            <w:pPr>
              <w:pStyle w:val="Paragraphedeliste"/>
              <w:numPr>
                <w:ilvl w:val="0"/>
                <w:numId w:val="38"/>
              </w:numPr>
              <w:ind w:left="175" w:hanging="175"/>
              <w:contextualSpacing w:val="0"/>
              <w:jc w:val="both"/>
              <w:rPr>
                <w:rFonts w:ascii="Times New Roman" w:hAnsi="Times New Roman" w:cs="Times New Roman"/>
                <w:sz w:val="20"/>
                <w:szCs w:val="20"/>
                <w:lang w:eastAsia="fr-FR"/>
              </w:rPr>
            </w:pPr>
            <w:r w:rsidRPr="008A31F7">
              <w:rPr>
                <w:rFonts w:ascii="Times New Roman" w:hAnsi="Times New Roman" w:cs="Times New Roman"/>
                <w:sz w:val="20"/>
                <w:szCs w:val="20"/>
                <w:lang w:eastAsia="fr-FR"/>
              </w:rPr>
              <w:t xml:space="preserve">Comme évoqué dans le brief de la semaine dernière, un courrier ou un e-mail a été adressé à nos 156 000 clients devant justifier leur LEP avant le 31/12/2018 (volume annuel habituel + clause Grand Père). </w:t>
            </w:r>
          </w:p>
          <w:p w:rsidR="002B0A2B" w:rsidRPr="008A31F7" w:rsidRDefault="002B0A2B" w:rsidP="001A11EE">
            <w:pPr>
              <w:pStyle w:val="Paragraphedeliste"/>
              <w:numPr>
                <w:ilvl w:val="0"/>
                <w:numId w:val="38"/>
              </w:numPr>
              <w:ind w:left="175" w:hanging="175"/>
              <w:contextualSpacing w:val="0"/>
              <w:jc w:val="both"/>
              <w:rPr>
                <w:rFonts w:ascii="Times New Roman" w:eastAsia="Times New Roman" w:hAnsi="Times New Roman" w:cs="Times New Roman"/>
                <w:sz w:val="20"/>
                <w:szCs w:val="20"/>
                <w:lang w:eastAsia="fr-FR"/>
              </w:rPr>
            </w:pPr>
            <w:r w:rsidRPr="008A31F7">
              <w:rPr>
                <w:rFonts w:ascii="Times New Roman" w:hAnsi="Times New Roman" w:cs="Times New Roman"/>
                <w:sz w:val="20"/>
                <w:szCs w:val="20"/>
                <w:lang w:eastAsia="fr-FR"/>
              </w:rPr>
              <w:t>Au vu de la volumétrie exceptionnelle et pour décharger les agences, le process de traitement a été totalement externalisé auprès d’IDATECH.</w:t>
            </w:r>
          </w:p>
          <w:p w:rsidR="002B0A2B" w:rsidRPr="008A31F7" w:rsidRDefault="002B0A2B" w:rsidP="001A11EE">
            <w:pPr>
              <w:pStyle w:val="Paragraphedeliste"/>
              <w:numPr>
                <w:ilvl w:val="0"/>
                <w:numId w:val="38"/>
              </w:numPr>
              <w:ind w:left="175" w:hanging="175"/>
              <w:contextualSpacing w:val="0"/>
              <w:jc w:val="both"/>
              <w:rPr>
                <w:rFonts w:ascii="Times New Roman" w:hAnsi="Times New Roman" w:cs="Times New Roman"/>
                <w:sz w:val="20"/>
                <w:szCs w:val="20"/>
                <w:lang w:eastAsia="fr-FR"/>
              </w:rPr>
            </w:pPr>
            <w:r w:rsidRPr="008A31F7">
              <w:rPr>
                <w:rFonts w:ascii="Times New Roman" w:hAnsi="Times New Roman" w:cs="Times New Roman"/>
                <w:sz w:val="20"/>
                <w:szCs w:val="20"/>
                <w:lang w:eastAsia="fr-FR"/>
              </w:rPr>
              <w:t xml:space="preserve">L’intervention de différents acteurs a nécessité un délai entre la sélection des clients (données arrêtées à fin février) et l’édition des courriers. En conséquence, il se peut que certains de nos clients aient reçu le courrier ou l’e- mail alors même </w:t>
            </w:r>
            <w:r w:rsidR="00231F7E" w:rsidRPr="008A31F7">
              <w:rPr>
                <w:rFonts w:ascii="Times New Roman" w:hAnsi="Times New Roman" w:cs="Times New Roman"/>
                <w:sz w:val="20"/>
                <w:szCs w:val="20"/>
                <w:lang w:eastAsia="fr-FR"/>
              </w:rPr>
              <w:t>qu’ils avaient</w:t>
            </w:r>
            <w:r w:rsidRPr="008A31F7">
              <w:rPr>
                <w:rFonts w:ascii="Times New Roman" w:hAnsi="Times New Roman" w:cs="Times New Roman"/>
                <w:sz w:val="20"/>
                <w:szCs w:val="20"/>
                <w:lang w:eastAsia="fr-FR"/>
              </w:rPr>
              <w:t xml:space="preserve"> fait le nécessaire entre fin février et l’envoi du courrier.</w:t>
            </w:r>
          </w:p>
          <w:p w:rsidR="008A31F7" w:rsidRPr="008A31F7" w:rsidRDefault="008A31F7" w:rsidP="008A31F7">
            <w:pPr>
              <w:pStyle w:val="Paragraphedeliste"/>
              <w:numPr>
                <w:ilvl w:val="0"/>
                <w:numId w:val="38"/>
              </w:numPr>
              <w:ind w:left="175" w:hanging="175"/>
              <w:contextualSpacing w:val="0"/>
              <w:jc w:val="both"/>
              <w:rPr>
                <w:rFonts w:ascii="Times New Roman" w:hAnsi="Times New Roman" w:cs="Times New Roman"/>
                <w:sz w:val="20"/>
                <w:szCs w:val="20"/>
                <w:lang w:eastAsia="fr-FR"/>
              </w:rPr>
            </w:pPr>
            <w:r w:rsidRPr="008A31F7">
              <w:rPr>
                <w:rFonts w:ascii="Times New Roman" w:hAnsi="Times New Roman" w:cs="Times New Roman"/>
                <w:b/>
                <w:sz w:val="20"/>
                <w:szCs w:val="20"/>
                <w:lang w:eastAsia="fr-FR"/>
              </w:rPr>
              <w:t>IMPORTANT :</w:t>
            </w:r>
            <w:r w:rsidRPr="008A31F7">
              <w:rPr>
                <w:rFonts w:ascii="Times New Roman" w:hAnsi="Times New Roman" w:cs="Times New Roman"/>
                <w:sz w:val="20"/>
                <w:szCs w:val="20"/>
                <w:lang w:eastAsia="fr-FR"/>
              </w:rPr>
              <w:t xml:space="preserve"> Afin de centraliser l’ensemble du dispositif, si un client dépose son justificatif à l’agence, le conseiller devra renvoyer ce document ainsi que le courrier d’accompagnement sans mettre à jour le LEP au Service Courrier à Nancy </w:t>
            </w:r>
            <w:proofErr w:type="spellStart"/>
            <w:r w:rsidRPr="008A31F7">
              <w:rPr>
                <w:rFonts w:ascii="Times New Roman" w:hAnsi="Times New Roman" w:cs="Times New Roman"/>
                <w:sz w:val="20"/>
                <w:szCs w:val="20"/>
                <w:lang w:eastAsia="fr-FR"/>
              </w:rPr>
              <w:t>Poirel</w:t>
            </w:r>
            <w:proofErr w:type="spellEnd"/>
            <w:r w:rsidRPr="008A31F7">
              <w:rPr>
                <w:rFonts w:ascii="Times New Roman" w:hAnsi="Times New Roman" w:cs="Times New Roman"/>
                <w:sz w:val="20"/>
                <w:szCs w:val="20"/>
                <w:lang w:eastAsia="fr-FR"/>
              </w:rPr>
              <w:t xml:space="preserve">. </w:t>
            </w:r>
            <w:r w:rsidRPr="008A31F7">
              <w:rPr>
                <w:rFonts w:ascii="Times New Roman" w:hAnsi="Times New Roman" w:cs="Times New Roman"/>
                <w:sz w:val="20"/>
                <w:szCs w:val="20"/>
                <w:lang w:eastAsia="fr-FR"/>
              </w:rPr>
              <w:tab/>
              <w:t>Le courrier d’accompagnement contient un code barre nécessaire à IDATECH pour le traitement des LEP.</w:t>
            </w:r>
          </w:p>
        </w:tc>
      </w:tr>
      <w:tr w:rsidR="008D0B2A" w:rsidRPr="00E81F6E" w:rsidTr="00681565">
        <w:trPr>
          <w:trHeight w:val="983"/>
        </w:trPr>
        <w:tc>
          <w:tcPr>
            <w:tcW w:w="1560" w:type="dxa"/>
            <w:tcBorders>
              <w:bottom w:val="single" w:sz="4" w:space="0" w:color="auto"/>
            </w:tcBorders>
          </w:tcPr>
          <w:p w:rsidR="008D0B2A" w:rsidRPr="008D0B2A" w:rsidRDefault="008D0B2A">
            <w:pPr>
              <w:rPr>
                <w:rFonts w:ascii="Times New Roman" w:hAnsi="Times New Roman" w:cs="Times New Roman"/>
                <w:b/>
                <w:bCs/>
                <w:color w:val="000000"/>
                <w:sz w:val="20"/>
                <w:szCs w:val="20"/>
              </w:rPr>
            </w:pPr>
            <w:r w:rsidRPr="008D0B2A">
              <w:rPr>
                <w:rFonts w:ascii="Times New Roman" w:hAnsi="Times New Roman" w:cs="Times New Roman"/>
                <w:b/>
                <w:bCs/>
                <w:color w:val="000000"/>
                <w:sz w:val="20"/>
                <w:szCs w:val="20"/>
              </w:rPr>
              <w:t>Com. DMA</w:t>
            </w:r>
          </w:p>
        </w:tc>
        <w:tc>
          <w:tcPr>
            <w:tcW w:w="1843" w:type="dxa"/>
            <w:tcBorders>
              <w:bottom w:val="single" w:sz="4" w:space="0" w:color="auto"/>
            </w:tcBorders>
          </w:tcPr>
          <w:p w:rsidR="008D0B2A" w:rsidRPr="008D0B2A" w:rsidRDefault="008D0B2A">
            <w:pPr>
              <w:rPr>
                <w:rFonts w:ascii="Times New Roman" w:hAnsi="Times New Roman" w:cs="Times New Roman"/>
                <w:b/>
                <w:bCs/>
                <w:sz w:val="20"/>
                <w:szCs w:val="20"/>
                <w:lang w:eastAsia="fr-FR"/>
              </w:rPr>
            </w:pPr>
            <w:r w:rsidRPr="008D0B2A">
              <w:rPr>
                <w:rFonts w:ascii="Times New Roman" w:hAnsi="Times New Roman" w:cs="Times New Roman"/>
                <w:b/>
                <w:bCs/>
                <w:sz w:val="20"/>
                <w:szCs w:val="20"/>
                <w:lang w:eastAsia="fr-FR"/>
              </w:rPr>
              <w:t>Lancement du Guide des placements financiers</w:t>
            </w:r>
          </w:p>
        </w:tc>
        <w:tc>
          <w:tcPr>
            <w:tcW w:w="12332" w:type="dxa"/>
            <w:tcBorders>
              <w:bottom w:val="single" w:sz="4" w:space="0" w:color="auto"/>
            </w:tcBorders>
            <w:shd w:val="clear" w:color="auto" w:fill="auto"/>
          </w:tcPr>
          <w:p w:rsidR="005F25D2" w:rsidRPr="008A31F7" w:rsidRDefault="008D0B2A" w:rsidP="001A11EE">
            <w:pPr>
              <w:pStyle w:val="Paragraphedeliste"/>
              <w:numPr>
                <w:ilvl w:val="0"/>
                <w:numId w:val="38"/>
              </w:numPr>
              <w:ind w:left="175" w:hanging="175"/>
              <w:contextualSpacing w:val="0"/>
              <w:jc w:val="both"/>
              <w:rPr>
                <w:rFonts w:ascii="Times New Roman" w:hAnsi="Times New Roman" w:cs="Times New Roman"/>
                <w:b/>
                <w:sz w:val="20"/>
                <w:szCs w:val="20"/>
                <w:lang w:eastAsia="fr-FR"/>
              </w:rPr>
            </w:pPr>
            <w:r w:rsidRPr="008A31F7">
              <w:rPr>
                <w:rFonts w:ascii="Times New Roman" w:hAnsi="Times New Roman" w:cs="Times New Roman"/>
                <w:b/>
                <w:sz w:val="20"/>
                <w:szCs w:val="20"/>
                <w:lang w:eastAsia="fr-FR"/>
              </w:rPr>
              <w:t xml:space="preserve">L’Epargne financière </w:t>
            </w:r>
            <w:r w:rsidR="005F25D2" w:rsidRPr="008A31F7">
              <w:rPr>
                <w:rFonts w:ascii="Times New Roman" w:hAnsi="Times New Roman" w:cs="Times New Roman"/>
                <w:b/>
                <w:sz w:val="20"/>
                <w:szCs w:val="20"/>
                <w:lang w:eastAsia="fr-FR"/>
              </w:rPr>
              <w:t>est</w:t>
            </w:r>
            <w:r w:rsidRPr="008A31F7">
              <w:rPr>
                <w:rFonts w:ascii="Times New Roman" w:hAnsi="Times New Roman" w:cs="Times New Roman"/>
                <w:b/>
                <w:sz w:val="20"/>
                <w:szCs w:val="20"/>
                <w:lang w:eastAsia="fr-FR"/>
              </w:rPr>
              <w:t xml:space="preserve"> </w:t>
            </w:r>
            <w:r w:rsidR="005F25D2" w:rsidRPr="008A31F7">
              <w:rPr>
                <w:rFonts w:ascii="Times New Roman" w:hAnsi="Times New Roman" w:cs="Times New Roman"/>
                <w:b/>
                <w:sz w:val="20"/>
                <w:szCs w:val="20"/>
                <w:lang w:eastAsia="fr-FR"/>
              </w:rPr>
              <w:t>au cœur de notre stratégie et de notre développement en 2018.</w:t>
            </w:r>
          </w:p>
          <w:p w:rsidR="005F25D2" w:rsidRPr="008A31F7" w:rsidRDefault="005F25D2" w:rsidP="001A11EE">
            <w:pPr>
              <w:pStyle w:val="Paragraphedeliste"/>
              <w:numPr>
                <w:ilvl w:val="0"/>
                <w:numId w:val="38"/>
              </w:numPr>
              <w:ind w:left="175" w:hanging="175"/>
              <w:contextualSpacing w:val="0"/>
              <w:jc w:val="both"/>
              <w:rPr>
                <w:rFonts w:ascii="Times New Roman" w:hAnsi="Times New Roman" w:cs="Times New Roman"/>
                <w:sz w:val="20"/>
                <w:szCs w:val="20"/>
                <w:lang w:eastAsia="fr-FR"/>
              </w:rPr>
            </w:pPr>
            <w:r w:rsidRPr="008A31F7">
              <w:rPr>
                <w:rFonts w:ascii="Times New Roman" w:hAnsi="Times New Roman" w:cs="Times New Roman"/>
                <w:sz w:val="20"/>
                <w:szCs w:val="20"/>
                <w:lang w:eastAsia="fr-FR"/>
              </w:rPr>
              <w:t>Pour conforter notre réussite et notre savoir-faire, l’espace DEFI est à votre disposition et vous permet d’accéder aux informations financières (actualités sur les fonds, infos pour préparer un entretien Epargne ou pour se former avec la mise en ligne de MOOC, vidéos, Quiz) :</w:t>
            </w:r>
          </w:p>
          <w:p w:rsidR="005F25D2" w:rsidRPr="008A31F7" w:rsidRDefault="008A35B4" w:rsidP="001A11EE">
            <w:pPr>
              <w:pStyle w:val="Paragraphedeliste"/>
              <w:ind w:left="175"/>
              <w:contextualSpacing w:val="0"/>
              <w:jc w:val="both"/>
              <w:rPr>
                <w:rFonts w:ascii="Times New Roman" w:hAnsi="Times New Roman" w:cs="Times New Roman"/>
                <w:sz w:val="20"/>
                <w:szCs w:val="20"/>
                <w:lang w:eastAsia="fr-FR"/>
              </w:rPr>
            </w:pPr>
            <w:hyperlink r:id="rId22" w:history="1">
              <w:r w:rsidR="005F25D2" w:rsidRPr="008A31F7">
                <w:rPr>
                  <w:rStyle w:val="Lienhypertexte"/>
                  <w:rFonts w:ascii="Times New Roman" w:hAnsi="Times New Roman" w:cs="Times New Roman"/>
                  <w:sz w:val="20"/>
                  <w:szCs w:val="20"/>
                  <w:lang w:eastAsia="fr-FR"/>
                </w:rPr>
                <w:t>https://espacedefi.fr/</w:t>
              </w:r>
            </w:hyperlink>
          </w:p>
          <w:p w:rsidR="005F25D2" w:rsidRPr="008A31F7" w:rsidRDefault="005F25D2" w:rsidP="001A11EE">
            <w:pPr>
              <w:pStyle w:val="Paragraphedeliste"/>
              <w:numPr>
                <w:ilvl w:val="0"/>
                <w:numId w:val="38"/>
              </w:numPr>
              <w:ind w:left="175" w:hanging="175"/>
              <w:contextualSpacing w:val="0"/>
              <w:jc w:val="both"/>
              <w:rPr>
                <w:rFonts w:ascii="Times New Roman" w:hAnsi="Times New Roman" w:cs="Times New Roman"/>
                <w:sz w:val="20"/>
                <w:szCs w:val="20"/>
                <w:lang w:eastAsia="fr-FR"/>
              </w:rPr>
            </w:pPr>
            <w:r w:rsidRPr="008A31F7">
              <w:rPr>
                <w:rFonts w:ascii="Times New Roman" w:hAnsi="Times New Roman" w:cs="Times New Roman"/>
                <w:sz w:val="20"/>
                <w:szCs w:val="20"/>
                <w:lang w:eastAsia="fr-FR"/>
              </w:rPr>
              <w:t xml:space="preserve">Pour nos clients et en complément de l’espace OPC sur le portail caisse-epargne.fr, un nouveau Guide des Placements Financiers est désormais en ligne : </w:t>
            </w:r>
            <w:hyperlink r:id="rId23" w:history="1">
              <w:r w:rsidRPr="008A31F7">
                <w:rPr>
                  <w:rStyle w:val="Lienhypertexte"/>
                  <w:rFonts w:ascii="Times New Roman" w:hAnsi="Times New Roman" w:cs="Times New Roman"/>
                  <w:color w:val="000000"/>
                  <w:sz w:val="20"/>
                  <w:szCs w:val="20"/>
                </w:rPr>
                <w:t>https://www.caisse-epargne.fr/particuliers/epargner/conseil-guide-epargne-financiere-accueil</w:t>
              </w:r>
            </w:hyperlink>
          </w:p>
          <w:p w:rsidR="005F25D2" w:rsidRPr="008A31F7" w:rsidRDefault="005F25D2" w:rsidP="001A11EE">
            <w:pPr>
              <w:pStyle w:val="Paragraphedeliste"/>
              <w:numPr>
                <w:ilvl w:val="0"/>
                <w:numId w:val="38"/>
              </w:numPr>
              <w:ind w:left="175" w:hanging="175"/>
              <w:contextualSpacing w:val="0"/>
              <w:jc w:val="both"/>
              <w:rPr>
                <w:rFonts w:ascii="Times New Roman" w:hAnsi="Times New Roman" w:cs="Times New Roman"/>
                <w:sz w:val="20"/>
                <w:szCs w:val="20"/>
                <w:lang w:eastAsia="fr-FR"/>
              </w:rPr>
            </w:pPr>
            <w:r w:rsidRPr="008A31F7">
              <w:rPr>
                <w:rFonts w:ascii="Times New Roman" w:hAnsi="Times New Roman" w:cs="Times New Roman"/>
                <w:sz w:val="20"/>
                <w:szCs w:val="20"/>
                <w:lang w:eastAsia="fr-FR"/>
              </w:rPr>
              <w:t>L’objectif de ce guide est de démystifier l’épargne financière, aider les visiteurs à être plus autonomes, démontrer l’expertise des caisses d’épargne, générer du trafic sur les offres et des rendez-vous agence</w:t>
            </w:r>
          </w:p>
          <w:p w:rsidR="008D0B2A" w:rsidRPr="008A31F7" w:rsidRDefault="005F25D2" w:rsidP="001A11EE">
            <w:pPr>
              <w:pStyle w:val="Paragraphedeliste"/>
              <w:numPr>
                <w:ilvl w:val="0"/>
                <w:numId w:val="38"/>
              </w:numPr>
              <w:ind w:left="175" w:hanging="175"/>
              <w:contextualSpacing w:val="0"/>
              <w:jc w:val="both"/>
              <w:rPr>
                <w:rFonts w:ascii="Times New Roman" w:hAnsi="Times New Roman" w:cs="Times New Roman"/>
                <w:sz w:val="20"/>
                <w:szCs w:val="20"/>
                <w:lang w:eastAsia="fr-FR"/>
              </w:rPr>
            </w:pPr>
            <w:r w:rsidRPr="008A31F7">
              <w:rPr>
                <w:rFonts w:ascii="Times New Roman" w:hAnsi="Times New Roman" w:cs="Times New Roman"/>
                <w:sz w:val="20"/>
                <w:szCs w:val="20"/>
                <w:lang w:eastAsia="fr-FR"/>
              </w:rPr>
              <w:t>Vous pouvez consulter ce guide via le site internet Caisse d’épargne ou prochainement directement dans votre espace DEFI.</w:t>
            </w:r>
            <w:r w:rsidR="000915D0" w:rsidRPr="008A31F7">
              <w:rPr>
                <w:rFonts w:ascii="Times New Roman" w:hAnsi="Times New Roman" w:cs="Times New Roman"/>
                <w:sz w:val="20"/>
                <w:szCs w:val="20"/>
                <w:lang w:eastAsia="fr-FR"/>
              </w:rPr>
              <w:t xml:space="preserve"> </w:t>
            </w:r>
            <w:hyperlink r:id="rId24" w:history="1">
              <w:r w:rsidR="008D0B2A" w:rsidRPr="008A31F7">
                <w:rPr>
                  <w:rStyle w:val="Lienhypertexte"/>
                  <w:rFonts w:ascii="Times New Roman" w:hAnsi="Times New Roman" w:cs="Times New Roman"/>
                  <w:sz w:val="20"/>
                  <w:szCs w:val="20"/>
                  <w:lang w:eastAsia="fr-FR"/>
                </w:rPr>
                <w:t>Cliquez ICI</w:t>
              </w:r>
            </w:hyperlink>
            <w:r w:rsidR="008D0B2A" w:rsidRPr="008A31F7">
              <w:rPr>
                <w:rFonts w:ascii="Times New Roman" w:hAnsi="Times New Roman" w:cs="Times New Roman"/>
                <w:sz w:val="20"/>
                <w:szCs w:val="20"/>
                <w:lang w:eastAsia="fr-FR"/>
              </w:rPr>
              <w:t xml:space="preserve"> pour y accéder.</w:t>
            </w:r>
          </w:p>
        </w:tc>
      </w:tr>
      <w:tr w:rsidR="00B91EB0" w:rsidRPr="005A0216" w:rsidTr="0070463E">
        <w:trPr>
          <w:trHeight w:val="248"/>
        </w:trPr>
        <w:tc>
          <w:tcPr>
            <w:tcW w:w="15735" w:type="dxa"/>
            <w:gridSpan w:val="3"/>
            <w:tcBorders>
              <w:bottom w:val="single" w:sz="4" w:space="0" w:color="auto"/>
            </w:tcBorders>
            <w:shd w:val="clear" w:color="auto" w:fill="BFBFBF" w:themeFill="background1" w:themeFillShade="BF"/>
          </w:tcPr>
          <w:p w:rsidR="00B91EB0" w:rsidRPr="005D0506" w:rsidRDefault="00B91EB0" w:rsidP="0070463E">
            <w:pPr>
              <w:pStyle w:val="wordsection1"/>
              <w:spacing w:before="0" w:beforeAutospacing="0" w:after="0" w:afterAutospacing="0"/>
              <w:jc w:val="center"/>
              <w:rPr>
                <w:b/>
                <w:sz w:val="20"/>
                <w:szCs w:val="20"/>
                <w:lang w:val="en-US"/>
              </w:rPr>
            </w:pPr>
            <w:r w:rsidRPr="005D0506">
              <w:rPr>
                <w:b/>
                <w:sz w:val="20"/>
                <w:szCs w:val="20"/>
                <w:lang w:val="en-US"/>
              </w:rPr>
              <w:t>Multicanal</w:t>
            </w:r>
          </w:p>
        </w:tc>
      </w:tr>
      <w:tr w:rsidR="007521EC" w:rsidRPr="005A0216" w:rsidTr="0070463E">
        <w:trPr>
          <w:trHeight w:val="248"/>
        </w:trPr>
        <w:tc>
          <w:tcPr>
            <w:tcW w:w="1560" w:type="dxa"/>
            <w:tcBorders>
              <w:bottom w:val="single" w:sz="4" w:space="0" w:color="auto"/>
            </w:tcBorders>
          </w:tcPr>
          <w:p w:rsidR="007521EC" w:rsidRDefault="007521EC" w:rsidP="00C309DD">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7521EC" w:rsidRPr="007521EC" w:rsidRDefault="007521EC" w:rsidP="00C309DD">
            <w:pPr>
              <w:rPr>
                <w:rFonts w:ascii="Times New Roman" w:hAnsi="Times New Roman" w:cs="Times New Roman"/>
                <w:b/>
                <w:sz w:val="20"/>
                <w:szCs w:val="20"/>
              </w:rPr>
            </w:pPr>
            <w:r w:rsidRPr="007521EC">
              <w:rPr>
                <w:rFonts w:ascii="Times New Roman" w:hAnsi="Times New Roman" w:cs="Times New Roman"/>
                <w:b/>
                <w:sz w:val="20"/>
                <w:szCs w:val="20"/>
              </w:rPr>
              <w:t>DISTRI – Suivi des n° de portable erronés.</w:t>
            </w:r>
          </w:p>
          <w:p w:rsidR="007521EC" w:rsidRPr="007521EC" w:rsidRDefault="007521EC" w:rsidP="00C309DD">
            <w:pPr>
              <w:rPr>
                <w:rFonts w:ascii="Times New Roman" w:hAnsi="Times New Roman" w:cs="Times New Roman"/>
                <w:sz w:val="20"/>
                <w:szCs w:val="20"/>
              </w:rPr>
            </w:pPr>
          </w:p>
        </w:tc>
        <w:tc>
          <w:tcPr>
            <w:tcW w:w="12332" w:type="dxa"/>
            <w:tcBorders>
              <w:bottom w:val="single" w:sz="4" w:space="0" w:color="auto"/>
            </w:tcBorders>
            <w:shd w:val="clear" w:color="auto" w:fill="auto"/>
          </w:tcPr>
          <w:p w:rsidR="007521EC" w:rsidRPr="007521EC" w:rsidRDefault="007521EC" w:rsidP="007521EC">
            <w:pPr>
              <w:pStyle w:val="Paragraphedeliste"/>
              <w:numPr>
                <w:ilvl w:val="0"/>
                <w:numId w:val="37"/>
              </w:numPr>
              <w:ind w:left="175" w:hanging="175"/>
              <w:jc w:val="both"/>
              <w:rPr>
                <w:rFonts w:ascii="Times New Roman" w:hAnsi="Times New Roman" w:cs="Times New Roman"/>
                <w:sz w:val="20"/>
                <w:szCs w:val="20"/>
              </w:rPr>
            </w:pPr>
            <w:r w:rsidRPr="007521EC">
              <w:rPr>
                <w:rFonts w:ascii="Times New Roman" w:hAnsi="Times New Roman" w:cs="Times New Roman"/>
                <w:b/>
                <w:sz w:val="20"/>
                <w:szCs w:val="20"/>
              </w:rPr>
              <w:t>Le suivi des n</w:t>
            </w:r>
            <w:r>
              <w:rPr>
                <w:rFonts w:ascii="Times New Roman" w:hAnsi="Times New Roman" w:cs="Times New Roman"/>
                <w:b/>
                <w:sz w:val="20"/>
                <w:szCs w:val="20"/>
              </w:rPr>
              <w:t>uméros</w:t>
            </w:r>
            <w:r w:rsidRPr="007521EC">
              <w:rPr>
                <w:rFonts w:ascii="Times New Roman" w:hAnsi="Times New Roman" w:cs="Times New Roman"/>
                <w:b/>
                <w:sz w:val="20"/>
                <w:szCs w:val="20"/>
              </w:rPr>
              <w:t xml:space="preserve"> de portables</w:t>
            </w:r>
            <w:r w:rsidRPr="007521EC">
              <w:rPr>
                <w:rFonts w:ascii="Times New Roman" w:hAnsi="Times New Roman" w:cs="Times New Roman"/>
                <w:sz w:val="20"/>
                <w:szCs w:val="20"/>
              </w:rPr>
              <w:t xml:space="preserve"> </w:t>
            </w:r>
            <w:r w:rsidRPr="00231F7E">
              <w:rPr>
                <w:rFonts w:ascii="Times New Roman" w:hAnsi="Times New Roman" w:cs="Times New Roman"/>
                <w:b/>
                <w:sz w:val="20"/>
                <w:szCs w:val="20"/>
              </w:rPr>
              <w:t>manifestement « erronés » a été envoyé le 26 avril à tous les DA et DUC concernés.</w:t>
            </w:r>
          </w:p>
          <w:p w:rsidR="007521EC" w:rsidRPr="001D24EC" w:rsidRDefault="007521EC" w:rsidP="007521EC">
            <w:pPr>
              <w:pStyle w:val="Paragraphedeliste"/>
              <w:numPr>
                <w:ilvl w:val="0"/>
                <w:numId w:val="37"/>
              </w:numPr>
              <w:ind w:left="175" w:hanging="175"/>
              <w:jc w:val="both"/>
              <w:rPr>
                <w:rFonts w:ascii="Times New Roman" w:hAnsi="Times New Roman" w:cs="Times New Roman"/>
                <w:sz w:val="20"/>
                <w:szCs w:val="20"/>
              </w:rPr>
            </w:pPr>
            <w:r w:rsidRPr="001D24EC">
              <w:rPr>
                <w:rFonts w:ascii="Times New Roman" w:hAnsi="Times New Roman" w:cs="Times New Roman"/>
                <w:sz w:val="20"/>
                <w:szCs w:val="20"/>
              </w:rPr>
              <w:t xml:space="preserve">Nous souhaitons attirer votre attention sur l’importance du traitement de ces anomalies, nous permettant entre autre, d’être plus efficients dans nos campagnes commerciales. Retrouvez </w:t>
            </w:r>
            <w:hyperlink r:id="rId25" w:history="1">
              <w:r w:rsidRPr="001D24EC">
                <w:rPr>
                  <w:rStyle w:val="Lienhypertexte"/>
                  <w:rFonts w:ascii="Times New Roman" w:hAnsi="Times New Roman" w:cs="Times New Roman"/>
                  <w:sz w:val="20"/>
                  <w:szCs w:val="20"/>
                </w:rPr>
                <w:t>ici</w:t>
              </w:r>
            </w:hyperlink>
            <w:r w:rsidRPr="001D24EC">
              <w:rPr>
                <w:rFonts w:ascii="Times New Roman" w:hAnsi="Times New Roman" w:cs="Times New Roman"/>
                <w:sz w:val="20"/>
                <w:szCs w:val="20"/>
              </w:rPr>
              <w:t>, la situation par groupe et par agence.</w:t>
            </w:r>
          </w:p>
          <w:p w:rsidR="007521EC" w:rsidRDefault="007521EC" w:rsidP="00C309DD">
            <w:pPr>
              <w:pStyle w:val="Paragraphedeliste"/>
              <w:numPr>
                <w:ilvl w:val="0"/>
                <w:numId w:val="37"/>
              </w:numPr>
              <w:ind w:left="175" w:hanging="175"/>
              <w:jc w:val="both"/>
              <w:rPr>
                <w:rFonts w:ascii="Times New Roman" w:hAnsi="Times New Roman" w:cs="Times New Roman"/>
                <w:sz w:val="20"/>
                <w:szCs w:val="20"/>
              </w:rPr>
            </w:pPr>
            <w:r w:rsidRPr="007521EC">
              <w:rPr>
                <w:rFonts w:ascii="Times New Roman" w:hAnsi="Times New Roman" w:cs="Times New Roman"/>
                <w:sz w:val="20"/>
                <w:szCs w:val="20"/>
              </w:rPr>
              <w:t>Nous vous remercions dès à présent de votre intervention et de la sensibilisation de vos équipes sur l’importance de la mise à jour du fichier client</w:t>
            </w:r>
            <w:r>
              <w:rPr>
                <w:rFonts w:ascii="Times New Roman" w:hAnsi="Times New Roman" w:cs="Times New Roman"/>
                <w:sz w:val="20"/>
                <w:szCs w:val="20"/>
              </w:rPr>
              <w:t>s</w:t>
            </w:r>
            <w:r w:rsidRPr="007521EC">
              <w:rPr>
                <w:rFonts w:ascii="Times New Roman" w:hAnsi="Times New Roman" w:cs="Times New Roman"/>
                <w:sz w:val="20"/>
                <w:szCs w:val="20"/>
              </w:rPr>
              <w:t xml:space="preserve"> (adresse mails numéros de téléphone fixe et portable).</w:t>
            </w:r>
          </w:p>
          <w:p w:rsidR="00480697" w:rsidRPr="001D24EC" w:rsidRDefault="00480697" w:rsidP="00480697">
            <w:pPr>
              <w:pStyle w:val="Paragraphedeliste"/>
              <w:ind w:left="175"/>
              <w:jc w:val="both"/>
              <w:rPr>
                <w:rFonts w:ascii="Times New Roman" w:hAnsi="Times New Roman" w:cs="Times New Roman"/>
                <w:sz w:val="20"/>
                <w:szCs w:val="20"/>
              </w:rPr>
            </w:pPr>
            <w:bookmarkStart w:id="0" w:name="_GoBack"/>
            <w:bookmarkEnd w:id="0"/>
          </w:p>
        </w:tc>
      </w:tr>
      <w:tr w:rsidR="005D0506" w:rsidRPr="005A0216" w:rsidTr="005D0506">
        <w:trPr>
          <w:trHeight w:val="248"/>
        </w:trPr>
        <w:tc>
          <w:tcPr>
            <w:tcW w:w="15735" w:type="dxa"/>
            <w:gridSpan w:val="3"/>
            <w:tcBorders>
              <w:bottom w:val="single" w:sz="4" w:space="0" w:color="auto"/>
            </w:tcBorders>
            <w:shd w:val="clear" w:color="auto" w:fill="BFBFBF" w:themeFill="background1" w:themeFillShade="BF"/>
          </w:tcPr>
          <w:p w:rsidR="005D0506" w:rsidRPr="005D0506" w:rsidRDefault="00B91EB0" w:rsidP="005D0506">
            <w:pPr>
              <w:pStyle w:val="wordsection1"/>
              <w:spacing w:before="0" w:beforeAutospacing="0" w:after="0" w:afterAutospacing="0"/>
              <w:jc w:val="center"/>
              <w:rPr>
                <w:b/>
                <w:sz w:val="20"/>
                <w:szCs w:val="20"/>
                <w:lang w:val="en-US"/>
              </w:rPr>
            </w:pPr>
            <w:r>
              <w:rPr>
                <w:b/>
                <w:sz w:val="20"/>
                <w:szCs w:val="20"/>
                <w:lang w:val="en-US"/>
              </w:rPr>
              <w:lastRenderedPageBreak/>
              <w:t>Marché des professionnels</w:t>
            </w:r>
          </w:p>
        </w:tc>
      </w:tr>
      <w:tr w:rsidR="00B91EB0" w:rsidRPr="005A0216" w:rsidTr="00AF3BE3">
        <w:trPr>
          <w:trHeight w:val="248"/>
        </w:trPr>
        <w:tc>
          <w:tcPr>
            <w:tcW w:w="1560" w:type="dxa"/>
            <w:tcBorders>
              <w:bottom w:val="single" w:sz="4" w:space="0" w:color="auto"/>
            </w:tcBorders>
          </w:tcPr>
          <w:p w:rsidR="00B91EB0" w:rsidRDefault="00AE6773">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B91EB0" w:rsidRDefault="00B91EB0">
            <w:pPr>
              <w:rPr>
                <w:rFonts w:ascii="Times New Roman" w:hAnsi="Times New Roman" w:cs="Times New Roman"/>
                <w:b/>
                <w:bCs/>
                <w:sz w:val="20"/>
                <w:szCs w:val="20"/>
              </w:rPr>
            </w:pPr>
            <w:r>
              <w:rPr>
                <w:rFonts w:ascii="Times New Roman" w:hAnsi="Times New Roman" w:cs="Times New Roman"/>
                <w:b/>
                <w:bCs/>
                <w:sz w:val="20"/>
                <w:szCs w:val="20"/>
              </w:rPr>
              <w:t>Incident dans les relevés des dépenses envoyés aux clients</w:t>
            </w:r>
          </w:p>
        </w:tc>
        <w:tc>
          <w:tcPr>
            <w:tcW w:w="12332" w:type="dxa"/>
            <w:tcBorders>
              <w:bottom w:val="single" w:sz="4" w:space="0" w:color="auto"/>
            </w:tcBorders>
            <w:shd w:val="clear" w:color="auto" w:fill="auto"/>
          </w:tcPr>
          <w:p w:rsidR="00B91EB0" w:rsidRPr="00AE6773" w:rsidRDefault="00B91EB0" w:rsidP="00AE6773">
            <w:pPr>
              <w:numPr>
                <w:ilvl w:val="0"/>
                <w:numId w:val="3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Mardi 24/04, un incident est intervenu dans le traitement du relevé annuel « Etat des dépenses Carte Business ».</w:t>
            </w:r>
          </w:p>
          <w:p w:rsidR="00B91EB0" w:rsidRPr="00AE6773" w:rsidRDefault="00B91EB0" w:rsidP="00AE6773">
            <w:pPr>
              <w:numPr>
                <w:ilvl w:val="0"/>
                <w:numId w:val="3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Des relevés ont été envoyés à tort vers des clients tiers ayant le même numéro de compte sur les 11 caractères après le code guichet. 223 clients BDR et Pro sont concernés. Ces clients ont reçu, en sus de leur relevé, un relevé de dépenses CB Business d’une tierce personne morale.</w:t>
            </w:r>
          </w:p>
          <w:p w:rsidR="00B91EB0" w:rsidRPr="00AE6773" w:rsidRDefault="00B91EB0" w:rsidP="00AE6773">
            <w:pPr>
              <w:numPr>
                <w:ilvl w:val="0"/>
                <w:numId w:val="3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Des informations confidentielles relevant du secret bancaire ont donc été divulguées. L’incident a immédiatement été déclaré chez IT-CE et est actuellement en cours de résolution.</w:t>
            </w:r>
          </w:p>
          <w:p w:rsidR="00B91EB0" w:rsidRPr="00AE6773" w:rsidRDefault="00B91EB0" w:rsidP="00AE6773">
            <w:pPr>
              <w:numPr>
                <w:ilvl w:val="0"/>
                <w:numId w:val="3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Une action correctrice est en cours chez IT-CE. En date du 14/05 :</w:t>
            </w:r>
          </w:p>
          <w:p w:rsidR="00B91EB0" w:rsidRPr="00AE6773" w:rsidRDefault="00B91EB0" w:rsidP="00AE6773">
            <w:pPr>
              <w:numPr>
                <w:ilvl w:val="1"/>
                <w:numId w:val="35"/>
              </w:numPr>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Les clients qui ont reçu leur relevé plus celui d’un autre client recevront un courrier d’excuse accompagné du relevé qui les concerne</w:t>
            </w:r>
          </w:p>
          <w:p w:rsidR="00B91EB0" w:rsidRPr="00AE6773" w:rsidRDefault="00B91EB0" w:rsidP="00AE6773">
            <w:pPr>
              <w:numPr>
                <w:ilvl w:val="1"/>
                <w:numId w:val="35"/>
              </w:numPr>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Les clients qui n’ont pas eu leur relevé le recevront.</w:t>
            </w:r>
          </w:p>
        </w:tc>
      </w:tr>
      <w:tr w:rsidR="00AE6773" w:rsidRPr="005A0216" w:rsidTr="00AF3BE3">
        <w:trPr>
          <w:trHeight w:val="248"/>
        </w:trPr>
        <w:tc>
          <w:tcPr>
            <w:tcW w:w="1560" w:type="dxa"/>
            <w:tcBorders>
              <w:bottom w:val="single" w:sz="4" w:space="0" w:color="auto"/>
            </w:tcBorders>
          </w:tcPr>
          <w:p w:rsidR="00AE6773" w:rsidRDefault="00AE6773">
            <w:r w:rsidRPr="00A44240">
              <w:rPr>
                <w:rFonts w:ascii="Times New Roman" w:hAnsi="Times New Roman" w:cs="Times New Roman"/>
                <w:b/>
                <w:bCs/>
                <w:sz w:val="20"/>
                <w:szCs w:val="20"/>
              </w:rPr>
              <w:t>Com. DMP</w:t>
            </w:r>
          </w:p>
        </w:tc>
        <w:tc>
          <w:tcPr>
            <w:tcW w:w="1843" w:type="dxa"/>
            <w:tcBorders>
              <w:bottom w:val="single" w:sz="4" w:space="0" w:color="auto"/>
            </w:tcBorders>
          </w:tcPr>
          <w:p w:rsidR="00AE6773" w:rsidRDefault="00AE6773">
            <w:pPr>
              <w:rPr>
                <w:rFonts w:ascii="Calibri" w:hAnsi="Calibri" w:cs="Calibri"/>
                <w:sz w:val="20"/>
                <w:szCs w:val="20"/>
              </w:rPr>
            </w:pPr>
            <w:r>
              <w:rPr>
                <w:rFonts w:ascii="Times New Roman" w:hAnsi="Times New Roman" w:cs="Times New Roman"/>
                <w:b/>
                <w:bCs/>
                <w:sz w:val="20"/>
                <w:szCs w:val="20"/>
              </w:rPr>
              <w:t>PACK PRO T G</w:t>
            </w:r>
          </w:p>
        </w:tc>
        <w:tc>
          <w:tcPr>
            <w:tcW w:w="12332" w:type="dxa"/>
            <w:tcBorders>
              <w:bottom w:val="single" w:sz="4" w:space="0" w:color="auto"/>
            </w:tcBorders>
            <w:shd w:val="clear" w:color="auto" w:fill="auto"/>
          </w:tcPr>
          <w:p w:rsidR="00AE6773" w:rsidRPr="00AE6773" w:rsidRDefault="00AE6773" w:rsidP="00AE6773">
            <w:pPr>
              <w:numPr>
                <w:ilvl w:val="0"/>
                <w:numId w:val="35"/>
              </w:numPr>
              <w:ind w:left="176" w:hanging="176"/>
              <w:contextualSpacing/>
              <w:jc w:val="both"/>
              <w:rPr>
                <w:rFonts w:ascii="Times New Roman" w:hAnsi="Times New Roman" w:cs="Times New Roman"/>
                <w:sz w:val="20"/>
                <w:szCs w:val="20"/>
              </w:rPr>
            </w:pPr>
            <w:r w:rsidRPr="00AE6773">
              <w:rPr>
                <w:rFonts w:ascii="Times New Roman" w:hAnsi="Times New Roman" w:cs="Times New Roman"/>
                <w:color w:val="000000"/>
                <w:sz w:val="20"/>
                <w:szCs w:val="20"/>
                <w:lang w:eastAsia="fr-FR"/>
              </w:rPr>
              <w:t>Le début d’année dans les résultats montre un retard dans la production des contrats Prévoyance sauf sur la PAP ou la Caisse affiche 50% de réalisation des objectifs 2018 contre 42% pour le groupe.</w:t>
            </w:r>
          </w:p>
          <w:p w:rsidR="00AE6773" w:rsidRPr="00AE6773" w:rsidRDefault="00AE6773" w:rsidP="00AE6773">
            <w:pPr>
              <w:numPr>
                <w:ilvl w:val="0"/>
                <w:numId w:val="35"/>
              </w:numPr>
              <w:ind w:left="176" w:hanging="176"/>
              <w:contextualSpacing/>
              <w:jc w:val="both"/>
              <w:rPr>
                <w:rFonts w:ascii="Times New Roman" w:hAnsi="Times New Roman" w:cs="Times New Roman"/>
                <w:sz w:val="20"/>
                <w:szCs w:val="20"/>
              </w:rPr>
            </w:pPr>
            <w:r w:rsidRPr="00AE6773">
              <w:rPr>
                <w:rFonts w:ascii="Times New Roman" w:hAnsi="Times New Roman" w:cs="Times New Roman"/>
                <w:color w:val="000000"/>
                <w:sz w:val="20"/>
                <w:szCs w:val="20"/>
                <w:lang w:eastAsia="fr-FR"/>
              </w:rPr>
              <w:t>La remise des bilans 2017 doit être l’occasion de faire un point sur les couvertures prévoyance de vos clients.</w:t>
            </w:r>
          </w:p>
        </w:tc>
      </w:tr>
      <w:tr w:rsidR="00AE6773" w:rsidRPr="005A0216" w:rsidTr="00AF3BE3">
        <w:trPr>
          <w:trHeight w:val="248"/>
        </w:trPr>
        <w:tc>
          <w:tcPr>
            <w:tcW w:w="1560" w:type="dxa"/>
            <w:tcBorders>
              <w:bottom w:val="single" w:sz="4" w:space="0" w:color="auto"/>
            </w:tcBorders>
          </w:tcPr>
          <w:p w:rsidR="00AE6773" w:rsidRDefault="00AE6773">
            <w:r w:rsidRPr="00A44240">
              <w:rPr>
                <w:rFonts w:ascii="Times New Roman" w:hAnsi="Times New Roman" w:cs="Times New Roman"/>
                <w:b/>
                <w:bCs/>
                <w:sz w:val="20"/>
                <w:szCs w:val="20"/>
              </w:rPr>
              <w:t>Com. DMP</w:t>
            </w:r>
          </w:p>
        </w:tc>
        <w:tc>
          <w:tcPr>
            <w:tcW w:w="1843" w:type="dxa"/>
            <w:tcBorders>
              <w:bottom w:val="single" w:sz="4" w:space="0" w:color="auto"/>
            </w:tcBorders>
          </w:tcPr>
          <w:p w:rsidR="00AE6773" w:rsidRDefault="00AE6773">
            <w:pPr>
              <w:rPr>
                <w:rFonts w:ascii="Times New Roman" w:hAnsi="Times New Roman" w:cs="Times New Roman"/>
                <w:b/>
                <w:bCs/>
                <w:sz w:val="20"/>
                <w:szCs w:val="20"/>
              </w:rPr>
            </w:pPr>
            <w:r>
              <w:rPr>
                <w:rFonts w:ascii="Times New Roman" w:hAnsi="Times New Roman" w:cs="Times New Roman"/>
                <w:b/>
                <w:bCs/>
                <w:sz w:val="20"/>
                <w:szCs w:val="20"/>
              </w:rPr>
              <w:t>MIF LEI</w:t>
            </w:r>
          </w:p>
        </w:tc>
        <w:tc>
          <w:tcPr>
            <w:tcW w:w="12332" w:type="dxa"/>
            <w:tcBorders>
              <w:bottom w:val="single" w:sz="4" w:space="0" w:color="auto"/>
            </w:tcBorders>
            <w:shd w:val="clear" w:color="auto" w:fill="auto"/>
          </w:tcPr>
          <w:p w:rsidR="00AE6773" w:rsidRPr="00AE6773" w:rsidRDefault="00AE6773" w:rsidP="00AE6773">
            <w:pPr>
              <w:numPr>
                <w:ilvl w:val="0"/>
                <w:numId w:val="3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Le traitement d’alimentation depuis la base SIREN des LEI et de leur date de validité est désormais automatisé et quotidien.</w:t>
            </w:r>
          </w:p>
        </w:tc>
      </w:tr>
      <w:tr w:rsidR="00AE6773" w:rsidRPr="005A0216" w:rsidTr="00AF3BE3">
        <w:trPr>
          <w:trHeight w:val="248"/>
        </w:trPr>
        <w:tc>
          <w:tcPr>
            <w:tcW w:w="1560" w:type="dxa"/>
            <w:tcBorders>
              <w:bottom w:val="single" w:sz="4" w:space="0" w:color="auto"/>
            </w:tcBorders>
          </w:tcPr>
          <w:p w:rsidR="00AE6773" w:rsidRDefault="00AE6773">
            <w:r w:rsidRPr="00A44240">
              <w:rPr>
                <w:rFonts w:ascii="Times New Roman" w:hAnsi="Times New Roman" w:cs="Times New Roman"/>
                <w:b/>
                <w:bCs/>
                <w:sz w:val="20"/>
                <w:szCs w:val="20"/>
              </w:rPr>
              <w:t>Com. DMP</w:t>
            </w:r>
          </w:p>
        </w:tc>
        <w:tc>
          <w:tcPr>
            <w:tcW w:w="1843" w:type="dxa"/>
            <w:tcBorders>
              <w:bottom w:val="single" w:sz="4" w:space="0" w:color="auto"/>
            </w:tcBorders>
          </w:tcPr>
          <w:p w:rsidR="00AE6773" w:rsidRDefault="00AE6773">
            <w:pPr>
              <w:rPr>
                <w:rFonts w:ascii="Times New Roman" w:hAnsi="Times New Roman" w:cs="Times New Roman"/>
                <w:b/>
                <w:bCs/>
                <w:sz w:val="20"/>
                <w:szCs w:val="20"/>
              </w:rPr>
            </w:pPr>
            <w:r>
              <w:rPr>
                <w:rFonts w:ascii="Times New Roman" w:hAnsi="Times New Roman" w:cs="Times New Roman"/>
                <w:b/>
                <w:bCs/>
                <w:sz w:val="20"/>
                <w:szCs w:val="20"/>
              </w:rPr>
              <w:t>Indisponibilité FrontLease</w:t>
            </w:r>
          </w:p>
        </w:tc>
        <w:tc>
          <w:tcPr>
            <w:tcW w:w="12332" w:type="dxa"/>
            <w:tcBorders>
              <w:bottom w:val="single" w:sz="4" w:space="0" w:color="auto"/>
            </w:tcBorders>
            <w:shd w:val="clear" w:color="auto" w:fill="auto"/>
          </w:tcPr>
          <w:p w:rsidR="00AE6773" w:rsidRPr="00AE6773" w:rsidRDefault="00AE6773" w:rsidP="00AE6773">
            <w:pPr>
              <w:numPr>
                <w:ilvl w:val="0"/>
                <w:numId w:val="3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L’application FrontLease sera indisponible le vendredi 11 mai et le samedi 12 mai 2018 pour cause de maintenance évolutive.</w:t>
            </w:r>
          </w:p>
        </w:tc>
      </w:tr>
      <w:tr w:rsidR="00AE6773" w:rsidRPr="005A0216" w:rsidTr="00AF3BE3">
        <w:trPr>
          <w:trHeight w:val="248"/>
        </w:trPr>
        <w:tc>
          <w:tcPr>
            <w:tcW w:w="1560" w:type="dxa"/>
            <w:tcBorders>
              <w:bottom w:val="single" w:sz="4" w:space="0" w:color="auto"/>
            </w:tcBorders>
          </w:tcPr>
          <w:p w:rsidR="00AE6773" w:rsidRDefault="00AE6773">
            <w:r w:rsidRPr="00A44240">
              <w:rPr>
                <w:rFonts w:ascii="Times New Roman" w:hAnsi="Times New Roman" w:cs="Times New Roman"/>
                <w:b/>
                <w:bCs/>
                <w:sz w:val="20"/>
                <w:szCs w:val="20"/>
              </w:rPr>
              <w:t>Com. DMP</w:t>
            </w:r>
          </w:p>
        </w:tc>
        <w:tc>
          <w:tcPr>
            <w:tcW w:w="1843" w:type="dxa"/>
            <w:tcBorders>
              <w:bottom w:val="single" w:sz="4" w:space="0" w:color="auto"/>
            </w:tcBorders>
          </w:tcPr>
          <w:p w:rsidR="00AE6773" w:rsidRDefault="00AE6773">
            <w:pPr>
              <w:rPr>
                <w:rFonts w:ascii="Calibri" w:hAnsi="Calibri" w:cs="Calibri"/>
                <w:sz w:val="20"/>
                <w:szCs w:val="20"/>
              </w:rPr>
            </w:pPr>
            <w:r>
              <w:rPr>
                <w:rFonts w:ascii="Times New Roman" w:hAnsi="Times New Roman" w:cs="Times New Roman"/>
                <w:b/>
                <w:bCs/>
                <w:sz w:val="20"/>
                <w:szCs w:val="20"/>
              </w:rPr>
              <w:t>Suivi du Fonds de Commerce</w:t>
            </w:r>
          </w:p>
        </w:tc>
        <w:tc>
          <w:tcPr>
            <w:tcW w:w="12332" w:type="dxa"/>
            <w:tcBorders>
              <w:bottom w:val="single" w:sz="4" w:space="0" w:color="auto"/>
            </w:tcBorders>
            <w:shd w:val="clear" w:color="auto" w:fill="auto"/>
          </w:tcPr>
          <w:p w:rsidR="00AE6773" w:rsidRPr="00AE6773" w:rsidRDefault="00AE6773" w:rsidP="00AE6773">
            <w:pPr>
              <w:numPr>
                <w:ilvl w:val="0"/>
                <w:numId w:val="35"/>
              </w:numPr>
              <w:ind w:left="176" w:hanging="176"/>
              <w:contextualSpacing/>
              <w:jc w:val="both"/>
              <w:rPr>
                <w:rFonts w:ascii="Times New Roman" w:hAnsi="Times New Roman" w:cs="Times New Roman"/>
                <w:sz w:val="20"/>
                <w:szCs w:val="20"/>
              </w:rPr>
            </w:pPr>
            <w:r w:rsidRPr="00AE6773">
              <w:rPr>
                <w:rFonts w:ascii="Times New Roman" w:hAnsi="Times New Roman" w:cs="Times New Roman"/>
                <w:color w:val="000000"/>
                <w:sz w:val="20"/>
                <w:szCs w:val="20"/>
                <w:lang w:eastAsia="fr-FR"/>
              </w:rPr>
              <w:t>Le suivi du Fon</w:t>
            </w:r>
            <w:r w:rsidRPr="00AE6773">
              <w:rPr>
                <w:rFonts w:ascii="Times New Roman" w:hAnsi="Times New Roman" w:cs="Times New Roman"/>
                <w:sz w:val="20"/>
                <w:szCs w:val="20"/>
                <w:lang w:eastAsia="fr-FR"/>
              </w:rPr>
              <w:t>ds de Commerce Pro à fin mars</w:t>
            </w:r>
            <w:r w:rsidRPr="00AE6773">
              <w:rPr>
                <w:rFonts w:ascii="Times New Roman" w:hAnsi="Times New Roman" w:cs="Times New Roman"/>
                <w:color w:val="000000"/>
                <w:sz w:val="20"/>
                <w:szCs w:val="20"/>
                <w:lang w:eastAsia="fr-FR"/>
              </w:rPr>
              <w:t xml:space="preserve"> est disponible dans </w:t>
            </w:r>
            <w:hyperlink r:id="rId26" w:history="1">
              <w:r w:rsidRPr="00AE6773">
                <w:rPr>
                  <w:rStyle w:val="Lienhypertexte"/>
                  <w:rFonts w:ascii="Times New Roman" w:hAnsi="Times New Roman" w:cs="Times New Roman"/>
                  <w:sz w:val="20"/>
                  <w:szCs w:val="20"/>
                  <w:lang w:eastAsia="fr-FR"/>
                </w:rPr>
                <w:t>l’Espace Pros de la Rubrique des Commerciaux / Fonds de Commerce / Résultats Fonds de Commerce Pros / 20180331 Résultats Fonds de Commerce Pro.</w:t>
              </w:r>
            </w:hyperlink>
          </w:p>
        </w:tc>
      </w:tr>
      <w:tr w:rsidR="00AE6773" w:rsidRPr="005A0216" w:rsidTr="00AF3BE3">
        <w:trPr>
          <w:trHeight w:val="248"/>
        </w:trPr>
        <w:tc>
          <w:tcPr>
            <w:tcW w:w="1560" w:type="dxa"/>
            <w:tcBorders>
              <w:bottom w:val="single" w:sz="4" w:space="0" w:color="auto"/>
            </w:tcBorders>
          </w:tcPr>
          <w:p w:rsidR="00AE6773" w:rsidRDefault="00AE6773">
            <w:r w:rsidRPr="00A44240">
              <w:rPr>
                <w:rFonts w:ascii="Times New Roman" w:hAnsi="Times New Roman" w:cs="Times New Roman"/>
                <w:b/>
                <w:bCs/>
                <w:sz w:val="20"/>
                <w:szCs w:val="20"/>
              </w:rPr>
              <w:t>Com. DMP</w:t>
            </w:r>
          </w:p>
        </w:tc>
        <w:tc>
          <w:tcPr>
            <w:tcW w:w="1843" w:type="dxa"/>
            <w:tcBorders>
              <w:bottom w:val="single" w:sz="4" w:space="0" w:color="auto"/>
            </w:tcBorders>
          </w:tcPr>
          <w:p w:rsidR="00AE6773" w:rsidRDefault="00AE6773">
            <w:pPr>
              <w:rPr>
                <w:rFonts w:ascii="Times New Roman" w:hAnsi="Times New Roman" w:cs="Times New Roman"/>
                <w:b/>
                <w:bCs/>
                <w:sz w:val="20"/>
                <w:szCs w:val="20"/>
              </w:rPr>
            </w:pPr>
            <w:r>
              <w:rPr>
                <w:rFonts w:ascii="Times New Roman" w:hAnsi="Times New Roman" w:cs="Times New Roman"/>
                <w:b/>
                <w:bCs/>
                <w:sz w:val="20"/>
                <w:szCs w:val="20"/>
              </w:rPr>
              <w:t>DRC – agents immobiliers</w:t>
            </w:r>
          </w:p>
        </w:tc>
        <w:tc>
          <w:tcPr>
            <w:tcW w:w="12332" w:type="dxa"/>
            <w:tcBorders>
              <w:bottom w:val="single" w:sz="4" w:space="0" w:color="auto"/>
            </w:tcBorders>
            <w:shd w:val="clear" w:color="auto" w:fill="auto"/>
          </w:tcPr>
          <w:p w:rsidR="00AE6773" w:rsidRPr="00AE6773" w:rsidRDefault="00AE6773" w:rsidP="00AE6773">
            <w:pPr>
              <w:numPr>
                <w:ilvl w:val="0"/>
                <w:numId w:val="3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 xml:space="preserve">Nous vous rappelons qu’à l’ouverture d’un compte à un agent immobilier, il convient de collecter, en plus des pièces habituelles, l’attestation d’assurance et l’attestation de garantie financière. </w:t>
            </w:r>
          </w:p>
          <w:p w:rsidR="00AE6773" w:rsidRPr="00AE6773" w:rsidRDefault="00AE6773" w:rsidP="00AE6773">
            <w:pPr>
              <w:numPr>
                <w:ilvl w:val="0"/>
                <w:numId w:val="3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Une fiche DRC est à votre disposition dans l’Espace Pros de la Rubrique des Commerciaux / Connaissance Client / DRC / Pros – Entrepreneurs individuels.</w:t>
            </w:r>
          </w:p>
        </w:tc>
      </w:tr>
      <w:tr w:rsidR="00AE6773" w:rsidRPr="005A0216" w:rsidTr="00AF3BE3">
        <w:trPr>
          <w:trHeight w:val="248"/>
        </w:trPr>
        <w:tc>
          <w:tcPr>
            <w:tcW w:w="1560" w:type="dxa"/>
            <w:tcBorders>
              <w:bottom w:val="single" w:sz="4" w:space="0" w:color="auto"/>
            </w:tcBorders>
          </w:tcPr>
          <w:p w:rsidR="00AE6773" w:rsidRDefault="00AE6773">
            <w:r w:rsidRPr="00A44240">
              <w:rPr>
                <w:rFonts w:ascii="Times New Roman" w:hAnsi="Times New Roman" w:cs="Times New Roman"/>
                <w:b/>
                <w:bCs/>
                <w:sz w:val="20"/>
                <w:szCs w:val="20"/>
              </w:rPr>
              <w:t>Com. DMP</w:t>
            </w:r>
          </w:p>
        </w:tc>
        <w:tc>
          <w:tcPr>
            <w:tcW w:w="1843" w:type="dxa"/>
            <w:tcBorders>
              <w:bottom w:val="single" w:sz="4" w:space="0" w:color="auto"/>
            </w:tcBorders>
          </w:tcPr>
          <w:p w:rsidR="00AE6773" w:rsidRDefault="00AE6773">
            <w:pPr>
              <w:rPr>
                <w:rFonts w:ascii="Times New Roman" w:hAnsi="Times New Roman" w:cs="Times New Roman"/>
                <w:b/>
                <w:bCs/>
                <w:sz w:val="20"/>
                <w:szCs w:val="20"/>
              </w:rPr>
            </w:pPr>
            <w:r>
              <w:rPr>
                <w:rFonts w:ascii="Times New Roman" w:hAnsi="Times New Roman" w:cs="Times New Roman"/>
                <w:b/>
                <w:bCs/>
                <w:sz w:val="20"/>
                <w:szCs w:val="20"/>
              </w:rPr>
              <w:t>Révision Annuelle à fin mars</w:t>
            </w:r>
          </w:p>
        </w:tc>
        <w:tc>
          <w:tcPr>
            <w:tcW w:w="12332" w:type="dxa"/>
            <w:tcBorders>
              <w:bottom w:val="single" w:sz="4" w:space="0" w:color="auto"/>
            </w:tcBorders>
            <w:shd w:val="clear" w:color="auto" w:fill="auto"/>
          </w:tcPr>
          <w:p w:rsidR="00AE6773" w:rsidRPr="00AE6773" w:rsidRDefault="00AE6773" w:rsidP="00AE6773">
            <w:pPr>
              <w:numPr>
                <w:ilvl w:val="0"/>
                <w:numId w:val="4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 xml:space="preserve">L’état à fin mars 2018 des opérations menées sur la révision annuelle et le DRC est disponible dans </w:t>
            </w:r>
            <w:hyperlink r:id="rId27" w:history="1">
              <w:r w:rsidRPr="00AE6773">
                <w:rPr>
                  <w:rStyle w:val="Lienhypertexte"/>
                  <w:rFonts w:ascii="Times New Roman" w:hAnsi="Times New Roman" w:cs="Times New Roman"/>
                  <w:sz w:val="20"/>
                  <w:szCs w:val="20"/>
                  <w:lang w:eastAsia="fr-FR"/>
                </w:rPr>
                <w:t>l’Espace Pro de la Rubrique des Commerciaux Connaissance Client / Révision Annuelle.</w:t>
              </w:r>
            </w:hyperlink>
          </w:p>
          <w:p w:rsidR="00AE6773" w:rsidRPr="00AE6773" w:rsidRDefault="00AE6773" w:rsidP="00AE6773">
            <w:pPr>
              <w:numPr>
                <w:ilvl w:val="0"/>
                <w:numId w:val="45"/>
              </w:numPr>
              <w:ind w:left="176" w:hanging="176"/>
              <w:contextualSpacing/>
              <w:jc w:val="both"/>
              <w:rPr>
                <w:rFonts w:ascii="Times New Roman" w:hAnsi="Times New Roman" w:cs="Times New Roman"/>
                <w:color w:val="000000"/>
                <w:sz w:val="20"/>
                <w:szCs w:val="20"/>
                <w:lang w:eastAsia="fr-FR"/>
              </w:rPr>
            </w:pPr>
            <w:r w:rsidRPr="00AE6773">
              <w:rPr>
                <w:rFonts w:ascii="Times New Roman" w:hAnsi="Times New Roman" w:cs="Times New Roman"/>
                <w:color w:val="000000"/>
                <w:sz w:val="20"/>
                <w:szCs w:val="20"/>
                <w:lang w:eastAsia="fr-FR"/>
              </w:rPr>
              <w:t>Le taux de traitement global passe de 90.42% à 81.72% en nombre, et de 93.51% à 78.83% en encours.</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AE0FBE"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AE0FBE" w:rsidRPr="000915D0" w:rsidRDefault="00AE0FBE">
            <w:pPr>
              <w:rPr>
                <w:rFonts w:ascii="Times New Roman" w:hAnsi="Times New Roman" w:cs="Times New Roman"/>
                <w:b/>
                <w:bCs/>
                <w:sz w:val="20"/>
                <w:szCs w:val="20"/>
              </w:rPr>
            </w:pPr>
            <w:r w:rsidRPr="000915D0">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AE0FBE" w:rsidRPr="000915D0" w:rsidRDefault="00AE0FBE" w:rsidP="000915D0">
            <w:pPr>
              <w:pStyle w:val="wordsection1"/>
              <w:rPr>
                <w:b/>
                <w:bCs/>
                <w:sz w:val="20"/>
                <w:szCs w:val="20"/>
                <w:lang w:eastAsia="en-US"/>
              </w:rPr>
            </w:pPr>
            <w:r w:rsidRPr="000915D0">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AE0FBE" w:rsidRPr="000915D0" w:rsidRDefault="000915D0" w:rsidP="003C196B">
            <w:pPr>
              <w:pStyle w:val="Paragraphedeliste"/>
              <w:numPr>
                <w:ilvl w:val="0"/>
                <w:numId w:val="36"/>
              </w:numPr>
              <w:ind w:left="175" w:hanging="175"/>
              <w:jc w:val="both"/>
              <w:rPr>
                <w:rFonts w:ascii="Times New Roman" w:hAnsi="Times New Roman" w:cs="Times New Roman"/>
                <w:color w:val="1F497D"/>
                <w:sz w:val="20"/>
                <w:szCs w:val="20"/>
              </w:rPr>
            </w:pPr>
            <w:r w:rsidRPr="000915D0">
              <w:rPr>
                <w:rFonts w:ascii="Times New Roman" w:hAnsi="Times New Roman" w:cs="Times New Roman"/>
                <w:sz w:val="20"/>
                <w:szCs w:val="20"/>
              </w:rPr>
              <w:t xml:space="preserve">Vous trouverez en </w:t>
            </w:r>
            <w:hyperlink r:id="rId28" w:history="1">
              <w:r w:rsidRPr="000915D0">
                <w:rPr>
                  <w:rStyle w:val="Lienhypertexte"/>
                  <w:rFonts w:ascii="Times New Roman" w:hAnsi="Times New Roman" w:cs="Times New Roman"/>
                  <w:sz w:val="20"/>
                  <w:szCs w:val="20"/>
                </w:rPr>
                <w:t>cliquant ici</w:t>
              </w:r>
            </w:hyperlink>
            <w:r w:rsidRPr="000915D0">
              <w:rPr>
                <w:rFonts w:ascii="Times New Roman" w:hAnsi="Times New Roman" w:cs="Times New Roman"/>
                <w:sz w:val="20"/>
                <w:szCs w:val="20"/>
              </w:rPr>
              <w:t>, le suivi de commercialisation d’IRIS (commercialisation du 17/01 au 13/06/2018).</w:t>
            </w:r>
            <w:r w:rsidR="003C196B">
              <w:rPr>
                <w:rFonts w:ascii="Times New Roman" w:hAnsi="Times New Roman" w:cs="Times New Roman"/>
                <w:sz w:val="20"/>
                <w:szCs w:val="20"/>
              </w:rPr>
              <w:t xml:space="preserve"> </w:t>
            </w:r>
            <w:r w:rsidRPr="000915D0">
              <w:rPr>
                <w:rFonts w:ascii="Times New Roman" w:hAnsi="Times New Roman" w:cs="Times New Roman"/>
                <w:sz w:val="20"/>
                <w:szCs w:val="20"/>
              </w:rPr>
              <w:t>Au 07/05/2018, 185% des fonds sont placés.</w:t>
            </w:r>
          </w:p>
        </w:tc>
      </w:tr>
      <w:tr w:rsidR="00AE0FBE"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AE0FBE" w:rsidRPr="000915D0" w:rsidRDefault="00AE0FBE">
            <w:pPr>
              <w:rPr>
                <w:rFonts w:ascii="Times New Roman" w:hAnsi="Times New Roman" w:cs="Times New Roman"/>
                <w:b/>
                <w:bCs/>
                <w:sz w:val="20"/>
                <w:szCs w:val="20"/>
              </w:rPr>
            </w:pPr>
            <w:r w:rsidRPr="000915D0">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AE0FBE" w:rsidRPr="000915D0" w:rsidRDefault="00AE0FBE" w:rsidP="000915D0">
            <w:pPr>
              <w:pStyle w:val="wordsection1"/>
              <w:spacing w:before="0" w:beforeAutospacing="0" w:after="0" w:afterAutospacing="0"/>
              <w:rPr>
                <w:b/>
                <w:bCs/>
                <w:sz w:val="20"/>
                <w:szCs w:val="20"/>
                <w:lang w:eastAsia="en-US"/>
              </w:rPr>
            </w:pPr>
            <w:r w:rsidRPr="000915D0">
              <w:rPr>
                <w:b/>
                <w:bCs/>
                <w:sz w:val="20"/>
                <w:szCs w:val="20"/>
              </w:rPr>
              <w:t>Suivi HELIOS</w:t>
            </w:r>
          </w:p>
        </w:tc>
        <w:tc>
          <w:tcPr>
            <w:tcW w:w="12332" w:type="dxa"/>
            <w:tcBorders>
              <w:top w:val="single" w:sz="4" w:space="0" w:color="auto"/>
              <w:left w:val="single" w:sz="4" w:space="0" w:color="auto"/>
              <w:bottom w:val="single" w:sz="4" w:space="0" w:color="auto"/>
              <w:right w:val="single" w:sz="4" w:space="0" w:color="auto"/>
            </w:tcBorders>
          </w:tcPr>
          <w:p w:rsidR="00AE0FBE" w:rsidRPr="000915D0" w:rsidRDefault="000915D0" w:rsidP="003C196B">
            <w:pPr>
              <w:pStyle w:val="wordsection1"/>
              <w:numPr>
                <w:ilvl w:val="0"/>
                <w:numId w:val="39"/>
              </w:numPr>
              <w:spacing w:before="0" w:beforeAutospacing="0" w:after="0" w:afterAutospacing="0"/>
              <w:ind w:left="187" w:hanging="187"/>
              <w:jc w:val="both"/>
              <w:rPr>
                <w:color w:val="1F497D"/>
                <w:sz w:val="20"/>
                <w:szCs w:val="20"/>
              </w:rPr>
            </w:pPr>
            <w:r w:rsidRPr="000915D0">
              <w:rPr>
                <w:sz w:val="20"/>
                <w:szCs w:val="20"/>
              </w:rPr>
              <w:t xml:space="preserve">Vous trouverez en cliquant </w:t>
            </w:r>
            <w:hyperlink r:id="rId29" w:history="1">
              <w:r w:rsidRPr="000915D0">
                <w:rPr>
                  <w:rStyle w:val="Lienhypertexte"/>
                  <w:sz w:val="20"/>
                  <w:szCs w:val="20"/>
                </w:rPr>
                <w:t>ici</w:t>
              </w:r>
            </w:hyperlink>
            <w:r w:rsidRPr="000915D0">
              <w:rPr>
                <w:sz w:val="20"/>
                <w:szCs w:val="20"/>
              </w:rPr>
              <w:t xml:space="preserve">, le suivi de commercialisation d’Hélios (commercialisation du 16/04 au 20/07/2018). </w:t>
            </w:r>
            <w:r w:rsidR="003C196B">
              <w:rPr>
                <w:b/>
                <w:sz w:val="20"/>
                <w:szCs w:val="20"/>
              </w:rPr>
              <w:t>Au 07/05/2018, 17.5</w:t>
            </w:r>
            <w:r w:rsidRPr="003C196B">
              <w:rPr>
                <w:b/>
                <w:sz w:val="20"/>
                <w:szCs w:val="20"/>
              </w:rPr>
              <w:t>% des fonds sont placés</w:t>
            </w:r>
            <w:r w:rsidR="003C196B" w:rsidRPr="003C196B">
              <w:rPr>
                <w:b/>
                <w:sz w:val="20"/>
                <w:szCs w:val="20"/>
              </w:rPr>
              <w:t xml:space="preserve"> pour un TO de 20</w:t>
            </w:r>
            <w:r w:rsidR="003C196B">
              <w:rPr>
                <w:b/>
                <w:sz w:val="20"/>
                <w:szCs w:val="20"/>
              </w:rPr>
              <w:t>.2</w:t>
            </w:r>
            <w:r w:rsidR="003C196B" w:rsidRPr="003C196B">
              <w:rPr>
                <w:b/>
                <w:sz w:val="20"/>
                <w:szCs w:val="20"/>
              </w:rPr>
              <w:t>%</w:t>
            </w:r>
            <w:r w:rsidR="003C196B">
              <w:rPr>
                <w:b/>
                <w:sz w:val="20"/>
                <w:szCs w:val="20"/>
              </w:rPr>
              <w:t xml:space="preserve"> </w:t>
            </w:r>
            <w:r w:rsidR="00205CC4">
              <w:rPr>
                <w:b/>
                <w:sz w:val="20"/>
                <w:szCs w:val="20"/>
              </w:rPr>
              <w:t>(</w:t>
            </w:r>
            <w:r w:rsidR="00231F7E">
              <w:rPr>
                <w:b/>
                <w:sz w:val="20"/>
                <w:szCs w:val="20"/>
              </w:rPr>
              <w:t xml:space="preserve">la </w:t>
            </w:r>
            <w:r w:rsidR="00205CC4">
              <w:rPr>
                <w:b/>
                <w:sz w:val="20"/>
                <w:szCs w:val="20"/>
              </w:rPr>
              <w:t xml:space="preserve">moyenne des CE </w:t>
            </w:r>
            <w:r w:rsidR="00231F7E">
              <w:rPr>
                <w:b/>
                <w:sz w:val="20"/>
                <w:szCs w:val="20"/>
              </w:rPr>
              <w:t>est de 19.2%).</w:t>
            </w:r>
          </w:p>
        </w:tc>
      </w:tr>
      <w:tr w:rsidR="000915D0"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0915D0" w:rsidRPr="000915D0" w:rsidRDefault="000915D0">
            <w:pPr>
              <w:rPr>
                <w:rFonts w:ascii="Times New Roman" w:hAnsi="Times New Roman" w:cs="Times New Roman"/>
                <w:b/>
                <w:bCs/>
                <w:sz w:val="20"/>
                <w:szCs w:val="20"/>
              </w:rPr>
            </w:pPr>
            <w:r w:rsidRPr="000915D0">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0915D0" w:rsidRDefault="000915D0" w:rsidP="000915D0">
            <w:pPr>
              <w:pStyle w:val="wordsection1"/>
              <w:rPr>
                <w:b/>
                <w:bCs/>
                <w:sz w:val="20"/>
                <w:szCs w:val="20"/>
              </w:rPr>
            </w:pPr>
            <w:r>
              <w:rPr>
                <w:b/>
                <w:bCs/>
                <w:sz w:val="20"/>
                <w:szCs w:val="20"/>
              </w:rPr>
              <w:t>Suivi Eurocible 90</w:t>
            </w:r>
          </w:p>
        </w:tc>
        <w:tc>
          <w:tcPr>
            <w:tcW w:w="12332" w:type="dxa"/>
            <w:tcBorders>
              <w:top w:val="single" w:sz="4" w:space="0" w:color="auto"/>
              <w:left w:val="single" w:sz="4" w:space="0" w:color="auto"/>
              <w:bottom w:val="single" w:sz="4" w:space="0" w:color="auto"/>
              <w:right w:val="single" w:sz="4" w:space="0" w:color="auto"/>
            </w:tcBorders>
          </w:tcPr>
          <w:p w:rsidR="000915D0" w:rsidRDefault="000915D0" w:rsidP="003C196B">
            <w:pPr>
              <w:pStyle w:val="wordsection1"/>
              <w:numPr>
                <w:ilvl w:val="0"/>
                <w:numId w:val="46"/>
              </w:numPr>
              <w:spacing w:before="0" w:beforeAutospacing="0" w:after="0" w:afterAutospacing="0"/>
              <w:ind w:left="187" w:hanging="187"/>
              <w:jc w:val="both"/>
              <w:rPr>
                <w:sz w:val="20"/>
                <w:szCs w:val="20"/>
              </w:rPr>
            </w:pPr>
            <w:r>
              <w:rPr>
                <w:sz w:val="20"/>
                <w:szCs w:val="20"/>
              </w:rPr>
              <w:t xml:space="preserve">Vous trouverez en </w:t>
            </w:r>
            <w:hyperlink r:id="rId30" w:history="1">
              <w:r>
                <w:rPr>
                  <w:rStyle w:val="Lienhypertexte"/>
                  <w:sz w:val="20"/>
                  <w:szCs w:val="20"/>
                </w:rPr>
                <w:t>cliquant ici</w:t>
              </w:r>
            </w:hyperlink>
            <w:r>
              <w:rPr>
                <w:sz w:val="20"/>
                <w:szCs w:val="20"/>
              </w:rPr>
              <w:t>, le suivi de commercialisation d’EUROCIBLE 90 (commercialisation du 19/04 au 18/07/2018).</w:t>
            </w:r>
            <w:r w:rsidRPr="003C196B">
              <w:rPr>
                <w:b/>
                <w:sz w:val="20"/>
                <w:szCs w:val="20"/>
              </w:rPr>
              <w:t>Au 07/05/2018, 19% des fonds sont placés pour un TO de 20%,</w:t>
            </w:r>
            <w:r>
              <w:rPr>
                <w:sz w:val="20"/>
                <w:szCs w:val="20"/>
              </w:rPr>
              <w:t xml:space="preserve"> soit 4 070 K€ restant à placer. </w:t>
            </w:r>
          </w:p>
        </w:tc>
      </w:tr>
      <w:tr w:rsidR="00B458BF"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458BF" w:rsidRPr="000915D0" w:rsidRDefault="00B458BF" w:rsidP="00743FE4">
            <w:pPr>
              <w:rPr>
                <w:rFonts w:ascii="Times New Roman" w:hAnsi="Times New Roman" w:cs="Times New Roman"/>
                <w:b/>
                <w:bCs/>
                <w:sz w:val="20"/>
                <w:szCs w:val="20"/>
              </w:rPr>
            </w:pPr>
            <w:r w:rsidRPr="000915D0">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B458BF" w:rsidRPr="000915D0" w:rsidRDefault="00B458BF" w:rsidP="00743FE4">
            <w:pPr>
              <w:rPr>
                <w:rFonts w:ascii="Times New Roman" w:hAnsi="Times New Roman" w:cs="Times New Roman"/>
                <w:b/>
                <w:bCs/>
                <w:color w:val="000000"/>
                <w:sz w:val="20"/>
                <w:szCs w:val="20"/>
              </w:rPr>
            </w:pPr>
            <w:r w:rsidRPr="000915D0">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B458BF" w:rsidRPr="000915D0" w:rsidRDefault="00B458BF" w:rsidP="000915D0">
            <w:pPr>
              <w:pStyle w:val="Paragraphedeliste"/>
              <w:numPr>
                <w:ilvl w:val="0"/>
                <w:numId w:val="2"/>
              </w:numPr>
              <w:ind w:left="176" w:hanging="176"/>
              <w:jc w:val="both"/>
              <w:rPr>
                <w:rFonts w:ascii="Times New Roman" w:hAnsi="Times New Roman" w:cs="Times New Roman"/>
                <w:bCs/>
                <w:sz w:val="20"/>
                <w:szCs w:val="20"/>
                <w:lang w:eastAsia="fr-FR"/>
              </w:rPr>
            </w:pPr>
            <w:r w:rsidRPr="000915D0">
              <w:rPr>
                <w:rFonts w:ascii="Times New Roman" w:hAnsi="Times New Roman" w:cs="Times New Roman"/>
                <w:sz w:val="20"/>
                <w:szCs w:val="20"/>
              </w:rPr>
              <w:t xml:space="preserve">Vous trouverez </w:t>
            </w:r>
            <w:hyperlink r:id="rId31" w:history="1">
              <w:r w:rsidRPr="000915D0">
                <w:rPr>
                  <w:rStyle w:val="Lienhypertexte"/>
                  <w:rFonts w:ascii="Times New Roman" w:hAnsi="Times New Roman" w:cs="Times New Roman"/>
                  <w:sz w:val="20"/>
                  <w:szCs w:val="20"/>
                </w:rPr>
                <w:t>en cliquant ici</w:t>
              </w:r>
            </w:hyperlink>
            <w:r w:rsidRPr="000915D0">
              <w:rPr>
                <w:rFonts w:ascii="Times New Roman" w:hAnsi="Times New Roman" w:cs="Times New Roman"/>
                <w:sz w:val="20"/>
                <w:szCs w:val="20"/>
              </w:rPr>
              <w:t xml:space="preserve"> </w:t>
            </w:r>
            <w:r w:rsidRPr="000915D0">
              <w:rPr>
                <w:rFonts w:ascii="Times New Roman" w:hAnsi="Times New Roman" w:cs="Times New Roman"/>
                <w:b/>
                <w:sz w:val="20"/>
                <w:szCs w:val="20"/>
              </w:rPr>
              <w:t>la météo des crédits arrêtée au 04/05/2018.</w:t>
            </w:r>
          </w:p>
        </w:tc>
      </w:tr>
    </w:tbl>
    <w:p w:rsidR="00EF1178" w:rsidRPr="000915D0" w:rsidRDefault="00EF1178" w:rsidP="00E971C7">
      <w:pPr>
        <w:rPr>
          <w:rFonts w:ascii="Times New Roman" w:hAnsi="Times New Roman" w:cs="Times New Roman"/>
          <w:strike/>
          <w:sz w:val="20"/>
          <w:szCs w:val="20"/>
        </w:rPr>
      </w:pPr>
    </w:p>
    <w:sectPr w:rsidR="00EF1178" w:rsidRPr="000915D0" w:rsidSect="00421843">
      <w:footerReference w:type="default" r:id="rId32"/>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5B4" w:rsidRDefault="008A35B4" w:rsidP="0035465A">
      <w:pPr>
        <w:spacing w:after="0" w:line="240" w:lineRule="auto"/>
      </w:pPr>
      <w:r>
        <w:separator/>
      </w:r>
    </w:p>
  </w:endnote>
  <w:endnote w:type="continuationSeparator" w:id="0">
    <w:p w:rsidR="008A35B4" w:rsidRDefault="008A35B4"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5B4" w:rsidRDefault="008A35B4" w:rsidP="0035465A">
      <w:pPr>
        <w:spacing w:after="0" w:line="240" w:lineRule="auto"/>
      </w:pPr>
      <w:r>
        <w:separator/>
      </w:r>
    </w:p>
  </w:footnote>
  <w:footnote w:type="continuationSeparator" w:id="0">
    <w:p w:rsidR="008A35B4" w:rsidRDefault="008A35B4"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75D18"/>
    <w:multiLevelType w:val="hybridMultilevel"/>
    <w:tmpl w:val="71D43A2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06022909"/>
    <w:multiLevelType w:val="hybridMultilevel"/>
    <w:tmpl w:val="FBEE6A42"/>
    <w:lvl w:ilvl="0" w:tplc="040C0003">
      <w:start w:val="1"/>
      <w:numFmt w:val="bullet"/>
      <w:lvlText w:val="o"/>
      <w:lvlJc w:val="left"/>
      <w:pPr>
        <w:ind w:left="360" w:hanging="360"/>
      </w:pPr>
      <w:rPr>
        <w:rFonts w:ascii="Courier New" w:hAnsi="Courier New" w:cs="Courier New"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5">
    <w:nsid w:val="17984F88"/>
    <w:multiLevelType w:val="hybridMultilevel"/>
    <w:tmpl w:val="31EA35EC"/>
    <w:lvl w:ilvl="0" w:tplc="6A280500">
      <w:numFmt w:val="bullet"/>
      <w:lvlText w:val=""/>
      <w:lvlJc w:val="left"/>
      <w:pPr>
        <w:ind w:left="1068" w:hanging="360"/>
      </w:pPr>
      <w:rPr>
        <w:rFonts w:ascii="Wingdings" w:eastAsia="Times New Roman" w:hAnsi="Wingdings" w:cs="Arial"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1B4431A8"/>
    <w:multiLevelType w:val="hybridMultilevel"/>
    <w:tmpl w:val="8418027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nsid w:val="33B42C56"/>
    <w:multiLevelType w:val="hybridMultilevel"/>
    <w:tmpl w:val="35D22FE0"/>
    <w:lvl w:ilvl="0" w:tplc="81507A30">
      <w:start w:val="1"/>
      <w:numFmt w:val="bullet"/>
      <w:lvlText w:val="o"/>
      <w:lvlJc w:val="left"/>
      <w:pPr>
        <w:ind w:left="720" w:hanging="360"/>
      </w:pPr>
      <w:rPr>
        <w:rFonts w:ascii="Courier New" w:hAnsi="Courier New" w:cs="Courier New" w:hint="default"/>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389E449A"/>
    <w:multiLevelType w:val="hybridMultilevel"/>
    <w:tmpl w:val="FA5ADAB6"/>
    <w:lvl w:ilvl="0" w:tplc="040C0001">
      <w:start w:val="1"/>
      <w:numFmt w:val="bullet"/>
      <w:lvlText w:val=""/>
      <w:lvlJc w:val="left"/>
      <w:pPr>
        <w:ind w:left="360" w:hanging="360"/>
      </w:pPr>
      <w:rPr>
        <w:rFonts w:ascii="Symbol" w:hAnsi="Symbol" w:hint="default"/>
        <w:strike w:val="0"/>
        <w:dstrike w:val="0"/>
        <w:color w:val="000000"/>
        <w:sz w:val="20"/>
        <w:szCs w:val="20"/>
        <w:u w:val="none"/>
        <w:effect w:val="none"/>
      </w:rPr>
    </w:lvl>
    <w:lvl w:ilvl="1" w:tplc="040C0003">
      <w:start w:val="1"/>
      <w:numFmt w:val="bullet"/>
      <w:lvlText w:val="o"/>
      <w:lvlJc w:val="left"/>
      <w:pPr>
        <w:ind w:left="764"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1">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3CAB2106"/>
    <w:multiLevelType w:val="hybridMultilevel"/>
    <w:tmpl w:val="4B72E67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nsid w:val="3F475714"/>
    <w:multiLevelType w:val="hybridMultilevel"/>
    <w:tmpl w:val="943C3652"/>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4">
    <w:nsid w:val="4E8C16E2"/>
    <w:multiLevelType w:val="hybridMultilevel"/>
    <w:tmpl w:val="DB9C991A"/>
    <w:lvl w:ilvl="0" w:tplc="040C0003">
      <w:start w:val="1"/>
      <w:numFmt w:val="bullet"/>
      <w:lvlText w:val="o"/>
      <w:lvlJc w:val="left"/>
      <w:pPr>
        <w:ind w:left="187" w:hanging="187"/>
      </w:pPr>
      <w:rPr>
        <w:rFonts w:ascii="Courier New" w:hAnsi="Courier New" w:cs="Courier New"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5">
    <w:nsid w:val="51E2131B"/>
    <w:multiLevelType w:val="hybridMultilevel"/>
    <w:tmpl w:val="2C1A638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6">
    <w:nsid w:val="546B520E"/>
    <w:multiLevelType w:val="hybridMultilevel"/>
    <w:tmpl w:val="53182B78"/>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714A06E1"/>
    <w:multiLevelType w:val="hybridMultilevel"/>
    <w:tmpl w:val="0AA4A43E"/>
    <w:lvl w:ilvl="0" w:tplc="9D8A1DBA">
      <w:start w:val="1"/>
      <w:numFmt w:val="decimal"/>
      <w:lvlText w:val="%1."/>
      <w:lvlJc w:val="left"/>
      <w:pPr>
        <w:ind w:left="1080" w:hanging="360"/>
      </w:p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18">
    <w:nsid w:val="79503E8C"/>
    <w:multiLevelType w:val="hybridMultilevel"/>
    <w:tmpl w:val="953ED4B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nsid w:val="7F9C5B96"/>
    <w:multiLevelType w:val="hybridMultilevel"/>
    <w:tmpl w:val="BF8E3E14"/>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10"/>
  </w:num>
  <w:num w:numId="2">
    <w:abstractNumId w:val="1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2"/>
  </w:num>
  <w:num w:numId="6">
    <w:abstractNumId w:val="13"/>
  </w:num>
  <w:num w:numId="7">
    <w:abstractNumId w:val="13"/>
  </w:num>
  <w:num w:numId="8">
    <w:abstractNumId w:val="13"/>
  </w:num>
  <w:num w:numId="9">
    <w:abstractNumId w:val="13"/>
  </w:num>
  <w:num w:numId="10">
    <w:abstractNumId w:val="13"/>
  </w:num>
  <w:num w:numId="11">
    <w:abstractNumId w:val="13"/>
  </w:num>
  <w:num w:numId="12">
    <w:abstractNumId w:val="8"/>
  </w:num>
  <w:num w:numId="13">
    <w:abstractNumId w:val="11"/>
  </w:num>
  <w:num w:numId="14">
    <w:abstractNumId w:val="5"/>
  </w:num>
  <w:num w:numId="15">
    <w:abstractNumId w:val="13"/>
  </w:num>
  <w:num w:numId="16">
    <w:abstractNumId w:val="9"/>
  </w:num>
  <w:num w:numId="17">
    <w:abstractNumId w:val="19"/>
  </w:num>
  <w:num w:numId="18">
    <w:abstractNumId w:val="15"/>
  </w:num>
  <w:num w:numId="19">
    <w:abstractNumId w:val="13"/>
  </w:num>
  <w:num w:numId="20">
    <w:abstractNumId w:val="8"/>
  </w:num>
  <w:num w:numId="21">
    <w:abstractNumId w:val="13"/>
  </w:num>
  <w:num w:numId="22">
    <w:abstractNumId w:val="9"/>
  </w:num>
  <w:num w:numId="23">
    <w:abstractNumId w:val="13"/>
  </w:num>
  <w:num w:numId="24">
    <w:abstractNumId w:val="13"/>
  </w:num>
  <w:num w:numId="25">
    <w:abstractNumId w:val="13"/>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num>
  <w:num w:numId="28">
    <w:abstractNumId w:val="14"/>
  </w:num>
  <w:num w:numId="29">
    <w:abstractNumId w:val="14"/>
  </w:num>
  <w:num w:numId="30">
    <w:abstractNumId w:val="17"/>
  </w:num>
  <w:num w:numId="31">
    <w:abstractNumId w:val="13"/>
  </w:num>
  <w:num w:numId="32">
    <w:abstractNumId w:val="13"/>
  </w:num>
  <w:num w:numId="33">
    <w:abstractNumId w:val="16"/>
  </w:num>
  <w:num w:numId="34">
    <w:abstractNumId w:val="13"/>
  </w:num>
  <w:num w:numId="35">
    <w:abstractNumId w:val="11"/>
  </w:num>
  <w:num w:numId="36">
    <w:abstractNumId w:val="12"/>
  </w:num>
  <w:num w:numId="37">
    <w:abstractNumId w:val="18"/>
  </w:num>
  <w:num w:numId="38">
    <w:abstractNumId w:val="19"/>
  </w:num>
  <w:num w:numId="39">
    <w:abstractNumId w:val="13"/>
  </w:num>
  <w:num w:numId="40">
    <w:abstractNumId w:val="4"/>
  </w:num>
  <w:num w:numId="41">
    <w:abstractNumId w:val="1"/>
  </w:num>
  <w:num w:numId="42">
    <w:abstractNumId w:val="1"/>
  </w:num>
  <w:num w:numId="43">
    <w:abstractNumId w:val="0"/>
  </w:num>
  <w:num w:numId="44">
    <w:abstractNumId w:val="7"/>
  </w:num>
  <w:num w:numId="45">
    <w:abstractNumId w:val="11"/>
  </w:num>
  <w:num w:numId="46">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38B6"/>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15D"/>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11EE"/>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AB1"/>
    <w:rsid w:val="001A6E82"/>
    <w:rsid w:val="001A721F"/>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D"/>
    <w:rsid w:val="00202978"/>
    <w:rsid w:val="00202F39"/>
    <w:rsid w:val="00203425"/>
    <w:rsid w:val="002046A2"/>
    <w:rsid w:val="00204871"/>
    <w:rsid w:val="0020547C"/>
    <w:rsid w:val="0020574F"/>
    <w:rsid w:val="00205CC4"/>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1F7E"/>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6D70"/>
    <w:rsid w:val="002A6D9D"/>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C1A"/>
    <w:rsid w:val="002C6C63"/>
    <w:rsid w:val="002C6D11"/>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96B"/>
    <w:rsid w:val="003C1EAF"/>
    <w:rsid w:val="003C1FAA"/>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4DCA"/>
    <w:rsid w:val="003F5027"/>
    <w:rsid w:val="003F508A"/>
    <w:rsid w:val="003F511C"/>
    <w:rsid w:val="003F5534"/>
    <w:rsid w:val="003F607F"/>
    <w:rsid w:val="003F60F1"/>
    <w:rsid w:val="003F7176"/>
    <w:rsid w:val="003F7AB0"/>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550"/>
    <w:rsid w:val="00477692"/>
    <w:rsid w:val="00477AB6"/>
    <w:rsid w:val="00477BA4"/>
    <w:rsid w:val="00477CCE"/>
    <w:rsid w:val="0048044F"/>
    <w:rsid w:val="00480697"/>
    <w:rsid w:val="00481059"/>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34E"/>
    <w:rsid w:val="00513BD6"/>
    <w:rsid w:val="00513CEA"/>
    <w:rsid w:val="00513DE5"/>
    <w:rsid w:val="00514227"/>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D77"/>
    <w:rsid w:val="006D2B19"/>
    <w:rsid w:val="006D2BEC"/>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1F7"/>
    <w:rsid w:val="008A35B4"/>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8F5"/>
    <w:rsid w:val="00917A73"/>
    <w:rsid w:val="00917A8F"/>
    <w:rsid w:val="00917B7C"/>
    <w:rsid w:val="00917F45"/>
    <w:rsid w:val="00920044"/>
    <w:rsid w:val="00920833"/>
    <w:rsid w:val="0092100C"/>
    <w:rsid w:val="009211C6"/>
    <w:rsid w:val="009214E6"/>
    <w:rsid w:val="00921A86"/>
    <w:rsid w:val="00922051"/>
    <w:rsid w:val="00922961"/>
    <w:rsid w:val="00923254"/>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9C1"/>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CC"/>
    <w:rsid w:val="00A43B9E"/>
    <w:rsid w:val="00A43CC8"/>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621"/>
    <w:rsid w:val="00AA4852"/>
    <w:rsid w:val="00AA4923"/>
    <w:rsid w:val="00AA4E27"/>
    <w:rsid w:val="00AA4F0F"/>
    <w:rsid w:val="00AA5370"/>
    <w:rsid w:val="00AA577C"/>
    <w:rsid w:val="00AA5845"/>
    <w:rsid w:val="00AA5F0E"/>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1EB0"/>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4E75"/>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57"/>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3A21"/>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EC"/>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65BE"/>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157/fichiers-a-traiter/4960/mb_dossiers-domilis-a-saisir.xls" TargetMode="External"/><Relationship Id="rId18" Type="http://schemas.openxmlformats.org/officeDocument/2006/relationships/hyperlink" Target="http://commerciaux.celca.caisse-epargne.fr/download/1402/samsung-pay/7998/samsung-pay-comment-acceder-a-lapplication.pptx" TargetMode="External"/><Relationship Id="rId26" Type="http://schemas.openxmlformats.org/officeDocument/2006/relationships/hyperlink" Target="http://commerciaux.celca.caisse-epargne.fr/download/431/resultats-fdc-pros/7944/20180331_resultats-fdc-pros.xlsx" TargetMode="External"/><Relationship Id="rId3" Type="http://schemas.openxmlformats.org/officeDocument/2006/relationships/styles" Target="styles.xml"/><Relationship Id="rId21" Type="http://schemas.openxmlformats.org/officeDocument/2006/relationships/hyperlink" Target="http://wnsgprw1.celca.caisse-epargne.fr/divers/espace_metier/procedures/procedures_locales/delegations/Ref_deleg_celca.pdf?ticks=1525428683824"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commerciaux.celca.caisse-epargne.fr/download/1126/surveillance/7391/majorations-resilisations-auto-mrh-mai-rdc.xlsx" TargetMode="External"/><Relationship Id="rId17" Type="http://schemas.openxmlformats.org/officeDocument/2006/relationships/hyperlink" Target="http://commerciaux.celca.caisse-epargne.fr/download/1276/2018/7895/2018_04_19-hdj-tf1-2018-action-coup-de-poing-3-qhd-online.pptx" TargetMode="External"/><Relationship Id="rId25" Type="http://schemas.openxmlformats.org/officeDocument/2006/relationships/hyperlink" Target="http://commerciaux.celca.caisse-epargne.fr/download/1176/documents-hors-arbo-2/7948/suivi-clients-avec-portable-ko-2018-03.xlsx"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commerciaux.celca.caisse-epargne.fr/download/295/livret-a-ldds/8014/rdc-livrets-a-cloture-a-la-concurrence-avril-2018.xlsx" TargetMode="External"/><Relationship Id="rId20" Type="http://schemas.openxmlformats.org/officeDocument/2006/relationships/hyperlink" Target="http://commerciaux.celca.caisse-epargne.fr/particuliers/bancarisation-2/cartes-bancaires/fonctions-des-cartes/fonctions-des-cartes/" TargetMode="External"/><Relationship Id="rId29" Type="http://schemas.openxmlformats.org/officeDocument/2006/relationships/hyperlink" Target="http://commerciaux.celca.caisse-epargne.fr/download/1357/helios-septembre-2028/8005/suivi-commercialisation-helios-septembre-2028.xls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329/lutte-anti-resiliation/8011/lutte-anti-resiliation.xlsx" TargetMode="External"/><Relationship Id="rId24" Type="http://schemas.openxmlformats.org/officeDocument/2006/relationships/hyperlink" Target="https://www.caisse-epargne.fr/particuliers/epargner/conseil-guide-epargne-financiere-accueil"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nsgprw1.celca.caisse-epargne.fr/app/bci/INF/DSB_INF_17_05.pdf" TargetMode="External"/><Relationship Id="rId23" Type="http://schemas.openxmlformats.org/officeDocument/2006/relationships/hyperlink" Target="https://www.caisse-epargne.fr/particuliers/epargner/conseil-guide-epargne-financiere-accueil" TargetMode="External"/><Relationship Id="rId28" Type="http://schemas.openxmlformats.org/officeDocument/2006/relationships/hyperlink" Target="http://commerciaux.celca.caisse-epargne.fr/download/1176/documents-hors-arbo-2/8015/suivi-commercialisation-iris-5.xlsx" TargetMode="External"/><Relationship Id="rId10" Type="http://schemas.openxmlformats.org/officeDocument/2006/relationships/hyperlink" Target="http://commerciaux.celca.caisse-epargne.fr/download/267/pel-en-non-respect/8009/pel-potentiellement-en-non-respect.xlsx" TargetMode="External"/><Relationship Id="rId19" Type="http://schemas.openxmlformats.org/officeDocument/2006/relationships/hyperlink" Target="http://wnsgprw1.celca.caisse-epargne.fr/app/bci/INF/DMA%20INF%2016.052.pdf" TargetMode="External"/><Relationship Id="rId31" Type="http://schemas.openxmlformats.org/officeDocument/2006/relationships/hyperlink" Target="http://commerciaux.celca.caisse-epargne.fr/download/1176/documents-hors-arbo-2/5429/delai-de-traitement-bdd-dircred-2017.xlsx" TargetMode="External"/><Relationship Id="rId4" Type="http://schemas.microsoft.com/office/2007/relationships/stylesWithEffects" Target="stylesWithEffects.xml"/><Relationship Id="rId9" Type="http://schemas.openxmlformats.org/officeDocument/2006/relationships/hyperlink" Target="http://commerciaux.celca.caisse-epargne.fr/download/1078/izivente-izicarte-oav/3541/fichier-izicartes-en-instance-3.xlsx" TargetMode="External"/><Relationship Id="rId14" Type="http://schemas.openxmlformats.org/officeDocument/2006/relationships/hyperlink" Target="http://commerciaux.celca.caisse-epargne.fr/download/1157/fichiers-a-traiter/4147/mb_dossiers-domilis-a-saisir-mode-operatoire.docx" TargetMode="External"/><Relationship Id="rId22" Type="http://schemas.openxmlformats.org/officeDocument/2006/relationships/hyperlink" Target="https://espacedefi.fr/" TargetMode="External"/><Relationship Id="rId27" Type="http://schemas.openxmlformats.org/officeDocument/2006/relationships/hyperlink" Target="http://commerciaux.celca.caisse-epargne.fr/download/380/revision-annuelle/8000/201803_revisionannuellepro.xlsm" TargetMode="External"/><Relationship Id="rId30" Type="http://schemas.openxmlformats.org/officeDocument/2006/relationships/hyperlink" Target="http://commerciaux.celca.caisse-epargne.fr/download/1176/documents-hors-arbo-2/8016/suivi-commercialisation-eurocible-90.xls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725D2-2AC4-4104-9A8F-97D17B0A4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3050</TotalTime>
  <Pages>1</Pages>
  <Words>2307</Words>
  <Characters>12693</Characters>
  <Application>Microsoft Office Word</Application>
  <DocSecurity>0</DocSecurity>
  <Lines>105</Lines>
  <Paragraphs>29</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14971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319</cp:revision>
  <dcterms:created xsi:type="dcterms:W3CDTF">2018-01-22T16:25:00Z</dcterms:created>
  <dcterms:modified xsi:type="dcterms:W3CDTF">2018-05-07T12:49:00Z</dcterms:modified>
</cp:coreProperties>
</file>