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F90648" w:rsidP="00BB7708">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w:t>
            </w:r>
            <w:r>
              <w:rPr>
                <w:rFonts w:ascii="Times New Roman" w:hAnsi="Times New Roman" w:cs="Times New Roman"/>
                <w:b/>
                <w:sz w:val="32"/>
                <w:szCs w:val="40"/>
              </w:rPr>
              <w:t xml:space="preserve"> </w:t>
            </w:r>
            <w:r w:rsidR="00B6235F">
              <w:rPr>
                <w:rFonts w:ascii="Times New Roman" w:hAnsi="Times New Roman" w:cs="Times New Roman"/>
                <w:b/>
                <w:sz w:val="32"/>
                <w:szCs w:val="40"/>
              </w:rPr>
              <w:t>DES</w:t>
            </w:r>
            <w:r>
              <w:rPr>
                <w:rFonts w:ascii="Times New Roman" w:hAnsi="Times New Roman" w:cs="Times New Roman"/>
                <w:b/>
                <w:sz w:val="32"/>
                <w:szCs w:val="40"/>
              </w:rPr>
              <w:t xml:space="preserve"> </w:t>
            </w:r>
            <w:r w:rsidR="00B6235F">
              <w:rPr>
                <w:rFonts w:ascii="Times New Roman" w:hAnsi="Times New Roman" w:cs="Times New Roman"/>
                <w:b/>
                <w:sz w:val="32"/>
                <w:szCs w:val="40"/>
              </w:rPr>
              <w:t>ACTUALITES</w:t>
            </w:r>
            <w:r>
              <w:rPr>
                <w:rFonts w:ascii="Times New Roman" w:hAnsi="Times New Roman" w:cs="Times New Roman"/>
                <w:b/>
                <w:sz w:val="32"/>
                <w:szCs w:val="40"/>
              </w:rPr>
              <w:t xml:space="preserve"> </w:t>
            </w:r>
            <w:r w:rsidR="00BB7708">
              <w:rPr>
                <w:rFonts w:ascii="Times New Roman" w:hAnsi="Times New Roman" w:cs="Times New Roman"/>
                <w:b/>
                <w:sz w:val="32"/>
                <w:szCs w:val="40"/>
              </w:rPr>
              <w:t>2018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ED0846">
              <w:rPr>
                <w:rFonts w:ascii="Times New Roman" w:hAnsi="Times New Roman" w:cs="Times New Roman"/>
                <w:b/>
                <w:sz w:val="32"/>
                <w:szCs w:val="40"/>
              </w:rPr>
              <w:t>22</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F90648">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ED0846" w:rsidRPr="00C351E7" w:rsidTr="00AF3BE3">
        <w:trPr>
          <w:trHeight w:val="515"/>
        </w:trPr>
        <w:tc>
          <w:tcPr>
            <w:tcW w:w="1560" w:type="dxa"/>
            <w:tcBorders>
              <w:bottom w:val="single" w:sz="4" w:space="0" w:color="auto"/>
            </w:tcBorders>
            <w:shd w:val="clear" w:color="auto" w:fill="FFFFFF" w:themeFill="background1"/>
          </w:tcPr>
          <w:p w:rsidR="00ED0846" w:rsidRPr="00751831" w:rsidRDefault="00ED0846" w:rsidP="003F3054">
            <w:pPr>
              <w:rPr>
                <w:rFonts w:ascii="Times New Roman" w:hAnsi="Times New Roman" w:cs="Times New Roman"/>
                <w:b/>
                <w:bCs/>
                <w:sz w:val="20"/>
                <w:szCs w:val="20"/>
              </w:rPr>
            </w:pPr>
            <w:r w:rsidRPr="00751831">
              <w:rPr>
                <w:rFonts w:ascii="Times New Roman" w:hAnsi="Times New Roman" w:cs="Times New Roman"/>
                <w:b/>
                <w:bCs/>
                <w:color w:val="000000"/>
                <w:sz w:val="20"/>
                <w:szCs w:val="20"/>
              </w:rPr>
              <w:t>Com.</w:t>
            </w:r>
            <w:r>
              <w:rPr>
                <w:rFonts w:ascii="Times New Roman" w:hAnsi="Times New Roman" w:cs="Times New Roman"/>
                <w:b/>
                <w:bCs/>
                <w:color w:val="000000"/>
                <w:sz w:val="20"/>
                <w:szCs w:val="20"/>
              </w:rPr>
              <w:t xml:space="preserve"> </w:t>
            </w:r>
            <w:r w:rsidRPr="00751831">
              <w:rPr>
                <w:rFonts w:ascii="Times New Roman" w:hAnsi="Times New Roman" w:cs="Times New Roman"/>
                <w:b/>
                <w:bCs/>
                <w:color w:val="000000"/>
                <w:sz w:val="20"/>
                <w:szCs w:val="20"/>
              </w:rPr>
              <w:t>DMA</w:t>
            </w:r>
          </w:p>
        </w:tc>
        <w:tc>
          <w:tcPr>
            <w:tcW w:w="1843" w:type="dxa"/>
            <w:tcBorders>
              <w:bottom w:val="single" w:sz="4" w:space="0" w:color="auto"/>
            </w:tcBorders>
            <w:shd w:val="clear" w:color="auto" w:fill="FFFFFF" w:themeFill="background1"/>
          </w:tcPr>
          <w:p w:rsidR="00ED0846" w:rsidRDefault="00ED0846" w:rsidP="003F3054">
            <w:pPr>
              <w:rPr>
                <w:rFonts w:ascii="Times New Roman" w:hAnsi="Times New Roman" w:cs="Times New Roman"/>
                <w:b/>
                <w:bCs/>
                <w:sz w:val="20"/>
                <w:szCs w:val="20"/>
              </w:rPr>
            </w:pPr>
            <w:r>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ED0846" w:rsidRPr="00917241" w:rsidRDefault="0011454C" w:rsidP="003F3054">
            <w:pPr>
              <w:numPr>
                <w:ilvl w:val="0"/>
                <w:numId w:val="22"/>
              </w:numPr>
              <w:ind w:left="176" w:hanging="176"/>
              <w:contextualSpacing/>
              <w:jc w:val="both"/>
              <w:rPr>
                <w:rFonts w:ascii="Times New Roman" w:hAnsi="Times New Roman" w:cs="Times New Roman"/>
                <w:sz w:val="20"/>
                <w:szCs w:val="20"/>
                <w:lang w:eastAsia="fr-FR"/>
              </w:rPr>
            </w:pPr>
            <w:hyperlink r:id="rId9" w:history="1">
              <w:r w:rsidR="00ED0846" w:rsidRPr="00917241">
                <w:rPr>
                  <w:rStyle w:val="Lienhypertexte"/>
                  <w:rFonts w:ascii="Times New Roman" w:hAnsi="Times New Roman" w:cs="Times New Roman"/>
                  <w:sz w:val="20"/>
                  <w:szCs w:val="20"/>
                  <w:lang w:eastAsia="fr-FR"/>
                </w:rPr>
                <w:t>CLIQUEZ ICI</w:t>
              </w:r>
            </w:hyperlink>
            <w:r w:rsidR="00ED0846" w:rsidRPr="00917241">
              <w:rPr>
                <w:rFonts w:ascii="Times New Roman" w:hAnsi="Times New Roman" w:cs="Times New Roman"/>
                <w:sz w:val="20"/>
                <w:szCs w:val="20"/>
                <w:lang w:eastAsia="fr-FR"/>
              </w:rPr>
              <w:t xml:space="preserve"> pour trouver le fichier des IZICARTES en attente de saisie d’une date de signature (volumétrie : 167 cartes en attente). Tant que les 2 étapes « mise en force » et « saisie la date de signature » ne seront pas faites, nos clients ne recevront pas leur carte.</w:t>
            </w:r>
          </w:p>
        </w:tc>
      </w:tr>
      <w:tr w:rsidR="003F3054" w:rsidRPr="00C351E7" w:rsidTr="00AF3BE3">
        <w:trPr>
          <w:trHeight w:val="515"/>
        </w:trPr>
        <w:tc>
          <w:tcPr>
            <w:tcW w:w="1560" w:type="dxa"/>
            <w:tcBorders>
              <w:bottom w:val="single" w:sz="4" w:space="0" w:color="auto"/>
            </w:tcBorders>
            <w:shd w:val="clear" w:color="auto" w:fill="FFFFFF" w:themeFill="background1"/>
          </w:tcPr>
          <w:p w:rsidR="003F3054" w:rsidRPr="003F3054" w:rsidRDefault="003F3054" w:rsidP="003F3054">
            <w:pPr>
              <w:rPr>
                <w:rFonts w:ascii="Times New Roman" w:hAnsi="Times New Roman" w:cs="Times New Roman"/>
                <w:color w:val="000000"/>
                <w:sz w:val="20"/>
                <w:szCs w:val="20"/>
              </w:rPr>
            </w:pPr>
            <w:r w:rsidRPr="003F3054">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3F3054" w:rsidRPr="003F3054" w:rsidRDefault="003F3054" w:rsidP="003F3054">
            <w:pPr>
              <w:rPr>
                <w:rFonts w:ascii="Times New Roman" w:hAnsi="Times New Roman" w:cs="Times New Roman"/>
                <w:b/>
                <w:bCs/>
                <w:color w:val="000000"/>
                <w:sz w:val="20"/>
                <w:szCs w:val="20"/>
              </w:rPr>
            </w:pPr>
            <w:r w:rsidRPr="003F3054">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3F3054" w:rsidRPr="003F3054" w:rsidRDefault="003F3054" w:rsidP="003F3054">
            <w:pPr>
              <w:numPr>
                <w:ilvl w:val="0"/>
                <w:numId w:val="31"/>
              </w:numPr>
              <w:ind w:left="176" w:hanging="176"/>
              <w:contextualSpacing/>
              <w:jc w:val="both"/>
              <w:rPr>
                <w:rFonts w:ascii="Times New Roman" w:hAnsi="Times New Roman" w:cs="Times New Roman"/>
                <w:b/>
                <w:bCs/>
                <w:color w:val="000000"/>
                <w:sz w:val="20"/>
                <w:szCs w:val="20"/>
              </w:rPr>
            </w:pPr>
            <w:r w:rsidRPr="003F3054">
              <w:rPr>
                <w:rFonts w:ascii="Times New Roman" w:hAnsi="Times New Roman" w:cs="Times New Roman"/>
                <w:color w:val="000000"/>
                <w:sz w:val="20"/>
                <w:szCs w:val="20"/>
                <w:lang w:eastAsia="fr-FR"/>
              </w:rPr>
              <w:t xml:space="preserve">CLIQUEZ </w:t>
            </w:r>
            <w:hyperlink r:id="rId10" w:history="1">
              <w:r w:rsidRPr="003F3054">
                <w:rPr>
                  <w:rStyle w:val="Lienhypertexte"/>
                  <w:rFonts w:ascii="Times New Roman" w:hAnsi="Times New Roman" w:cs="Times New Roman"/>
                  <w:sz w:val="20"/>
                  <w:szCs w:val="20"/>
                  <w:lang w:eastAsia="fr-FR"/>
                </w:rPr>
                <w:t>ICI</w:t>
              </w:r>
            </w:hyperlink>
            <w:r w:rsidRPr="003F3054">
              <w:rPr>
                <w:rFonts w:ascii="Times New Roman" w:hAnsi="Times New Roman" w:cs="Times New Roman"/>
                <w:color w:val="000000"/>
                <w:sz w:val="20"/>
                <w:szCs w:val="20"/>
                <w:lang w:eastAsia="fr-FR"/>
              </w:rPr>
              <w:t xml:space="preserve"> pour accéder à la liste des PEL potentiellement en non-respect arrêté au 28 mai 2018 qui seront clôturés à J+1 de la date anniversaire (volumétrie 127 clients)</w:t>
            </w:r>
            <w:r w:rsidR="00AA44F9">
              <w:rPr>
                <w:rFonts w:ascii="Times New Roman" w:hAnsi="Times New Roman" w:cs="Times New Roman"/>
                <w:color w:val="000000"/>
                <w:sz w:val="20"/>
                <w:szCs w:val="20"/>
                <w:lang w:eastAsia="fr-FR"/>
              </w:rPr>
              <w:t>.</w:t>
            </w:r>
          </w:p>
        </w:tc>
      </w:tr>
      <w:tr w:rsidR="003F3054" w:rsidRPr="00C351E7" w:rsidTr="00AA44F9">
        <w:trPr>
          <w:trHeight w:val="358"/>
        </w:trPr>
        <w:tc>
          <w:tcPr>
            <w:tcW w:w="1560" w:type="dxa"/>
            <w:tcBorders>
              <w:bottom w:val="single" w:sz="4" w:space="0" w:color="auto"/>
            </w:tcBorders>
            <w:shd w:val="clear" w:color="auto" w:fill="FFFFFF" w:themeFill="background1"/>
          </w:tcPr>
          <w:p w:rsidR="003F3054" w:rsidRPr="003F3054" w:rsidRDefault="003F3054" w:rsidP="003F3054">
            <w:pPr>
              <w:rPr>
                <w:rFonts w:ascii="Times New Roman" w:hAnsi="Times New Roman" w:cs="Times New Roman"/>
                <w:color w:val="000000"/>
                <w:sz w:val="20"/>
                <w:szCs w:val="20"/>
              </w:rPr>
            </w:pPr>
            <w:r w:rsidRPr="003F3054">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3F3054" w:rsidRPr="003F3054" w:rsidRDefault="003F3054" w:rsidP="003F3054">
            <w:pPr>
              <w:rPr>
                <w:rFonts w:ascii="Times New Roman" w:hAnsi="Times New Roman" w:cs="Times New Roman"/>
                <w:b/>
                <w:bCs/>
                <w:color w:val="000000"/>
                <w:sz w:val="20"/>
                <w:szCs w:val="20"/>
              </w:rPr>
            </w:pPr>
            <w:r w:rsidRPr="003F3054">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3F3054" w:rsidRPr="003F3054" w:rsidRDefault="003F3054" w:rsidP="003F3054">
            <w:pPr>
              <w:numPr>
                <w:ilvl w:val="0"/>
                <w:numId w:val="31"/>
              </w:numPr>
              <w:ind w:left="176" w:hanging="176"/>
              <w:contextualSpacing/>
              <w:jc w:val="both"/>
              <w:rPr>
                <w:rFonts w:ascii="Times New Roman" w:hAnsi="Times New Roman" w:cs="Times New Roman"/>
                <w:color w:val="000000"/>
                <w:sz w:val="20"/>
                <w:szCs w:val="20"/>
                <w:lang w:eastAsia="fr-FR"/>
              </w:rPr>
            </w:pPr>
            <w:r w:rsidRPr="003F3054">
              <w:rPr>
                <w:rFonts w:ascii="Times New Roman" w:hAnsi="Times New Roman" w:cs="Times New Roman"/>
                <w:color w:val="000000"/>
                <w:sz w:val="20"/>
                <w:szCs w:val="20"/>
                <w:lang w:eastAsia="fr-FR"/>
              </w:rPr>
              <w:t xml:space="preserve">CLIQUEZ </w:t>
            </w:r>
            <w:hyperlink r:id="rId11" w:history="1">
              <w:r w:rsidRPr="003F3054">
                <w:rPr>
                  <w:rStyle w:val="Lienhypertexte"/>
                  <w:rFonts w:ascii="Times New Roman" w:hAnsi="Times New Roman" w:cs="Times New Roman"/>
                  <w:sz w:val="20"/>
                  <w:szCs w:val="20"/>
                  <w:lang w:eastAsia="fr-FR"/>
                </w:rPr>
                <w:t>ICI</w:t>
              </w:r>
            </w:hyperlink>
            <w:r w:rsidRPr="003F3054">
              <w:rPr>
                <w:rFonts w:ascii="Times New Roman" w:hAnsi="Times New Roman" w:cs="Times New Roman"/>
                <w:color w:val="000000"/>
                <w:sz w:val="20"/>
                <w:szCs w:val="20"/>
                <w:lang w:eastAsia="fr-FR"/>
              </w:rPr>
              <w:t xml:space="preserve"> pour accéder au fichier Lutte anti-résiliation IARD arrêté au 21 mai 2018 (volumétrie 323 clients). </w:t>
            </w:r>
          </w:p>
        </w:tc>
      </w:tr>
      <w:tr w:rsidR="003F3054" w:rsidRPr="00C351E7" w:rsidTr="00AA44F9">
        <w:trPr>
          <w:trHeight w:val="266"/>
        </w:trPr>
        <w:tc>
          <w:tcPr>
            <w:tcW w:w="1560" w:type="dxa"/>
            <w:tcBorders>
              <w:bottom w:val="single" w:sz="4" w:space="0" w:color="auto"/>
            </w:tcBorders>
            <w:shd w:val="clear" w:color="auto" w:fill="FFFFFF" w:themeFill="background1"/>
          </w:tcPr>
          <w:p w:rsidR="003F3054" w:rsidRPr="003F3054" w:rsidRDefault="003F3054" w:rsidP="003F3054">
            <w:pPr>
              <w:rPr>
                <w:rFonts w:ascii="Times New Roman" w:hAnsi="Times New Roman" w:cs="Times New Roman"/>
                <w:b/>
                <w:bCs/>
                <w:color w:val="000000"/>
                <w:sz w:val="20"/>
                <w:szCs w:val="20"/>
              </w:rPr>
            </w:pPr>
            <w:r w:rsidRPr="003F3054">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3F3054" w:rsidRPr="003F3054" w:rsidRDefault="003F3054" w:rsidP="003F3054">
            <w:pPr>
              <w:rPr>
                <w:rFonts w:ascii="Times New Roman" w:hAnsi="Times New Roman" w:cs="Times New Roman"/>
                <w:b/>
                <w:bCs/>
                <w:color w:val="000000"/>
                <w:sz w:val="20"/>
                <w:szCs w:val="20"/>
              </w:rPr>
            </w:pPr>
            <w:r w:rsidRPr="003F3054">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3F3054" w:rsidRPr="003F3054" w:rsidRDefault="003F3054" w:rsidP="003F3054">
            <w:pPr>
              <w:numPr>
                <w:ilvl w:val="0"/>
                <w:numId w:val="31"/>
              </w:numPr>
              <w:ind w:left="176" w:hanging="176"/>
              <w:contextualSpacing/>
              <w:jc w:val="both"/>
              <w:rPr>
                <w:rFonts w:ascii="Times New Roman" w:hAnsi="Times New Roman" w:cs="Times New Roman"/>
                <w:color w:val="000000"/>
                <w:sz w:val="20"/>
                <w:szCs w:val="20"/>
                <w:lang w:eastAsia="fr-FR"/>
              </w:rPr>
            </w:pPr>
            <w:r w:rsidRPr="003F3054">
              <w:rPr>
                <w:rFonts w:ascii="Times New Roman" w:hAnsi="Times New Roman" w:cs="Times New Roman"/>
                <w:sz w:val="20"/>
                <w:szCs w:val="20"/>
              </w:rPr>
              <w:t xml:space="preserve">CLIQUEZ </w:t>
            </w:r>
            <w:hyperlink r:id="rId12" w:history="1">
              <w:r w:rsidRPr="003F3054">
                <w:rPr>
                  <w:rStyle w:val="Lienhypertexte"/>
                  <w:rFonts w:ascii="Times New Roman" w:hAnsi="Times New Roman" w:cs="Times New Roman"/>
                  <w:sz w:val="20"/>
                  <w:szCs w:val="20"/>
                </w:rPr>
                <w:t>ICI</w:t>
              </w:r>
            </w:hyperlink>
            <w:r w:rsidRPr="003F3054">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A62E1D" w:rsidRPr="00E81F6E" w:rsidTr="00FF1FD7">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F90648">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FF1FD7" w:rsidRPr="00E81F6E" w:rsidTr="005432A3">
        <w:trPr>
          <w:trHeight w:val="391"/>
        </w:trPr>
        <w:tc>
          <w:tcPr>
            <w:tcW w:w="1560" w:type="dxa"/>
            <w:tcBorders>
              <w:bottom w:val="single" w:sz="4" w:space="0" w:color="auto"/>
            </w:tcBorders>
            <w:shd w:val="clear" w:color="auto" w:fill="auto"/>
          </w:tcPr>
          <w:p w:rsidR="00FF1FD7" w:rsidRPr="00043BEF" w:rsidRDefault="00FF1FD7" w:rsidP="0075316D">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DRCCP</w:t>
            </w:r>
          </w:p>
        </w:tc>
        <w:tc>
          <w:tcPr>
            <w:tcW w:w="1843" w:type="dxa"/>
            <w:tcBorders>
              <w:bottom w:val="single" w:sz="4" w:space="0" w:color="auto"/>
            </w:tcBorders>
            <w:shd w:val="clear" w:color="auto" w:fill="auto"/>
          </w:tcPr>
          <w:p w:rsidR="00FF1FD7" w:rsidRPr="00043BEF" w:rsidRDefault="00FF1FD7" w:rsidP="0075316D">
            <w:pPr>
              <w:spacing w:after="200" w:line="276" w:lineRule="auto"/>
              <w:rPr>
                <w:rFonts w:ascii="Times New Roman" w:hAnsi="Times New Roman" w:cs="Times New Roman"/>
                <w:b/>
                <w:bCs/>
                <w:sz w:val="20"/>
                <w:szCs w:val="20"/>
                <w:lang w:eastAsia="fr-FR"/>
              </w:rPr>
            </w:pPr>
            <w:r>
              <w:rPr>
                <w:rFonts w:ascii="Times New Roman" w:hAnsi="Times New Roman" w:cs="Times New Roman"/>
                <w:b/>
                <w:bCs/>
                <w:sz w:val="20"/>
                <w:szCs w:val="20"/>
                <w:lang w:eastAsia="fr-FR"/>
              </w:rPr>
              <w:t>Le RGPD est entré en application le 25/05/2018</w:t>
            </w:r>
          </w:p>
        </w:tc>
        <w:tc>
          <w:tcPr>
            <w:tcW w:w="12332" w:type="dxa"/>
            <w:tcBorders>
              <w:bottom w:val="single" w:sz="4" w:space="0" w:color="auto"/>
            </w:tcBorders>
            <w:shd w:val="clear" w:color="auto" w:fill="auto"/>
          </w:tcPr>
          <w:p w:rsidR="00FF1FD7" w:rsidRPr="00043BEF" w:rsidRDefault="00FF1FD7" w:rsidP="0075316D">
            <w:pPr>
              <w:numPr>
                <w:ilvl w:val="0"/>
                <w:numId w:val="22"/>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Le Règlement Général sur la Protection des Données (RGP) est entré en application le 25 mai dernier. Ses dispositions nous concernent tous, collaborateurs, salariés, citoyens.</w:t>
            </w:r>
          </w:p>
          <w:p w:rsidR="00FF1FD7" w:rsidRPr="00043BEF" w:rsidRDefault="00FF1FD7" w:rsidP="0075316D">
            <w:pPr>
              <w:numPr>
                <w:ilvl w:val="0"/>
                <w:numId w:val="22"/>
              </w:numPr>
              <w:ind w:left="176" w:hanging="176"/>
              <w:contextualSpacing/>
              <w:jc w:val="both"/>
              <w:rPr>
                <w:rFonts w:ascii="Times New Roman" w:hAnsi="Times New Roman" w:cs="Times New Roman"/>
                <w:sz w:val="20"/>
                <w:szCs w:val="20"/>
              </w:rPr>
            </w:pPr>
            <w:r w:rsidRPr="00043BEF">
              <w:rPr>
                <w:rStyle w:val="lev"/>
                <w:rFonts w:ascii="Times New Roman" w:hAnsi="Times New Roman" w:cs="Times New Roman"/>
                <w:sz w:val="20"/>
                <w:szCs w:val="20"/>
              </w:rPr>
              <w:t>Mieux protéger les données à caractère personnel</w:t>
            </w:r>
            <w:r w:rsidRPr="00043BEF">
              <w:rPr>
                <w:rFonts w:ascii="Times New Roman" w:hAnsi="Times New Roman" w:cs="Times New Roman"/>
                <w:sz w:val="20"/>
                <w:szCs w:val="20"/>
              </w:rPr>
              <w:t xml:space="preserve"> des individus et leur accorder de nouveaux droits, au regard des usages du numérique : tel est l’enjeu du RGPD. Cette nouvelle réglementation européenne s’appuie sur des principes de transparence et de responsabilisation des différents acteurs. </w:t>
            </w:r>
            <w:r>
              <w:rPr>
                <w:rFonts w:ascii="Times New Roman" w:hAnsi="Times New Roman" w:cs="Times New Roman"/>
                <w:sz w:val="20"/>
                <w:szCs w:val="20"/>
              </w:rPr>
              <w:t xml:space="preserve">Son entrée en application </w:t>
            </w:r>
            <w:r w:rsidRPr="00043BEF">
              <w:rPr>
                <w:rFonts w:ascii="Times New Roman" w:hAnsi="Times New Roman" w:cs="Times New Roman"/>
                <w:sz w:val="20"/>
                <w:szCs w:val="20"/>
              </w:rPr>
              <w:t>concerne ainsi toutes les entreprises, où qu’elles soient établies, du moment qu’elles collectent, traitent ou hébergent les données personnelles de résidents européens.</w:t>
            </w:r>
          </w:p>
          <w:p w:rsidR="00FF1FD7" w:rsidRPr="00043BEF" w:rsidRDefault="00FF1FD7" w:rsidP="0075316D">
            <w:pPr>
              <w:numPr>
                <w:ilvl w:val="0"/>
                <w:numId w:val="22"/>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Retrouvez toutes les informations utiles en </w:t>
            </w:r>
            <w:hyperlink r:id="rId13" w:history="1">
              <w:r w:rsidRPr="00043BEF">
                <w:rPr>
                  <w:rStyle w:val="Lienhypertexte"/>
                  <w:rFonts w:ascii="Times New Roman" w:hAnsi="Times New Roman" w:cs="Times New Roman"/>
                  <w:sz w:val="20"/>
                  <w:szCs w:val="20"/>
                </w:rPr>
                <w:t>Une du Portail Intranet</w:t>
              </w:r>
            </w:hyperlink>
            <w:r>
              <w:rPr>
                <w:rStyle w:val="Accentuation"/>
                <w:rFonts w:ascii="Times New Roman" w:hAnsi="Times New Roman" w:cs="Times New Roman"/>
                <w:i w:val="0"/>
                <w:iCs w:val="0"/>
                <w:sz w:val="20"/>
                <w:szCs w:val="20"/>
              </w:rPr>
              <w:t xml:space="preserve"> et dans votre espace Communication Client / Documents réglementaires / RGPD et notamment la notice RGPD à remettre à vos clients qui en ferai</w:t>
            </w:r>
            <w:r w:rsidR="00422C00">
              <w:rPr>
                <w:rStyle w:val="Accentuation"/>
                <w:rFonts w:ascii="Times New Roman" w:hAnsi="Times New Roman" w:cs="Times New Roman"/>
                <w:i w:val="0"/>
                <w:iCs w:val="0"/>
                <w:sz w:val="20"/>
                <w:szCs w:val="20"/>
              </w:rPr>
              <w:t>en</w:t>
            </w:r>
            <w:r>
              <w:rPr>
                <w:rStyle w:val="Accentuation"/>
                <w:rFonts w:ascii="Times New Roman" w:hAnsi="Times New Roman" w:cs="Times New Roman"/>
                <w:i w:val="0"/>
                <w:iCs w:val="0"/>
                <w:sz w:val="20"/>
                <w:szCs w:val="20"/>
              </w:rPr>
              <w:t>t la demande (</w:t>
            </w:r>
            <w:hyperlink r:id="rId14" w:history="1">
              <w:r w:rsidRPr="00FF1FD7">
                <w:rPr>
                  <w:rStyle w:val="Lienhypertexte"/>
                  <w:rFonts w:ascii="Times New Roman" w:hAnsi="Times New Roman" w:cs="Times New Roman"/>
                  <w:sz w:val="20"/>
                  <w:szCs w:val="20"/>
                </w:rPr>
                <w:t>cliquez ici</w:t>
              </w:r>
            </w:hyperlink>
            <w:r>
              <w:rPr>
                <w:rStyle w:val="Accentuation"/>
                <w:rFonts w:ascii="Times New Roman" w:hAnsi="Times New Roman" w:cs="Times New Roman"/>
                <w:i w:val="0"/>
                <w:iCs w:val="0"/>
                <w:sz w:val="20"/>
                <w:szCs w:val="20"/>
              </w:rPr>
              <w:t>).</w:t>
            </w:r>
          </w:p>
        </w:tc>
      </w:tr>
      <w:tr w:rsidR="00043BEF" w:rsidRPr="00E81F6E" w:rsidTr="00043BEF">
        <w:trPr>
          <w:trHeight w:val="208"/>
        </w:trPr>
        <w:tc>
          <w:tcPr>
            <w:tcW w:w="15735" w:type="dxa"/>
            <w:gridSpan w:val="3"/>
            <w:tcBorders>
              <w:bottom w:val="single" w:sz="4" w:space="0" w:color="auto"/>
            </w:tcBorders>
            <w:shd w:val="clear" w:color="auto" w:fill="BFBFBF" w:themeFill="background1" w:themeFillShade="BF"/>
          </w:tcPr>
          <w:p w:rsidR="00043BEF" w:rsidRPr="00043BEF" w:rsidRDefault="00043BEF" w:rsidP="00043BEF">
            <w:pPr>
              <w:contextualSpacing/>
              <w:jc w:val="center"/>
              <w:rPr>
                <w:rFonts w:ascii="Times New Roman" w:hAnsi="Times New Roman" w:cs="Times New Roman"/>
                <w:sz w:val="20"/>
                <w:szCs w:val="20"/>
              </w:rPr>
            </w:pPr>
            <w:r w:rsidRPr="00043BEF">
              <w:rPr>
                <w:rFonts w:ascii="Times New Roman" w:hAnsi="Times New Roman" w:cs="Times New Roman"/>
                <w:b/>
                <w:color w:val="000000"/>
                <w:sz w:val="20"/>
                <w:szCs w:val="20"/>
                <w:lang w:eastAsia="fr-FR"/>
              </w:rPr>
              <w:t>IARD /Prévoyance</w:t>
            </w:r>
          </w:p>
        </w:tc>
      </w:tr>
      <w:tr w:rsidR="00043BEF" w:rsidRPr="00E81F6E" w:rsidTr="00681565">
        <w:trPr>
          <w:trHeight w:val="208"/>
        </w:trPr>
        <w:tc>
          <w:tcPr>
            <w:tcW w:w="1560" w:type="dxa"/>
            <w:tcBorders>
              <w:bottom w:val="single" w:sz="4" w:space="0" w:color="auto"/>
            </w:tcBorders>
          </w:tcPr>
          <w:p w:rsidR="00043BEF" w:rsidRPr="00C351E7" w:rsidRDefault="00043BEF">
            <w:pPr>
              <w:rPr>
                <w:rFonts w:ascii="Times New Roman" w:hAnsi="Times New Roman" w:cs="Times New Roman"/>
                <w:b/>
                <w:bCs/>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043BEF" w:rsidRDefault="00043BEF">
            <w:pPr>
              <w:pStyle w:val="wordsection1"/>
              <w:spacing w:before="0" w:beforeAutospacing="0" w:after="0" w:afterAutospacing="0"/>
              <w:rPr>
                <w:b/>
                <w:bCs/>
                <w:sz w:val="20"/>
                <w:szCs w:val="20"/>
              </w:rPr>
            </w:pPr>
            <w:r>
              <w:rPr>
                <w:b/>
                <w:bCs/>
                <w:sz w:val="20"/>
                <w:szCs w:val="20"/>
              </w:rPr>
              <w:t>Remise tarifaire IARD</w:t>
            </w:r>
            <w:r>
              <w:rPr>
                <w:b/>
                <w:bCs/>
                <w:color w:val="1F497D"/>
                <w:sz w:val="20"/>
                <w:szCs w:val="20"/>
              </w:rPr>
              <w:t xml:space="preserve"> </w:t>
            </w:r>
            <w:r>
              <w:rPr>
                <w:b/>
                <w:bCs/>
                <w:sz w:val="20"/>
                <w:szCs w:val="20"/>
              </w:rPr>
              <w:t>Auto</w:t>
            </w:r>
          </w:p>
        </w:tc>
        <w:tc>
          <w:tcPr>
            <w:tcW w:w="12332" w:type="dxa"/>
            <w:tcBorders>
              <w:bottom w:val="single" w:sz="4" w:space="0" w:color="auto"/>
            </w:tcBorders>
            <w:shd w:val="clear" w:color="auto" w:fill="auto"/>
          </w:tcPr>
          <w:p w:rsidR="00043BEF" w:rsidRPr="00043BEF" w:rsidRDefault="00043BEF" w:rsidP="00043BEF">
            <w:pPr>
              <w:pStyle w:val="wordsection1"/>
              <w:numPr>
                <w:ilvl w:val="0"/>
                <w:numId w:val="23"/>
              </w:numPr>
              <w:ind w:left="187" w:hanging="187"/>
              <w:jc w:val="both"/>
              <w:rPr>
                <w:b/>
                <w:sz w:val="20"/>
                <w:szCs w:val="20"/>
              </w:rPr>
            </w:pPr>
            <w:r w:rsidRPr="00043BEF">
              <w:rPr>
                <w:b/>
                <w:sz w:val="20"/>
                <w:szCs w:val="20"/>
              </w:rPr>
              <w:t>Bonne nouvelle, à compter du 18 juin prochain, la remise tarifaire IARD s’élargie aux affaires nouvelles d’Assurance AUTO.</w:t>
            </w:r>
          </w:p>
          <w:p w:rsidR="00043BEF" w:rsidRDefault="00043BEF" w:rsidP="00043BEF">
            <w:pPr>
              <w:pStyle w:val="wordsection1"/>
              <w:numPr>
                <w:ilvl w:val="0"/>
                <w:numId w:val="23"/>
              </w:numPr>
              <w:ind w:left="187" w:hanging="187"/>
              <w:jc w:val="both"/>
              <w:rPr>
                <w:sz w:val="20"/>
                <w:szCs w:val="20"/>
              </w:rPr>
            </w:pPr>
            <w:r>
              <w:rPr>
                <w:sz w:val="20"/>
                <w:szCs w:val="20"/>
              </w:rPr>
              <w:t>Ainsi, une remise commerciale pourra être accordée en acquisition ou en rétention de contrats Assur ’Toit, Mon Auto &amp; Moi ou Assurance AUTO.</w:t>
            </w:r>
          </w:p>
          <w:p w:rsidR="00043BEF" w:rsidRDefault="00043BEF" w:rsidP="00043BEF">
            <w:pPr>
              <w:pStyle w:val="wordsection1"/>
              <w:numPr>
                <w:ilvl w:val="0"/>
                <w:numId w:val="23"/>
              </w:numPr>
              <w:spacing w:before="0" w:beforeAutospacing="0" w:after="0" w:afterAutospacing="0"/>
              <w:ind w:left="187" w:hanging="187"/>
              <w:jc w:val="both"/>
              <w:rPr>
                <w:sz w:val="20"/>
                <w:szCs w:val="20"/>
              </w:rPr>
            </w:pPr>
            <w:r>
              <w:rPr>
                <w:sz w:val="20"/>
                <w:szCs w:val="20"/>
              </w:rPr>
              <w:t xml:space="preserve">Cet outil, véritable levier de conquête, doit contribuer dans un contexte concurrentiel à l’atteinte de nos ambitions en assurances non vie. </w:t>
            </w:r>
          </w:p>
          <w:p w:rsidR="00043BEF" w:rsidRDefault="00043BEF" w:rsidP="00043BEF">
            <w:pPr>
              <w:pStyle w:val="wordsection1"/>
              <w:numPr>
                <w:ilvl w:val="0"/>
                <w:numId w:val="23"/>
              </w:numPr>
              <w:spacing w:before="0" w:beforeAutospacing="0" w:after="0" w:afterAutospacing="0"/>
              <w:ind w:left="187" w:hanging="187"/>
              <w:jc w:val="both"/>
              <w:rPr>
                <w:sz w:val="20"/>
                <w:szCs w:val="20"/>
              </w:rPr>
            </w:pPr>
            <w:r>
              <w:rPr>
                <w:sz w:val="20"/>
                <w:szCs w:val="20"/>
              </w:rPr>
              <w:t xml:space="preserve">Retrouvez toutes les informations sur cet avantage commercial dans l’HDJ du 15 février </w:t>
            </w:r>
            <w:proofErr w:type="gramStart"/>
            <w:r>
              <w:rPr>
                <w:sz w:val="20"/>
                <w:szCs w:val="20"/>
              </w:rPr>
              <w:t>ou</w:t>
            </w:r>
            <w:proofErr w:type="gramEnd"/>
            <w:r>
              <w:rPr>
                <w:sz w:val="20"/>
                <w:szCs w:val="20"/>
              </w:rPr>
              <w:t xml:space="preserve"> </w:t>
            </w:r>
            <w:hyperlink r:id="rId15" w:history="1">
              <w:r>
                <w:rPr>
                  <w:rStyle w:val="Lienhypertexte"/>
                  <w:sz w:val="20"/>
                  <w:szCs w:val="20"/>
                </w:rPr>
                <w:t>en cliquant ici</w:t>
              </w:r>
            </w:hyperlink>
          </w:p>
        </w:tc>
      </w:tr>
      <w:tr w:rsidR="004824B8" w:rsidRPr="00E81F6E" w:rsidTr="00681565">
        <w:trPr>
          <w:trHeight w:val="248"/>
        </w:trPr>
        <w:tc>
          <w:tcPr>
            <w:tcW w:w="15735" w:type="dxa"/>
            <w:gridSpan w:val="3"/>
            <w:tcBorders>
              <w:bottom w:val="single" w:sz="4" w:space="0" w:color="auto"/>
            </w:tcBorders>
            <w:shd w:val="pct20" w:color="auto" w:fill="auto"/>
          </w:tcPr>
          <w:p w:rsidR="004824B8" w:rsidRPr="00AF3BE3" w:rsidRDefault="004824B8" w:rsidP="00681565">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043BEF" w:rsidRPr="00E81F6E" w:rsidTr="005639F4">
        <w:trPr>
          <w:trHeight w:val="285"/>
        </w:trPr>
        <w:tc>
          <w:tcPr>
            <w:tcW w:w="1560" w:type="dxa"/>
            <w:tcBorders>
              <w:bottom w:val="single" w:sz="4" w:space="0" w:color="auto"/>
            </w:tcBorders>
          </w:tcPr>
          <w:p w:rsidR="00043BEF" w:rsidRDefault="00043BEF">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DMA</w:t>
            </w:r>
          </w:p>
        </w:tc>
        <w:tc>
          <w:tcPr>
            <w:tcW w:w="1843" w:type="dxa"/>
            <w:tcBorders>
              <w:bottom w:val="single" w:sz="4" w:space="0" w:color="auto"/>
            </w:tcBorders>
          </w:tcPr>
          <w:p w:rsidR="00043BEF" w:rsidRDefault="00043BEF">
            <w:pPr>
              <w:pStyle w:val="wordsection1"/>
              <w:rPr>
                <w:b/>
                <w:bCs/>
                <w:sz w:val="20"/>
                <w:szCs w:val="20"/>
                <w:highlight w:val="red"/>
              </w:rPr>
            </w:pPr>
            <w:r>
              <w:rPr>
                <w:b/>
                <w:bCs/>
                <w:sz w:val="20"/>
                <w:szCs w:val="20"/>
              </w:rPr>
              <w:t xml:space="preserve">Enrichissement de la gamme </w:t>
            </w:r>
            <w:proofErr w:type="spellStart"/>
            <w:r>
              <w:rPr>
                <w:b/>
                <w:bCs/>
                <w:sz w:val="20"/>
                <w:szCs w:val="20"/>
              </w:rPr>
              <w:t>Quadreto</w:t>
            </w:r>
            <w:proofErr w:type="spellEnd"/>
            <w:r>
              <w:rPr>
                <w:b/>
                <w:bCs/>
                <w:sz w:val="20"/>
                <w:szCs w:val="20"/>
              </w:rPr>
              <w:t xml:space="preserve"> avec les durées </w:t>
            </w:r>
            <w:r w:rsidRPr="00043BEF">
              <w:rPr>
                <w:b/>
                <w:bCs/>
                <w:sz w:val="20"/>
                <w:szCs w:val="20"/>
              </w:rPr>
              <w:t>8 ans et 10 ans !!</w:t>
            </w:r>
          </w:p>
        </w:tc>
        <w:tc>
          <w:tcPr>
            <w:tcW w:w="12332" w:type="dxa"/>
            <w:tcBorders>
              <w:bottom w:val="single" w:sz="4" w:space="0" w:color="auto"/>
            </w:tcBorders>
            <w:shd w:val="clear" w:color="auto" w:fill="auto"/>
          </w:tcPr>
          <w:p w:rsidR="00043BEF" w:rsidRDefault="00043BEF" w:rsidP="00D2349B">
            <w:pPr>
              <w:pStyle w:val="wordsection1"/>
              <w:numPr>
                <w:ilvl w:val="0"/>
                <w:numId w:val="23"/>
              </w:numPr>
              <w:spacing w:before="0" w:beforeAutospacing="0" w:after="0" w:afterAutospacing="0"/>
              <w:ind w:left="187" w:hanging="187"/>
              <w:jc w:val="both"/>
              <w:rPr>
                <w:sz w:val="20"/>
                <w:szCs w:val="20"/>
              </w:rPr>
            </w:pPr>
            <w:r>
              <w:rPr>
                <w:sz w:val="20"/>
                <w:szCs w:val="20"/>
              </w:rPr>
              <w:t>A compter du 1</w:t>
            </w:r>
            <w:r>
              <w:rPr>
                <w:sz w:val="20"/>
                <w:szCs w:val="20"/>
                <w:vertAlign w:val="superscript"/>
              </w:rPr>
              <w:t>er</w:t>
            </w:r>
            <w:r>
              <w:rPr>
                <w:sz w:val="20"/>
                <w:szCs w:val="20"/>
              </w:rPr>
              <w:t xml:space="preserve"> juin, la gamme </w:t>
            </w:r>
            <w:proofErr w:type="spellStart"/>
            <w:r>
              <w:rPr>
                <w:sz w:val="20"/>
                <w:szCs w:val="20"/>
              </w:rPr>
              <w:t>Quadreto</w:t>
            </w:r>
            <w:proofErr w:type="spellEnd"/>
            <w:r>
              <w:rPr>
                <w:sz w:val="20"/>
                <w:szCs w:val="20"/>
              </w:rPr>
              <w:t xml:space="preserve"> et </w:t>
            </w:r>
            <w:proofErr w:type="spellStart"/>
            <w:r>
              <w:rPr>
                <w:sz w:val="20"/>
                <w:szCs w:val="20"/>
              </w:rPr>
              <w:t>Quadreto</w:t>
            </w:r>
            <w:proofErr w:type="spellEnd"/>
            <w:r>
              <w:rPr>
                <w:sz w:val="20"/>
                <w:szCs w:val="20"/>
              </w:rPr>
              <w:t xml:space="preserve"> à revenus s’enrichie de 2 nouvelles durées. Dorénavant, le placement pourra également être proposé sur les durées de 8 ans et de 10 ans.</w:t>
            </w:r>
          </w:p>
          <w:p w:rsidR="00043BEF" w:rsidRDefault="00043BEF" w:rsidP="00D2349B">
            <w:pPr>
              <w:pStyle w:val="wordsection1"/>
              <w:numPr>
                <w:ilvl w:val="0"/>
                <w:numId w:val="23"/>
              </w:numPr>
              <w:spacing w:before="0" w:beforeAutospacing="0" w:after="0" w:afterAutospacing="0"/>
              <w:ind w:left="187" w:hanging="187"/>
              <w:jc w:val="both"/>
              <w:rPr>
                <w:sz w:val="20"/>
                <w:szCs w:val="20"/>
              </w:rPr>
            </w:pPr>
            <w:r>
              <w:rPr>
                <w:sz w:val="20"/>
                <w:szCs w:val="20"/>
              </w:rPr>
              <w:t xml:space="preserve">Retrouvez plus d’informations dans la note d’information DMA-INF/18.043 rappelant les caractéristiques de </w:t>
            </w:r>
            <w:proofErr w:type="spellStart"/>
            <w:r>
              <w:rPr>
                <w:sz w:val="20"/>
                <w:szCs w:val="20"/>
              </w:rPr>
              <w:t>Quadreto</w:t>
            </w:r>
            <w:proofErr w:type="spellEnd"/>
            <w:r>
              <w:rPr>
                <w:sz w:val="20"/>
                <w:szCs w:val="20"/>
              </w:rPr>
              <w:t xml:space="preserve"> et </w:t>
            </w:r>
            <w:proofErr w:type="spellStart"/>
            <w:r>
              <w:rPr>
                <w:sz w:val="20"/>
                <w:szCs w:val="20"/>
              </w:rPr>
              <w:t>Quadreto</w:t>
            </w:r>
            <w:proofErr w:type="spellEnd"/>
            <w:r>
              <w:rPr>
                <w:sz w:val="20"/>
                <w:szCs w:val="20"/>
              </w:rPr>
              <w:t xml:space="preserve"> à revenus qui sera en ligne cette semaine.</w:t>
            </w:r>
          </w:p>
        </w:tc>
      </w:tr>
      <w:tr w:rsidR="00D2349B" w:rsidRPr="00E81F6E" w:rsidTr="005639F4">
        <w:trPr>
          <w:trHeight w:val="285"/>
        </w:trPr>
        <w:tc>
          <w:tcPr>
            <w:tcW w:w="1560" w:type="dxa"/>
            <w:tcBorders>
              <w:bottom w:val="single" w:sz="4" w:space="0" w:color="auto"/>
            </w:tcBorders>
          </w:tcPr>
          <w:p w:rsidR="00D2349B" w:rsidRDefault="00D2349B">
            <w:r w:rsidRPr="0057062D">
              <w:rPr>
                <w:rFonts w:ascii="Times New Roman" w:hAnsi="Times New Roman" w:cs="Times New Roman"/>
                <w:b/>
                <w:bCs/>
                <w:color w:val="000000"/>
                <w:sz w:val="20"/>
                <w:szCs w:val="20"/>
              </w:rPr>
              <w:t>Com. DMA</w:t>
            </w:r>
          </w:p>
        </w:tc>
        <w:tc>
          <w:tcPr>
            <w:tcW w:w="1843" w:type="dxa"/>
            <w:tcBorders>
              <w:bottom w:val="single" w:sz="4" w:space="0" w:color="auto"/>
            </w:tcBorders>
          </w:tcPr>
          <w:p w:rsidR="00D2349B" w:rsidRDefault="00D2349B">
            <w:pPr>
              <w:rPr>
                <w:rFonts w:ascii="Times New Roman" w:hAnsi="Times New Roman" w:cs="Times New Roman"/>
                <w:b/>
                <w:bCs/>
                <w:color w:val="000000"/>
                <w:sz w:val="20"/>
                <w:szCs w:val="20"/>
              </w:rPr>
            </w:pPr>
            <w:r>
              <w:rPr>
                <w:rFonts w:ascii="Times New Roman" w:hAnsi="Times New Roman" w:cs="Times New Roman"/>
                <w:b/>
                <w:bCs/>
                <w:color w:val="000000"/>
                <w:sz w:val="20"/>
                <w:szCs w:val="20"/>
              </w:rPr>
              <w:t>Opération Prime Assurance Vie du 01/06 au</w:t>
            </w:r>
            <w:r w:rsidR="00E35DC6">
              <w:rPr>
                <w:rFonts w:ascii="Times New Roman" w:hAnsi="Times New Roman" w:cs="Times New Roman"/>
                <w:b/>
                <w:bCs/>
                <w:color w:val="000000"/>
                <w:sz w:val="20"/>
                <w:szCs w:val="20"/>
              </w:rPr>
              <w:t xml:space="preserve"> </w:t>
            </w:r>
            <w:r>
              <w:rPr>
                <w:rFonts w:ascii="Times New Roman" w:hAnsi="Times New Roman" w:cs="Times New Roman"/>
                <w:b/>
                <w:bCs/>
                <w:color w:val="000000"/>
                <w:sz w:val="20"/>
                <w:szCs w:val="20"/>
              </w:rPr>
              <w:t xml:space="preserve">13/07/2018 </w:t>
            </w:r>
          </w:p>
        </w:tc>
        <w:tc>
          <w:tcPr>
            <w:tcW w:w="12332" w:type="dxa"/>
            <w:tcBorders>
              <w:bottom w:val="single" w:sz="4" w:space="0" w:color="auto"/>
            </w:tcBorders>
            <w:shd w:val="clear" w:color="auto" w:fill="auto"/>
          </w:tcPr>
          <w:p w:rsidR="00D2349B" w:rsidRDefault="00D2349B" w:rsidP="00D2349B">
            <w:pPr>
              <w:numPr>
                <w:ilvl w:val="0"/>
                <w:numId w:val="26"/>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b/>
                <w:bCs/>
                <w:color w:val="000000"/>
                <w:sz w:val="20"/>
                <w:szCs w:val="20"/>
                <w:lang w:eastAsia="fr-FR"/>
              </w:rPr>
              <w:t>Bonne nouvelle, une nouvelle opération «</w:t>
            </w:r>
            <w:r w:rsidR="00E35DC6">
              <w:rPr>
                <w:rFonts w:ascii="Times New Roman" w:hAnsi="Times New Roman" w:cs="Times New Roman"/>
                <w:b/>
                <w:bCs/>
                <w:color w:val="000000"/>
                <w:sz w:val="20"/>
                <w:szCs w:val="20"/>
                <w:lang w:eastAsia="fr-FR"/>
              </w:rPr>
              <w:t xml:space="preserve"> </w:t>
            </w:r>
            <w:r>
              <w:rPr>
                <w:rFonts w:ascii="Times New Roman" w:hAnsi="Times New Roman" w:cs="Times New Roman"/>
                <w:b/>
                <w:bCs/>
                <w:color w:val="000000"/>
                <w:sz w:val="20"/>
                <w:szCs w:val="20"/>
                <w:lang w:eastAsia="fr-FR"/>
              </w:rPr>
              <w:t>Prime Assurance Vie » est mise en place du 1</w:t>
            </w:r>
            <w:r>
              <w:rPr>
                <w:rFonts w:ascii="Times New Roman" w:hAnsi="Times New Roman" w:cs="Times New Roman"/>
                <w:b/>
                <w:bCs/>
                <w:color w:val="000000"/>
                <w:sz w:val="20"/>
                <w:szCs w:val="20"/>
                <w:vertAlign w:val="superscript"/>
                <w:lang w:eastAsia="fr-FR"/>
              </w:rPr>
              <w:t>er</w:t>
            </w:r>
            <w:r>
              <w:rPr>
                <w:rFonts w:ascii="Times New Roman" w:hAnsi="Times New Roman" w:cs="Times New Roman"/>
                <w:b/>
                <w:bCs/>
                <w:color w:val="000000"/>
                <w:sz w:val="20"/>
                <w:szCs w:val="20"/>
                <w:lang w:eastAsia="fr-FR"/>
              </w:rPr>
              <w:t xml:space="preserve"> juin au 13 juillet 2018.</w:t>
            </w:r>
            <w:r>
              <w:rPr>
                <w:rFonts w:ascii="Times New Roman" w:hAnsi="Times New Roman" w:cs="Times New Roman"/>
                <w:color w:val="000000"/>
                <w:sz w:val="20"/>
                <w:szCs w:val="20"/>
                <w:lang w:eastAsia="fr-FR"/>
              </w:rPr>
              <w:t xml:space="preserve"> Ainsi, sur la période, le client bénéficiera d’une prime pour tout versement « libre » ou « souscription » minimum de 15</w:t>
            </w:r>
            <w:r>
              <w:rPr>
                <w:rFonts w:ascii="Times New Roman" w:hAnsi="Times New Roman" w:cs="Times New Roman"/>
                <w:color w:val="1F497D"/>
                <w:sz w:val="20"/>
                <w:szCs w:val="20"/>
                <w:lang w:eastAsia="fr-FR"/>
              </w:rPr>
              <w:t> </w:t>
            </w:r>
            <w:r>
              <w:rPr>
                <w:rFonts w:ascii="Times New Roman" w:hAnsi="Times New Roman" w:cs="Times New Roman"/>
                <w:color w:val="000000"/>
                <w:sz w:val="20"/>
                <w:szCs w:val="20"/>
                <w:lang w:eastAsia="fr-FR"/>
              </w:rPr>
              <w:t>000</w:t>
            </w:r>
            <w:r>
              <w:rPr>
                <w:rFonts w:ascii="Times New Roman" w:hAnsi="Times New Roman" w:cs="Times New Roman"/>
                <w:color w:val="1F497D"/>
                <w:sz w:val="20"/>
                <w:szCs w:val="20"/>
                <w:lang w:eastAsia="fr-FR"/>
              </w:rPr>
              <w:t xml:space="preserve"> </w:t>
            </w:r>
            <w:r>
              <w:rPr>
                <w:rFonts w:ascii="Times New Roman" w:hAnsi="Times New Roman" w:cs="Times New Roman"/>
                <w:color w:val="000000"/>
                <w:sz w:val="20"/>
                <w:szCs w:val="20"/>
                <w:lang w:eastAsia="fr-FR"/>
              </w:rPr>
              <w:t xml:space="preserve">€ avec au moins 30% d’UC. </w:t>
            </w:r>
          </w:p>
          <w:p w:rsidR="00D2349B" w:rsidRDefault="00D2349B" w:rsidP="00D2349B">
            <w:pPr>
              <w:numPr>
                <w:ilvl w:val="0"/>
                <w:numId w:val="26"/>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Si le versement est supérieur ou égal à :</w:t>
            </w:r>
          </w:p>
          <w:p w:rsidR="00D2349B" w:rsidRDefault="00D2349B" w:rsidP="00D2349B">
            <w:pPr>
              <w:pStyle w:val="wordsection1"/>
              <w:numPr>
                <w:ilvl w:val="0"/>
                <w:numId w:val="27"/>
              </w:numPr>
              <w:spacing w:before="0" w:beforeAutospacing="0" w:after="0" w:afterAutospacing="0"/>
              <w:jc w:val="both"/>
              <w:rPr>
                <w:color w:val="000000"/>
                <w:sz w:val="20"/>
                <w:szCs w:val="20"/>
              </w:rPr>
            </w:pPr>
            <w:r>
              <w:rPr>
                <w:color w:val="000000"/>
                <w:sz w:val="20"/>
                <w:szCs w:val="20"/>
              </w:rPr>
              <w:t xml:space="preserve">15 000 € et inférieur à 50 000 € </w:t>
            </w:r>
            <w:proofErr w:type="gramStart"/>
            <w:r>
              <w:rPr>
                <w:color w:val="000000"/>
                <w:sz w:val="20"/>
                <w:szCs w:val="20"/>
              </w:rPr>
              <w:t>la</w:t>
            </w:r>
            <w:proofErr w:type="gramEnd"/>
            <w:r>
              <w:rPr>
                <w:color w:val="000000"/>
                <w:sz w:val="20"/>
                <w:szCs w:val="20"/>
              </w:rPr>
              <w:t xml:space="preserve"> prime client est de 30 €</w:t>
            </w:r>
          </w:p>
          <w:p w:rsidR="00D2349B" w:rsidRDefault="00D2349B" w:rsidP="00D2349B">
            <w:pPr>
              <w:pStyle w:val="wordsection1"/>
              <w:numPr>
                <w:ilvl w:val="0"/>
                <w:numId w:val="27"/>
              </w:numPr>
              <w:spacing w:before="0" w:beforeAutospacing="0" w:after="0" w:afterAutospacing="0"/>
              <w:jc w:val="both"/>
              <w:rPr>
                <w:color w:val="000000"/>
                <w:sz w:val="20"/>
                <w:szCs w:val="20"/>
              </w:rPr>
            </w:pPr>
            <w:r>
              <w:rPr>
                <w:color w:val="000000"/>
                <w:sz w:val="20"/>
                <w:szCs w:val="20"/>
              </w:rPr>
              <w:t>50 000 €</w:t>
            </w:r>
            <w:r w:rsidR="00E35DC6">
              <w:rPr>
                <w:color w:val="000000"/>
                <w:sz w:val="20"/>
                <w:szCs w:val="20"/>
              </w:rPr>
              <w:t xml:space="preserve"> </w:t>
            </w:r>
            <w:r>
              <w:rPr>
                <w:color w:val="000000"/>
                <w:sz w:val="20"/>
                <w:szCs w:val="20"/>
              </w:rPr>
              <w:t xml:space="preserve">et inférieur à 100 000 € </w:t>
            </w:r>
            <w:proofErr w:type="gramStart"/>
            <w:r>
              <w:rPr>
                <w:color w:val="000000"/>
                <w:sz w:val="20"/>
                <w:szCs w:val="20"/>
              </w:rPr>
              <w:t>la</w:t>
            </w:r>
            <w:proofErr w:type="gramEnd"/>
            <w:r>
              <w:rPr>
                <w:color w:val="000000"/>
                <w:sz w:val="20"/>
                <w:szCs w:val="20"/>
              </w:rPr>
              <w:t xml:space="preserve"> prime client est de 100 € </w:t>
            </w:r>
          </w:p>
          <w:p w:rsidR="00D2349B" w:rsidRDefault="00D2349B" w:rsidP="00D2349B">
            <w:pPr>
              <w:pStyle w:val="wordsection1"/>
              <w:numPr>
                <w:ilvl w:val="0"/>
                <w:numId w:val="27"/>
              </w:numPr>
              <w:spacing w:before="0" w:beforeAutospacing="0" w:after="0" w:afterAutospacing="0"/>
              <w:jc w:val="both"/>
              <w:rPr>
                <w:color w:val="000000"/>
                <w:sz w:val="20"/>
                <w:szCs w:val="20"/>
              </w:rPr>
            </w:pPr>
            <w:r>
              <w:rPr>
                <w:color w:val="000000"/>
                <w:sz w:val="20"/>
                <w:szCs w:val="20"/>
              </w:rPr>
              <w:t xml:space="preserve">100 000 € </w:t>
            </w:r>
            <w:proofErr w:type="gramStart"/>
            <w:r>
              <w:rPr>
                <w:color w:val="000000"/>
                <w:sz w:val="20"/>
                <w:szCs w:val="20"/>
              </w:rPr>
              <w:t>la</w:t>
            </w:r>
            <w:proofErr w:type="gramEnd"/>
            <w:r>
              <w:rPr>
                <w:color w:val="000000"/>
                <w:sz w:val="20"/>
                <w:szCs w:val="20"/>
              </w:rPr>
              <w:t xml:space="preserve"> prime client est de 200 €</w:t>
            </w:r>
          </w:p>
          <w:p w:rsidR="00D2349B" w:rsidRPr="00D2349B" w:rsidRDefault="00D2349B" w:rsidP="00D2349B">
            <w:pPr>
              <w:numPr>
                <w:ilvl w:val="0"/>
                <w:numId w:val="26"/>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Retrouvez le détail de cette opération dans la note d’information en cliquant </w:t>
            </w:r>
            <w:hyperlink r:id="rId16"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w:t>
            </w:r>
          </w:p>
        </w:tc>
      </w:tr>
      <w:tr w:rsidR="00D2349B" w:rsidRPr="00E81F6E" w:rsidTr="005639F4">
        <w:trPr>
          <w:trHeight w:val="285"/>
        </w:trPr>
        <w:tc>
          <w:tcPr>
            <w:tcW w:w="1560" w:type="dxa"/>
            <w:tcBorders>
              <w:bottom w:val="single" w:sz="4" w:space="0" w:color="auto"/>
            </w:tcBorders>
          </w:tcPr>
          <w:p w:rsidR="00D2349B" w:rsidRDefault="00D2349B">
            <w:r w:rsidRPr="0057062D">
              <w:rPr>
                <w:rFonts w:ascii="Times New Roman" w:hAnsi="Times New Roman" w:cs="Times New Roman"/>
                <w:b/>
                <w:bCs/>
                <w:color w:val="000000"/>
                <w:sz w:val="20"/>
                <w:szCs w:val="20"/>
              </w:rPr>
              <w:t>Com. DMA</w:t>
            </w:r>
          </w:p>
        </w:tc>
        <w:tc>
          <w:tcPr>
            <w:tcW w:w="1843" w:type="dxa"/>
            <w:tcBorders>
              <w:bottom w:val="single" w:sz="4" w:space="0" w:color="auto"/>
            </w:tcBorders>
          </w:tcPr>
          <w:p w:rsidR="00D2349B" w:rsidRDefault="00D2349B">
            <w:pPr>
              <w:rPr>
                <w:rFonts w:ascii="Times New Roman" w:hAnsi="Times New Roman" w:cs="Times New Roman"/>
                <w:b/>
                <w:bCs/>
                <w:color w:val="000000"/>
                <w:sz w:val="20"/>
                <w:szCs w:val="20"/>
              </w:rPr>
            </w:pPr>
            <w:r>
              <w:rPr>
                <w:rFonts w:ascii="Times New Roman" w:hAnsi="Times New Roman" w:cs="Times New Roman"/>
                <w:b/>
                <w:bCs/>
                <w:color w:val="000000"/>
                <w:sz w:val="20"/>
                <w:szCs w:val="20"/>
              </w:rPr>
              <w:t>Lancement de LEA le 29/05/2018</w:t>
            </w:r>
          </w:p>
        </w:tc>
        <w:tc>
          <w:tcPr>
            <w:tcW w:w="12332" w:type="dxa"/>
            <w:tcBorders>
              <w:bottom w:val="single" w:sz="4" w:space="0" w:color="auto"/>
            </w:tcBorders>
            <w:shd w:val="clear" w:color="auto" w:fill="auto"/>
          </w:tcPr>
          <w:p w:rsidR="00D2349B" w:rsidRDefault="00D2349B" w:rsidP="00D2349B">
            <w:pPr>
              <w:pStyle w:val="Paragraphedeliste"/>
              <w:numPr>
                <w:ilvl w:val="0"/>
                <w:numId w:val="26"/>
              </w:numPr>
              <w:ind w:left="187" w:hanging="187"/>
              <w:contextualSpacing w:val="0"/>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Rappel : A compter du 29 mai, l’outil LEA (L’Épargne Active) sera déployé en CELCA et sera accessible par le code transaction 0174.</w:t>
            </w:r>
          </w:p>
          <w:p w:rsidR="00D2349B" w:rsidRDefault="00D2349B" w:rsidP="00D2349B">
            <w:pPr>
              <w:numPr>
                <w:ilvl w:val="0"/>
                <w:numId w:val="26"/>
              </w:numPr>
              <w:ind w:left="187" w:hanging="187"/>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Dispositif de formation en place : </w:t>
            </w:r>
          </w:p>
          <w:p w:rsidR="00D2349B" w:rsidRDefault="00B860EC" w:rsidP="00D2349B">
            <w:pPr>
              <w:numPr>
                <w:ilvl w:val="0"/>
                <w:numId w:val="28"/>
              </w:numPr>
              <w:ind w:left="884"/>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E Learning LEA (</w:t>
            </w:r>
            <w:r w:rsidR="00D2349B">
              <w:rPr>
                <w:rFonts w:ascii="Times New Roman" w:hAnsi="Times New Roman" w:cs="Times New Roman"/>
                <w:color w:val="000000"/>
                <w:sz w:val="20"/>
                <w:szCs w:val="20"/>
                <w:lang w:eastAsia="fr-FR"/>
              </w:rPr>
              <w:t>à suivre avant la formation en présentiel)</w:t>
            </w:r>
          </w:p>
          <w:p w:rsidR="00D2349B" w:rsidRDefault="00D2349B" w:rsidP="00D2349B">
            <w:pPr>
              <w:numPr>
                <w:ilvl w:val="0"/>
                <w:numId w:val="28"/>
              </w:numPr>
              <w:ind w:left="884"/>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Parcours d’entrainement LEA</w:t>
            </w:r>
          </w:p>
          <w:p w:rsidR="00D2349B" w:rsidRDefault="00D2349B" w:rsidP="00D2349B">
            <w:pPr>
              <w:numPr>
                <w:ilvl w:val="0"/>
                <w:numId w:val="28"/>
              </w:numPr>
              <w:ind w:left="884"/>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lastRenderedPageBreak/>
              <w:t>Formations présentielles</w:t>
            </w:r>
          </w:p>
          <w:p w:rsidR="00D2349B" w:rsidRDefault="00D2349B" w:rsidP="00D2349B">
            <w:pPr>
              <w:numPr>
                <w:ilvl w:val="0"/>
                <w:numId w:val="26"/>
              </w:numPr>
              <w:ind w:left="187" w:hanging="187"/>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Au 29 mai, les collaborateurs n’ayant pas encore suivi la formation présentielle, sont invités à continuer à utiliser le parcours transitoire via le code transaction 0199 et à utiliser l’outil LEA uniquement après avoir suivi cette formation.</w:t>
            </w:r>
          </w:p>
          <w:p w:rsidR="00D2349B" w:rsidRDefault="00D2349B" w:rsidP="00D2349B">
            <w:pPr>
              <w:numPr>
                <w:ilvl w:val="0"/>
                <w:numId w:val="26"/>
              </w:numPr>
              <w:ind w:left="187" w:hanging="187"/>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Dès formation de l’ensemble des collaborateurs, le parcours transitoire (0199) sera fermé au profit de l’utilisation de LEA (0174).</w:t>
            </w:r>
          </w:p>
          <w:p w:rsidR="00D2349B" w:rsidRDefault="00D2349B" w:rsidP="00D2349B">
            <w:pPr>
              <w:numPr>
                <w:ilvl w:val="0"/>
                <w:numId w:val="26"/>
              </w:numPr>
              <w:ind w:left="187" w:hanging="187"/>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Dispositif d’accompagnement à partir du lancement de LEA : </w:t>
            </w:r>
          </w:p>
          <w:p w:rsidR="00D2349B" w:rsidRDefault="00D2349B" w:rsidP="00D2349B">
            <w:pPr>
              <w:numPr>
                <w:ilvl w:val="0"/>
                <w:numId w:val="28"/>
              </w:numPr>
              <w:ind w:left="884"/>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Accompagnement CELCASSISTANCE : 03 26 86 85 85</w:t>
            </w:r>
          </w:p>
          <w:p w:rsidR="00D2349B" w:rsidRDefault="00D2349B" w:rsidP="00D2349B">
            <w:pPr>
              <w:numPr>
                <w:ilvl w:val="0"/>
                <w:numId w:val="28"/>
              </w:numPr>
              <w:ind w:left="884"/>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Accompagnement à la demande par la Direction de l’Animation Commerciale et Département Accompagnement au Changement. Un mail a été transmis aux DUC pour faire remonter les besoins d’accompagnement</w:t>
            </w:r>
          </w:p>
          <w:p w:rsidR="00D2349B" w:rsidRPr="00D2349B" w:rsidRDefault="00D2349B" w:rsidP="00D2349B">
            <w:pPr>
              <w:pStyle w:val="Paragraphedeliste"/>
              <w:numPr>
                <w:ilvl w:val="0"/>
                <w:numId w:val="26"/>
              </w:numPr>
              <w:ind w:left="187" w:hanging="187"/>
              <w:contextualSpacing w:val="0"/>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Vous pouvez retrouver les éléments sur la Rubrique des commerciaux en cliquant </w:t>
            </w:r>
            <w:hyperlink r:id="rId17"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w:t>
            </w:r>
          </w:p>
        </w:tc>
      </w:tr>
      <w:tr w:rsidR="00B860EC" w:rsidRPr="00E81F6E" w:rsidTr="00B860EC">
        <w:trPr>
          <w:trHeight w:val="285"/>
        </w:trPr>
        <w:tc>
          <w:tcPr>
            <w:tcW w:w="15735" w:type="dxa"/>
            <w:gridSpan w:val="3"/>
            <w:tcBorders>
              <w:bottom w:val="single" w:sz="4" w:space="0" w:color="auto"/>
            </w:tcBorders>
            <w:shd w:val="clear" w:color="auto" w:fill="BFBFBF" w:themeFill="background1" w:themeFillShade="BF"/>
          </w:tcPr>
          <w:p w:rsidR="00B860EC" w:rsidRPr="00B860EC" w:rsidRDefault="00B860EC" w:rsidP="00B860EC">
            <w:pPr>
              <w:pStyle w:val="wordsection1"/>
              <w:spacing w:before="0" w:beforeAutospacing="0" w:after="0" w:afterAutospacing="0"/>
              <w:jc w:val="center"/>
              <w:rPr>
                <w:b/>
                <w:sz w:val="20"/>
                <w:szCs w:val="20"/>
              </w:rPr>
            </w:pPr>
            <w:r w:rsidRPr="00B860EC">
              <w:rPr>
                <w:b/>
                <w:sz w:val="20"/>
                <w:szCs w:val="20"/>
              </w:rPr>
              <w:lastRenderedPageBreak/>
              <w:t>Professionnels</w:t>
            </w:r>
          </w:p>
        </w:tc>
      </w:tr>
      <w:tr w:rsidR="00E35DC6" w:rsidRPr="00E81F6E" w:rsidTr="008A64F7">
        <w:trPr>
          <w:trHeight w:val="285"/>
        </w:trPr>
        <w:tc>
          <w:tcPr>
            <w:tcW w:w="1560" w:type="dxa"/>
            <w:tcBorders>
              <w:bottom w:val="single" w:sz="4" w:space="0" w:color="auto"/>
            </w:tcBorders>
          </w:tcPr>
          <w:p w:rsidR="00E35DC6" w:rsidRPr="00B860EC" w:rsidRDefault="00E35DC6" w:rsidP="00A66944">
            <w:pPr>
              <w:rPr>
                <w:rFonts w:ascii="Times New Roman" w:hAnsi="Times New Roman" w:cs="Times New Roman"/>
                <w:b/>
                <w:bCs/>
                <w:sz w:val="20"/>
                <w:szCs w:val="20"/>
              </w:rPr>
            </w:pPr>
            <w:r>
              <w:rPr>
                <w:rFonts w:ascii="Times New Roman" w:hAnsi="Times New Roman" w:cs="Times New Roman"/>
                <w:b/>
                <w:bCs/>
                <w:color w:val="000000"/>
                <w:sz w:val="20"/>
                <w:szCs w:val="20"/>
              </w:rPr>
              <w:t>Com. DMP</w:t>
            </w:r>
          </w:p>
        </w:tc>
        <w:tc>
          <w:tcPr>
            <w:tcW w:w="1843" w:type="dxa"/>
            <w:tcBorders>
              <w:bottom w:val="single" w:sz="4" w:space="0" w:color="auto"/>
            </w:tcBorders>
          </w:tcPr>
          <w:p w:rsidR="00E35DC6" w:rsidRDefault="00E35DC6">
            <w:pPr>
              <w:rPr>
                <w:rFonts w:ascii="Calibri" w:hAnsi="Calibri" w:cs="Calibri"/>
              </w:rPr>
            </w:pPr>
            <w:r>
              <w:rPr>
                <w:rFonts w:ascii="Times New Roman" w:hAnsi="Times New Roman" w:cs="Times New Roman"/>
                <w:b/>
                <w:bCs/>
                <w:sz w:val="20"/>
                <w:szCs w:val="20"/>
              </w:rPr>
              <w:t>Tarification</w:t>
            </w:r>
          </w:p>
        </w:tc>
        <w:tc>
          <w:tcPr>
            <w:tcW w:w="12332" w:type="dxa"/>
            <w:tcBorders>
              <w:bottom w:val="single" w:sz="4" w:space="0" w:color="auto"/>
            </w:tcBorders>
            <w:shd w:val="clear" w:color="auto" w:fill="auto"/>
          </w:tcPr>
          <w:p w:rsidR="00E35DC6" w:rsidRPr="003F3054" w:rsidRDefault="00E35DC6" w:rsidP="003F3054">
            <w:pPr>
              <w:numPr>
                <w:ilvl w:val="0"/>
                <w:numId w:val="29"/>
              </w:numPr>
              <w:ind w:left="176" w:hanging="176"/>
              <w:contextualSpacing/>
              <w:jc w:val="both"/>
              <w:rPr>
                <w:rFonts w:ascii="Times New Roman" w:hAnsi="Times New Roman" w:cs="Times New Roman"/>
                <w:sz w:val="20"/>
                <w:szCs w:val="20"/>
              </w:rPr>
            </w:pPr>
            <w:r w:rsidRPr="003F3054">
              <w:rPr>
                <w:rFonts w:ascii="Times New Roman" w:hAnsi="Times New Roman" w:cs="Times New Roman"/>
                <w:color w:val="000000"/>
                <w:sz w:val="20"/>
                <w:szCs w:val="20"/>
                <w:lang w:eastAsia="fr-FR"/>
              </w:rPr>
              <w:t>Depuis le 1</w:t>
            </w:r>
            <w:r w:rsidRPr="003F3054">
              <w:rPr>
                <w:rFonts w:ascii="Times New Roman" w:hAnsi="Times New Roman" w:cs="Times New Roman"/>
                <w:color w:val="000000"/>
                <w:sz w:val="20"/>
                <w:szCs w:val="20"/>
                <w:vertAlign w:val="superscript"/>
                <w:lang w:eastAsia="fr-FR"/>
              </w:rPr>
              <w:t>er</w:t>
            </w:r>
            <w:r w:rsidRPr="003F3054">
              <w:rPr>
                <w:rFonts w:ascii="Times New Roman" w:hAnsi="Times New Roman" w:cs="Times New Roman"/>
                <w:color w:val="000000"/>
                <w:sz w:val="20"/>
                <w:szCs w:val="20"/>
                <w:lang w:eastAsia="fr-FR"/>
              </w:rPr>
              <w:t xml:space="preserve"> avril 2018, la tarification des forfaits de services professionnels est mensuelle.</w:t>
            </w:r>
          </w:p>
          <w:p w:rsidR="00E35DC6" w:rsidRPr="003F3054" w:rsidRDefault="00E35DC6" w:rsidP="003F3054">
            <w:pPr>
              <w:numPr>
                <w:ilvl w:val="0"/>
                <w:numId w:val="29"/>
              </w:numPr>
              <w:ind w:left="176" w:hanging="176"/>
              <w:contextualSpacing/>
              <w:jc w:val="both"/>
              <w:rPr>
                <w:rFonts w:ascii="Times New Roman" w:hAnsi="Times New Roman" w:cs="Times New Roman"/>
                <w:sz w:val="20"/>
                <w:szCs w:val="20"/>
              </w:rPr>
            </w:pPr>
            <w:r w:rsidRPr="003F3054">
              <w:rPr>
                <w:rFonts w:ascii="Times New Roman" w:hAnsi="Times New Roman" w:cs="Times New Roman"/>
                <w:color w:val="000000"/>
                <w:sz w:val="20"/>
                <w:szCs w:val="20"/>
                <w:lang w:eastAsia="fr-FR"/>
              </w:rPr>
              <w:t>Suite à un dysfonctionnement technique, cette tarification n’a pu être prélevée au début des mois d’avril et de mai sur les forfaits LABELIS, LIBRE CONVERGENCE et AGRILIS. Une régularisation sera effectuée d’ici fin mai et le montant mensuel des forfaits sera prélevé en début de chaque mois à compter du 1</w:t>
            </w:r>
            <w:r w:rsidRPr="003F3054">
              <w:rPr>
                <w:rFonts w:ascii="Times New Roman" w:hAnsi="Times New Roman" w:cs="Times New Roman"/>
                <w:color w:val="000000"/>
                <w:sz w:val="20"/>
                <w:szCs w:val="20"/>
                <w:vertAlign w:val="superscript"/>
                <w:lang w:eastAsia="fr-FR"/>
              </w:rPr>
              <w:t>er</w:t>
            </w:r>
            <w:r w:rsidRPr="003F3054">
              <w:rPr>
                <w:rFonts w:ascii="Times New Roman" w:hAnsi="Times New Roman" w:cs="Times New Roman"/>
                <w:color w:val="000000"/>
                <w:sz w:val="20"/>
                <w:szCs w:val="20"/>
                <w:lang w:eastAsia="fr-FR"/>
              </w:rPr>
              <w:t xml:space="preserve"> juin. Un courrier d’excuses est en cours d’envoi auprès des clients concernés.</w:t>
            </w:r>
          </w:p>
        </w:tc>
      </w:tr>
      <w:tr w:rsidR="00E35DC6" w:rsidRPr="00E81F6E" w:rsidTr="008A64F7">
        <w:trPr>
          <w:trHeight w:val="285"/>
        </w:trPr>
        <w:tc>
          <w:tcPr>
            <w:tcW w:w="1560" w:type="dxa"/>
            <w:tcBorders>
              <w:bottom w:val="single" w:sz="4" w:space="0" w:color="auto"/>
            </w:tcBorders>
          </w:tcPr>
          <w:p w:rsidR="00E35DC6" w:rsidRDefault="00E35DC6">
            <w:r w:rsidRPr="00BA39B0">
              <w:rPr>
                <w:rFonts w:ascii="Times New Roman" w:hAnsi="Times New Roman" w:cs="Times New Roman"/>
                <w:b/>
                <w:bCs/>
                <w:color w:val="000000"/>
                <w:sz w:val="20"/>
                <w:szCs w:val="20"/>
              </w:rPr>
              <w:t>Com. DMP</w:t>
            </w:r>
          </w:p>
        </w:tc>
        <w:tc>
          <w:tcPr>
            <w:tcW w:w="1843" w:type="dxa"/>
            <w:tcBorders>
              <w:bottom w:val="single" w:sz="4" w:space="0" w:color="auto"/>
            </w:tcBorders>
          </w:tcPr>
          <w:p w:rsidR="00E35DC6" w:rsidRDefault="00E35DC6">
            <w:pPr>
              <w:rPr>
                <w:rFonts w:ascii="Calibri" w:hAnsi="Calibri" w:cs="Calibri"/>
              </w:rPr>
            </w:pPr>
            <w:r>
              <w:rPr>
                <w:rFonts w:ascii="Times New Roman" w:hAnsi="Times New Roman" w:cs="Times New Roman"/>
                <w:b/>
                <w:bCs/>
                <w:sz w:val="20"/>
                <w:szCs w:val="20"/>
              </w:rPr>
              <w:t xml:space="preserve">CE NET – Remise de tarification </w:t>
            </w:r>
          </w:p>
        </w:tc>
        <w:tc>
          <w:tcPr>
            <w:tcW w:w="12332" w:type="dxa"/>
            <w:tcBorders>
              <w:bottom w:val="single" w:sz="4" w:space="0" w:color="auto"/>
            </w:tcBorders>
            <w:shd w:val="clear" w:color="auto" w:fill="auto"/>
          </w:tcPr>
          <w:p w:rsidR="00E35DC6" w:rsidRPr="003F3054" w:rsidRDefault="00E35DC6" w:rsidP="003F3054">
            <w:pPr>
              <w:numPr>
                <w:ilvl w:val="0"/>
                <w:numId w:val="29"/>
              </w:numPr>
              <w:ind w:left="176" w:hanging="176"/>
              <w:contextualSpacing/>
              <w:jc w:val="both"/>
              <w:rPr>
                <w:rFonts w:ascii="Times New Roman" w:hAnsi="Times New Roman" w:cs="Times New Roman"/>
                <w:sz w:val="20"/>
                <w:szCs w:val="20"/>
              </w:rPr>
            </w:pPr>
            <w:r w:rsidRPr="003F3054">
              <w:rPr>
                <w:rFonts w:ascii="Times New Roman" w:hAnsi="Times New Roman" w:cs="Times New Roman"/>
                <w:color w:val="000000"/>
                <w:sz w:val="20"/>
                <w:szCs w:val="20"/>
                <w:lang w:eastAsia="fr-FR"/>
              </w:rPr>
              <w:t>Suite à la migration de l’EDI du 8 avril et à la forte affluence des questions clients, un geste commercial a été décidé.</w:t>
            </w:r>
          </w:p>
          <w:p w:rsidR="00E35DC6" w:rsidRPr="003F3054" w:rsidRDefault="00E35DC6" w:rsidP="003F3054">
            <w:pPr>
              <w:numPr>
                <w:ilvl w:val="0"/>
                <w:numId w:val="29"/>
              </w:numPr>
              <w:ind w:left="176" w:hanging="176"/>
              <w:contextualSpacing/>
              <w:jc w:val="both"/>
              <w:rPr>
                <w:rFonts w:ascii="Times New Roman" w:hAnsi="Times New Roman" w:cs="Times New Roman"/>
                <w:sz w:val="20"/>
                <w:szCs w:val="20"/>
              </w:rPr>
            </w:pPr>
            <w:r w:rsidRPr="003F3054">
              <w:rPr>
                <w:rFonts w:ascii="Times New Roman" w:hAnsi="Times New Roman" w:cs="Times New Roman"/>
                <w:color w:val="000000"/>
                <w:sz w:val="20"/>
                <w:szCs w:val="20"/>
                <w:lang w:eastAsia="fr-FR"/>
              </w:rPr>
              <w:t>La tarification du mois d’avril prise les 7/8 avril va être remisée directement par IT-CE. Le libellé de la remise sera : « REMISE ABONN. CE NET AVRIL ».</w:t>
            </w:r>
          </w:p>
        </w:tc>
      </w:tr>
      <w:tr w:rsidR="00E35DC6" w:rsidRPr="00E81F6E" w:rsidTr="008A64F7">
        <w:trPr>
          <w:trHeight w:val="285"/>
        </w:trPr>
        <w:tc>
          <w:tcPr>
            <w:tcW w:w="1560" w:type="dxa"/>
            <w:tcBorders>
              <w:bottom w:val="single" w:sz="4" w:space="0" w:color="auto"/>
            </w:tcBorders>
          </w:tcPr>
          <w:p w:rsidR="00E35DC6" w:rsidRDefault="00E35DC6">
            <w:r w:rsidRPr="00BA39B0">
              <w:rPr>
                <w:rFonts w:ascii="Times New Roman" w:hAnsi="Times New Roman" w:cs="Times New Roman"/>
                <w:b/>
                <w:bCs/>
                <w:color w:val="000000"/>
                <w:sz w:val="20"/>
                <w:szCs w:val="20"/>
              </w:rPr>
              <w:t>Com. DMP</w:t>
            </w:r>
          </w:p>
        </w:tc>
        <w:tc>
          <w:tcPr>
            <w:tcW w:w="1843" w:type="dxa"/>
            <w:tcBorders>
              <w:bottom w:val="single" w:sz="4" w:space="0" w:color="auto"/>
            </w:tcBorders>
          </w:tcPr>
          <w:p w:rsidR="00E35DC6" w:rsidRDefault="00E35DC6">
            <w:pPr>
              <w:rPr>
                <w:rFonts w:ascii="Calibri" w:hAnsi="Calibri" w:cs="Calibri"/>
              </w:rPr>
            </w:pPr>
            <w:r>
              <w:rPr>
                <w:rFonts w:ascii="Times New Roman" w:hAnsi="Times New Roman" w:cs="Times New Roman"/>
                <w:b/>
                <w:bCs/>
                <w:sz w:val="20"/>
                <w:szCs w:val="20"/>
              </w:rPr>
              <w:t>Suivi du Fonds de Commerce</w:t>
            </w:r>
          </w:p>
        </w:tc>
        <w:tc>
          <w:tcPr>
            <w:tcW w:w="12332" w:type="dxa"/>
            <w:tcBorders>
              <w:bottom w:val="single" w:sz="4" w:space="0" w:color="auto"/>
            </w:tcBorders>
            <w:shd w:val="clear" w:color="auto" w:fill="auto"/>
          </w:tcPr>
          <w:p w:rsidR="00E35DC6" w:rsidRPr="003F3054" w:rsidRDefault="00E35DC6" w:rsidP="003F3054">
            <w:pPr>
              <w:numPr>
                <w:ilvl w:val="0"/>
                <w:numId w:val="29"/>
              </w:numPr>
              <w:ind w:left="176" w:hanging="176"/>
              <w:contextualSpacing/>
              <w:jc w:val="both"/>
              <w:rPr>
                <w:rFonts w:ascii="Times New Roman" w:hAnsi="Times New Roman" w:cs="Times New Roman"/>
                <w:sz w:val="20"/>
                <w:szCs w:val="20"/>
              </w:rPr>
            </w:pPr>
            <w:r w:rsidRPr="003F3054">
              <w:rPr>
                <w:rFonts w:ascii="Times New Roman" w:hAnsi="Times New Roman" w:cs="Times New Roman"/>
                <w:color w:val="000000"/>
                <w:sz w:val="20"/>
                <w:szCs w:val="20"/>
                <w:lang w:eastAsia="fr-FR"/>
              </w:rPr>
              <w:t xml:space="preserve">Le suivi du Fonds de Commerce Pro à fin avril est disponible dans </w:t>
            </w:r>
            <w:hyperlink r:id="rId18" w:history="1">
              <w:r w:rsidRPr="003F3054">
                <w:rPr>
                  <w:rStyle w:val="Lienhypertexte"/>
                  <w:rFonts w:ascii="Times New Roman" w:hAnsi="Times New Roman" w:cs="Times New Roman"/>
                  <w:sz w:val="20"/>
                  <w:szCs w:val="20"/>
                  <w:lang w:eastAsia="fr-FR"/>
                </w:rPr>
                <w:t>l’Espace Pros de la Rubrique des Commerciaux / Fonds de Commerce / Résultats Fonds de Commerce Pros / 20180430 Résultats Fonds de Commerce Pro.</w:t>
              </w:r>
            </w:hyperlink>
          </w:p>
        </w:tc>
      </w:tr>
      <w:tr w:rsidR="003F3054" w:rsidRPr="00E81F6E" w:rsidTr="008A64F7">
        <w:trPr>
          <w:trHeight w:val="285"/>
        </w:trPr>
        <w:tc>
          <w:tcPr>
            <w:tcW w:w="1560" w:type="dxa"/>
            <w:tcBorders>
              <w:bottom w:val="single" w:sz="4" w:space="0" w:color="auto"/>
            </w:tcBorders>
          </w:tcPr>
          <w:p w:rsidR="003F3054" w:rsidRPr="00BA39B0" w:rsidRDefault="003F3054">
            <w:pPr>
              <w:rPr>
                <w:rFonts w:ascii="Times New Roman" w:hAnsi="Times New Roman" w:cs="Times New Roman"/>
                <w:b/>
                <w:bCs/>
                <w:color w:val="000000"/>
                <w:sz w:val="20"/>
                <w:szCs w:val="20"/>
              </w:rPr>
            </w:pPr>
            <w:r w:rsidRPr="00BA39B0">
              <w:rPr>
                <w:rFonts w:ascii="Times New Roman" w:hAnsi="Times New Roman" w:cs="Times New Roman"/>
                <w:b/>
                <w:bCs/>
                <w:color w:val="000000"/>
                <w:sz w:val="20"/>
                <w:szCs w:val="20"/>
              </w:rPr>
              <w:t>Com. DMP</w:t>
            </w:r>
          </w:p>
        </w:tc>
        <w:tc>
          <w:tcPr>
            <w:tcW w:w="1843" w:type="dxa"/>
            <w:tcBorders>
              <w:bottom w:val="single" w:sz="4" w:space="0" w:color="auto"/>
            </w:tcBorders>
          </w:tcPr>
          <w:p w:rsidR="003F3054" w:rsidRDefault="003F3054">
            <w:pPr>
              <w:rPr>
                <w:rFonts w:ascii="Calibri" w:hAnsi="Calibri" w:cs="Calibri"/>
                <w:sz w:val="20"/>
                <w:szCs w:val="20"/>
              </w:rPr>
            </w:pPr>
            <w:r>
              <w:rPr>
                <w:rFonts w:ascii="Times New Roman" w:hAnsi="Times New Roman" w:cs="Times New Roman"/>
                <w:b/>
                <w:bCs/>
                <w:sz w:val="20"/>
                <w:szCs w:val="20"/>
              </w:rPr>
              <w:t>Optimisation des commissions de compte</w:t>
            </w:r>
          </w:p>
        </w:tc>
        <w:tc>
          <w:tcPr>
            <w:tcW w:w="12332" w:type="dxa"/>
            <w:tcBorders>
              <w:bottom w:val="single" w:sz="4" w:space="0" w:color="auto"/>
            </w:tcBorders>
            <w:shd w:val="clear" w:color="auto" w:fill="auto"/>
          </w:tcPr>
          <w:p w:rsidR="003F3054" w:rsidRPr="003F3054" w:rsidRDefault="003F3054" w:rsidP="003F3054">
            <w:pPr>
              <w:numPr>
                <w:ilvl w:val="0"/>
                <w:numId w:val="32"/>
              </w:numPr>
              <w:ind w:left="176" w:hanging="176"/>
              <w:contextualSpacing/>
              <w:jc w:val="both"/>
              <w:rPr>
                <w:rFonts w:ascii="Times New Roman" w:hAnsi="Times New Roman" w:cs="Times New Roman"/>
                <w:sz w:val="20"/>
                <w:szCs w:val="20"/>
                <w:lang w:eastAsia="fr-FR"/>
              </w:rPr>
            </w:pPr>
            <w:r w:rsidRPr="003F3054">
              <w:rPr>
                <w:rFonts w:ascii="Times New Roman" w:hAnsi="Times New Roman" w:cs="Times New Roman"/>
                <w:sz w:val="20"/>
                <w:szCs w:val="20"/>
                <w:lang w:eastAsia="fr-FR"/>
              </w:rPr>
              <w:t>Une première vague d’optimisation des commissions de compte avait permis de générer une augmentation de 75% sur les commissions de mouvement et de 30% sur les frais de tenue de compte. Une seconde vague est lancée et pilotée par les Animateurs de la Direction du Marché des Professionnels. Les Animateurs se rapprocheront des DUC afin de balayer ensemble les comptes actuellement exonérés.</w:t>
            </w:r>
          </w:p>
        </w:tc>
      </w:tr>
      <w:tr w:rsidR="008A64F7" w:rsidRPr="00E81F6E" w:rsidTr="008A64F7">
        <w:trPr>
          <w:trHeight w:val="285"/>
        </w:trPr>
        <w:tc>
          <w:tcPr>
            <w:tcW w:w="15735" w:type="dxa"/>
            <w:gridSpan w:val="3"/>
            <w:tcBorders>
              <w:bottom w:val="single" w:sz="4" w:space="0" w:color="auto"/>
            </w:tcBorders>
            <w:shd w:val="clear" w:color="auto" w:fill="BFBFBF" w:themeFill="background1" w:themeFillShade="BF"/>
          </w:tcPr>
          <w:p w:rsidR="008A64F7" w:rsidRPr="008A64F7" w:rsidRDefault="008A64F7" w:rsidP="008A64F7">
            <w:pPr>
              <w:pStyle w:val="wordsection1"/>
              <w:spacing w:before="0" w:beforeAutospacing="0" w:after="0" w:afterAutospacing="0"/>
              <w:jc w:val="center"/>
              <w:rPr>
                <w:b/>
                <w:sz w:val="20"/>
                <w:szCs w:val="20"/>
              </w:rPr>
            </w:pPr>
            <w:r w:rsidRPr="008A64F7">
              <w:rPr>
                <w:b/>
                <w:sz w:val="20"/>
                <w:szCs w:val="20"/>
              </w:rPr>
              <w:t>Multicanal</w:t>
            </w:r>
          </w:p>
        </w:tc>
      </w:tr>
      <w:tr w:rsidR="008A64F7" w:rsidRPr="00E81F6E" w:rsidTr="005639F4">
        <w:trPr>
          <w:trHeight w:val="285"/>
        </w:trPr>
        <w:tc>
          <w:tcPr>
            <w:tcW w:w="1560" w:type="dxa"/>
            <w:tcBorders>
              <w:bottom w:val="single" w:sz="4" w:space="0" w:color="auto"/>
            </w:tcBorders>
          </w:tcPr>
          <w:p w:rsidR="008A64F7" w:rsidRDefault="008A64F7">
            <w:r w:rsidRPr="00865588">
              <w:rPr>
                <w:rFonts w:ascii="Times New Roman" w:hAnsi="Times New Roman" w:cs="Times New Roman"/>
                <w:b/>
                <w:bCs/>
                <w:color w:val="000000"/>
                <w:sz w:val="20"/>
                <w:szCs w:val="20"/>
              </w:rPr>
              <w:t>Com. DMA</w:t>
            </w:r>
          </w:p>
        </w:tc>
        <w:tc>
          <w:tcPr>
            <w:tcW w:w="1843" w:type="dxa"/>
            <w:tcBorders>
              <w:bottom w:val="single" w:sz="4" w:space="0" w:color="auto"/>
            </w:tcBorders>
          </w:tcPr>
          <w:p w:rsidR="008A64F7" w:rsidRPr="008A64F7" w:rsidRDefault="008A64F7" w:rsidP="00020979">
            <w:pPr>
              <w:rPr>
                <w:rFonts w:ascii="Times New Roman" w:hAnsi="Times New Roman" w:cs="Times New Roman"/>
                <w:b/>
                <w:bCs/>
                <w:sz w:val="20"/>
                <w:szCs w:val="20"/>
              </w:rPr>
            </w:pPr>
            <w:r w:rsidRPr="008A64F7">
              <w:rPr>
                <w:rFonts w:ascii="Times New Roman" w:hAnsi="Times New Roman" w:cs="Times New Roman"/>
                <w:b/>
                <w:bCs/>
                <w:sz w:val="20"/>
                <w:szCs w:val="20"/>
              </w:rPr>
              <w:t xml:space="preserve">OVMC – </w:t>
            </w:r>
            <w:proofErr w:type="spellStart"/>
            <w:r w:rsidRPr="008A64F7">
              <w:rPr>
                <w:rFonts w:ascii="Times New Roman" w:hAnsi="Times New Roman" w:cs="Times New Roman"/>
                <w:b/>
                <w:bCs/>
                <w:sz w:val="20"/>
                <w:szCs w:val="20"/>
              </w:rPr>
              <w:t>Myway</w:t>
            </w:r>
            <w:proofErr w:type="spellEnd"/>
          </w:p>
        </w:tc>
        <w:tc>
          <w:tcPr>
            <w:tcW w:w="12332" w:type="dxa"/>
            <w:tcBorders>
              <w:bottom w:val="single" w:sz="4" w:space="0" w:color="auto"/>
            </w:tcBorders>
            <w:shd w:val="clear" w:color="auto" w:fill="auto"/>
          </w:tcPr>
          <w:p w:rsidR="008A64F7" w:rsidRPr="00BE7A8E" w:rsidRDefault="008A64F7" w:rsidP="00BE7A8E">
            <w:pPr>
              <w:pStyle w:val="wordsection1"/>
              <w:numPr>
                <w:ilvl w:val="0"/>
                <w:numId w:val="23"/>
              </w:numPr>
              <w:spacing w:before="0" w:beforeAutospacing="0" w:after="0" w:afterAutospacing="0"/>
              <w:ind w:left="187" w:hanging="187"/>
              <w:jc w:val="both"/>
              <w:rPr>
                <w:sz w:val="20"/>
                <w:szCs w:val="20"/>
              </w:rPr>
            </w:pPr>
            <w:r w:rsidRPr="00BE7A8E">
              <w:rPr>
                <w:sz w:val="20"/>
                <w:szCs w:val="20"/>
              </w:rPr>
              <w:t xml:space="preserve">Le déploiement </w:t>
            </w:r>
            <w:proofErr w:type="spellStart"/>
            <w:r w:rsidRPr="00BE7A8E">
              <w:rPr>
                <w:sz w:val="20"/>
                <w:szCs w:val="20"/>
              </w:rPr>
              <w:t>Myway</w:t>
            </w:r>
            <w:proofErr w:type="spellEnd"/>
            <w:r w:rsidRPr="00BE7A8E">
              <w:rPr>
                <w:sz w:val="20"/>
                <w:szCs w:val="20"/>
              </w:rPr>
              <w:t xml:space="preserve"> se poursuit pour la vente à distance. </w:t>
            </w:r>
          </w:p>
          <w:p w:rsidR="008A64F7" w:rsidRPr="00BE7A8E" w:rsidRDefault="008A64F7" w:rsidP="00BE7A8E">
            <w:pPr>
              <w:pStyle w:val="wordsection1"/>
              <w:numPr>
                <w:ilvl w:val="0"/>
                <w:numId w:val="23"/>
              </w:numPr>
              <w:spacing w:before="0" w:beforeAutospacing="0" w:after="0" w:afterAutospacing="0"/>
              <w:ind w:left="187" w:hanging="187"/>
              <w:jc w:val="both"/>
              <w:rPr>
                <w:sz w:val="20"/>
                <w:szCs w:val="20"/>
              </w:rPr>
            </w:pPr>
            <w:r w:rsidRPr="00BE7A8E">
              <w:rPr>
                <w:sz w:val="20"/>
                <w:szCs w:val="20"/>
              </w:rPr>
              <w:t xml:space="preserve">A partir du 28 mai, les crédits consommations et l’IARD (MRH, Auto, GAV, GS) en vente à distance seront intégrés au périmètre de </w:t>
            </w:r>
            <w:proofErr w:type="spellStart"/>
            <w:r w:rsidRPr="00BE7A8E">
              <w:rPr>
                <w:sz w:val="20"/>
                <w:szCs w:val="20"/>
              </w:rPr>
              <w:t>Myway</w:t>
            </w:r>
            <w:proofErr w:type="spellEnd"/>
            <w:r w:rsidRPr="00BE7A8E">
              <w:rPr>
                <w:sz w:val="20"/>
                <w:szCs w:val="20"/>
              </w:rPr>
              <w:t>.</w:t>
            </w:r>
          </w:p>
          <w:p w:rsidR="008A64F7" w:rsidRPr="00BE7A8E" w:rsidRDefault="008A64F7" w:rsidP="00BE7A8E">
            <w:pPr>
              <w:pStyle w:val="wordsection1"/>
              <w:numPr>
                <w:ilvl w:val="0"/>
                <w:numId w:val="23"/>
              </w:numPr>
              <w:spacing w:before="0" w:beforeAutospacing="0" w:after="0" w:afterAutospacing="0"/>
              <w:ind w:left="187" w:hanging="187"/>
              <w:jc w:val="both"/>
              <w:rPr>
                <w:sz w:val="20"/>
                <w:szCs w:val="20"/>
              </w:rPr>
            </w:pPr>
            <w:r w:rsidRPr="00BE7A8E">
              <w:rPr>
                <w:sz w:val="20"/>
                <w:szCs w:val="20"/>
              </w:rPr>
              <w:t>Pour les crédits consommation et l’IARD : pas de changement pour les saisies, les ventes sont initiées via l’interface dédiée (</w:t>
            </w:r>
            <w:proofErr w:type="spellStart"/>
            <w:r w:rsidRPr="00BE7A8E">
              <w:rPr>
                <w:sz w:val="20"/>
                <w:szCs w:val="20"/>
              </w:rPr>
              <w:t>Izivente</w:t>
            </w:r>
            <w:proofErr w:type="spellEnd"/>
            <w:r w:rsidRPr="00BE7A8E">
              <w:rPr>
                <w:sz w:val="20"/>
                <w:szCs w:val="20"/>
              </w:rPr>
              <w:t xml:space="preserve"> ou Impulse).</w:t>
            </w:r>
          </w:p>
        </w:tc>
      </w:tr>
      <w:tr w:rsidR="008A64F7" w:rsidRPr="00E81F6E" w:rsidTr="005639F4">
        <w:trPr>
          <w:trHeight w:val="285"/>
        </w:trPr>
        <w:tc>
          <w:tcPr>
            <w:tcW w:w="1560" w:type="dxa"/>
            <w:tcBorders>
              <w:bottom w:val="single" w:sz="4" w:space="0" w:color="auto"/>
            </w:tcBorders>
          </w:tcPr>
          <w:p w:rsidR="008A64F7" w:rsidRDefault="008A64F7">
            <w:r w:rsidRPr="00865588">
              <w:rPr>
                <w:rFonts w:ascii="Times New Roman" w:hAnsi="Times New Roman" w:cs="Times New Roman"/>
                <w:b/>
                <w:bCs/>
                <w:color w:val="000000"/>
                <w:sz w:val="20"/>
                <w:szCs w:val="20"/>
              </w:rPr>
              <w:t>Com. DMA</w:t>
            </w:r>
          </w:p>
        </w:tc>
        <w:tc>
          <w:tcPr>
            <w:tcW w:w="1843" w:type="dxa"/>
            <w:tcBorders>
              <w:bottom w:val="single" w:sz="4" w:space="0" w:color="auto"/>
            </w:tcBorders>
          </w:tcPr>
          <w:p w:rsidR="008A64F7" w:rsidRPr="008A64F7" w:rsidRDefault="008A64F7" w:rsidP="00020979">
            <w:pPr>
              <w:rPr>
                <w:rFonts w:ascii="Times New Roman" w:hAnsi="Times New Roman" w:cs="Times New Roman"/>
                <w:b/>
                <w:sz w:val="20"/>
                <w:szCs w:val="20"/>
              </w:rPr>
            </w:pPr>
            <w:r w:rsidRPr="008A64F7">
              <w:rPr>
                <w:rFonts w:ascii="Times New Roman" w:hAnsi="Times New Roman" w:cs="Times New Roman"/>
                <w:b/>
                <w:sz w:val="20"/>
                <w:szCs w:val="20"/>
              </w:rPr>
              <w:t>SECURPASS</w:t>
            </w:r>
          </w:p>
        </w:tc>
        <w:tc>
          <w:tcPr>
            <w:tcW w:w="12332" w:type="dxa"/>
            <w:tcBorders>
              <w:bottom w:val="single" w:sz="4" w:space="0" w:color="auto"/>
            </w:tcBorders>
            <w:shd w:val="clear" w:color="auto" w:fill="auto"/>
          </w:tcPr>
          <w:p w:rsidR="008A64F7" w:rsidRPr="00BE7A8E" w:rsidRDefault="008A64F7" w:rsidP="00BE7A8E">
            <w:pPr>
              <w:pStyle w:val="wordsection1"/>
              <w:numPr>
                <w:ilvl w:val="0"/>
                <w:numId w:val="23"/>
              </w:numPr>
              <w:spacing w:before="0" w:beforeAutospacing="0" w:after="0" w:afterAutospacing="0"/>
              <w:ind w:left="187" w:hanging="187"/>
              <w:jc w:val="both"/>
              <w:rPr>
                <w:sz w:val="20"/>
                <w:szCs w:val="20"/>
              </w:rPr>
            </w:pPr>
            <w:r w:rsidRPr="00BE7A8E">
              <w:rPr>
                <w:sz w:val="20"/>
                <w:szCs w:val="20"/>
              </w:rPr>
              <w:t>Au 25.05.2018 plus de 470 personnes se sont enrôlées à SECURPASS via l’application MOBILE en CELCA.</w:t>
            </w:r>
          </w:p>
          <w:p w:rsidR="008A64F7" w:rsidRPr="00BE7A8E" w:rsidRDefault="008A64F7" w:rsidP="00BE7A8E">
            <w:pPr>
              <w:pStyle w:val="wordsection1"/>
              <w:numPr>
                <w:ilvl w:val="0"/>
                <w:numId w:val="23"/>
              </w:numPr>
              <w:spacing w:before="0" w:beforeAutospacing="0" w:after="0" w:afterAutospacing="0"/>
              <w:ind w:left="187" w:hanging="187"/>
              <w:jc w:val="both"/>
              <w:rPr>
                <w:color w:val="FF0000"/>
                <w:sz w:val="20"/>
                <w:szCs w:val="20"/>
              </w:rPr>
            </w:pPr>
            <w:r w:rsidRPr="00BE7A8E">
              <w:rPr>
                <w:b/>
                <w:sz w:val="20"/>
                <w:szCs w:val="20"/>
              </w:rPr>
              <w:t xml:space="preserve">Afin de pouvoir mettre en avant ce nouveau service innovant et gratuit auprès de nos clients, nous invitons tous les collaborateurs de l’entreprise à s’enrôler dès à présent, </w:t>
            </w:r>
            <w:r w:rsidRPr="00BE7A8E">
              <w:rPr>
                <w:sz w:val="20"/>
                <w:szCs w:val="20"/>
              </w:rPr>
              <w:t xml:space="preserve">et ce avant la campagne nationale de communication mise en place par BPCE dans les prochaines semaines. </w:t>
            </w:r>
          </w:p>
          <w:p w:rsidR="008A64F7" w:rsidRPr="00BE7A8E" w:rsidRDefault="008A64F7" w:rsidP="00BE7A8E">
            <w:pPr>
              <w:pStyle w:val="wordsection1"/>
              <w:numPr>
                <w:ilvl w:val="0"/>
                <w:numId w:val="23"/>
              </w:numPr>
              <w:spacing w:before="0" w:beforeAutospacing="0" w:after="0" w:afterAutospacing="0"/>
              <w:ind w:left="187" w:hanging="187"/>
              <w:jc w:val="both"/>
              <w:rPr>
                <w:sz w:val="20"/>
                <w:szCs w:val="20"/>
              </w:rPr>
            </w:pPr>
            <w:r w:rsidRPr="00BE7A8E">
              <w:rPr>
                <w:sz w:val="20"/>
                <w:szCs w:val="20"/>
              </w:rPr>
              <w:t xml:space="preserve">Découvrez une courte vidéo présentant le parcours d’enrôlement sur Mobile : </w:t>
            </w:r>
            <w:hyperlink r:id="rId19" w:history="1">
              <w:r w:rsidRPr="00BE7A8E">
                <w:rPr>
                  <w:rStyle w:val="Lienhypertexte"/>
                  <w:sz w:val="20"/>
                  <w:szCs w:val="20"/>
                </w:rPr>
                <w:t>Cliquer ici</w:t>
              </w:r>
            </w:hyperlink>
            <w:r w:rsidRPr="00BE7A8E">
              <w:rPr>
                <w:sz w:val="20"/>
                <w:szCs w:val="20"/>
              </w:rPr>
              <w:t xml:space="preserve"> </w:t>
            </w:r>
          </w:p>
          <w:p w:rsidR="008A64F7" w:rsidRPr="00BE7A8E" w:rsidRDefault="008A64F7" w:rsidP="00BE7A8E">
            <w:pPr>
              <w:pStyle w:val="wordsection1"/>
              <w:numPr>
                <w:ilvl w:val="0"/>
                <w:numId w:val="23"/>
              </w:numPr>
              <w:spacing w:before="0" w:beforeAutospacing="0" w:after="0" w:afterAutospacing="0"/>
              <w:ind w:left="187" w:hanging="187"/>
              <w:jc w:val="both"/>
              <w:rPr>
                <w:sz w:val="20"/>
                <w:szCs w:val="20"/>
              </w:rPr>
            </w:pPr>
            <w:r w:rsidRPr="00BE7A8E">
              <w:rPr>
                <w:b/>
                <w:sz w:val="20"/>
                <w:szCs w:val="20"/>
              </w:rPr>
              <w:t>Rappel :</w:t>
            </w:r>
            <w:r w:rsidRPr="00BE7A8E">
              <w:rPr>
                <w:sz w:val="20"/>
                <w:szCs w:val="20"/>
              </w:rPr>
              <w:t xml:space="preserve"> Secur’Pass succède à SOL SMS ou CAP. La validation des opérations « sécurisées » sera désormais plus simple :</w:t>
            </w:r>
          </w:p>
          <w:p w:rsidR="008A64F7" w:rsidRPr="00BE7A8E" w:rsidRDefault="008A64F7" w:rsidP="00BE7A8E">
            <w:pPr>
              <w:pStyle w:val="Paragraphedeliste"/>
              <w:numPr>
                <w:ilvl w:val="0"/>
                <w:numId w:val="24"/>
              </w:numPr>
              <w:contextualSpacing w:val="0"/>
              <w:jc w:val="both"/>
              <w:rPr>
                <w:rFonts w:ascii="Times New Roman" w:hAnsi="Times New Roman" w:cs="Times New Roman"/>
                <w:sz w:val="20"/>
                <w:szCs w:val="20"/>
              </w:rPr>
            </w:pPr>
            <w:r w:rsidRPr="00BE7A8E">
              <w:rPr>
                <w:rFonts w:ascii="Times New Roman" w:hAnsi="Times New Roman" w:cs="Times New Roman"/>
                <w:sz w:val="20"/>
                <w:szCs w:val="20"/>
              </w:rPr>
              <w:t xml:space="preserve">Secur’Pass c’est un code sur 4 positions choisi par le Client </w:t>
            </w:r>
          </w:p>
          <w:p w:rsidR="008A64F7" w:rsidRPr="00BE7A8E" w:rsidRDefault="008A64F7" w:rsidP="00BE7A8E">
            <w:pPr>
              <w:pStyle w:val="Paragraphedeliste"/>
              <w:numPr>
                <w:ilvl w:val="0"/>
                <w:numId w:val="24"/>
              </w:numPr>
              <w:contextualSpacing w:val="0"/>
              <w:jc w:val="both"/>
              <w:rPr>
                <w:rFonts w:ascii="Times New Roman" w:hAnsi="Times New Roman" w:cs="Times New Roman"/>
                <w:sz w:val="20"/>
                <w:szCs w:val="20"/>
              </w:rPr>
            </w:pPr>
            <w:r w:rsidRPr="00BE7A8E">
              <w:rPr>
                <w:rFonts w:ascii="Times New Roman" w:hAnsi="Times New Roman" w:cs="Times New Roman"/>
                <w:sz w:val="20"/>
                <w:szCs w:val="20"/>
              </w:rPr>
              <w:t>Secur’Pass permet d’effectuer un virement vers un nouveau compte bénéficiaire en France sans délai d’attente (toutefois le délai de 72h00 est maintenu pour les RIB Hors France)</w:t>
            </w:r>
          </w:p>
          <w:p w:rsidR="008A64F7" w:rsidRPr="00BE7A8E" w:rsidRDefault="008A64F7" w:rsidP="00BE7A8E">
            <w:pPr>
              <w:pStyle w:val="Paragraphedeliste"/>
              <w:numPr>
                <w:ilvl w:val="0"/>
                <w:numId w:val="24"/>
              </w:numPr>
              <w:contextualSpacing w:val="0"/>
              <w:jc w:val="both"/>
              <w:rPr>
                <w:rFonts w:ascii="Times New Roman" w:hAnsi="Times New Roman" w:cs="Times New Roman"/>
                <w:sz w:val="20"/>
                <w:szCs w:val="20"/>
              </w:rPr>
            </w:pPr>
            <w:r w:rsidRPr="00BE7A8E">
              <w:rPr>
                <w:rFonts w:ascii="Times New Roman" w:hAnsi="Times New Roman" w:cs="Times New Roman"/>
                <w:sz w:val="20"/>
                <w:szCs w:val="20"/>
              </w:rPr>
              <w:t>Secur’Pass fonctionne même sans couverture réseau mobile … une simple connexion Wifi suffit</w:t>
            </w:r>
          </w:p>
          <w:p w:rsidR="008A64F7" w:rsidRPr="00BE7A8E" w:rsidRDefault="008A64F7" w:rsidP="00BE7A8E">
            <w:pPr>
              <w:pStyle w:val="wordsection1"/>
              <w:numPr>
                <w:ilvl w:val="0"/>
                <w:numId w:val="23"/>
              </w:numPr>
              <w:spacing w:before="0" w:beforeAutospacing="0" w:after="0" w:afterAutospacing="0"/>
              <w:ind w:left="187" w:hanging="187"/>
              <w:jc w:val="both"/>
              <w:rPr>
                <w:sz w:val="20"/>
                <w:szCs w:val="20"/>
              </w:rPr>
            </w:pPr>
            <w:r w:rsidRPr="00BE7A8E">
              <w:rPr>
                <w:sz w:val="20"/>
                <w:szCs w:val="20"/>
              </w:rPr>
              <w:t xml:space="preserve">Retrouvez toutes les informations dans la note </w:t>
            </w:r>
            <w:hyperlink r:id="rId20" w:history="1">
              <w:r w:rsidRPr="00BE7A8E">
                <w:rPr>
                  <w:rStyle w:val="Lienhypertexte"/>
                  <w:sz w:val="20"/>
                  <w:szCs w:val="20"/>
                </w:rPr>
                <w:t>DMA-INF 18.011</w:t>
              </w:r>
            </w:hyperlink>
            <w:r w:rsidRPr="00BE7A8E">
              <w:rPr>
                <w:sz w:val="20"/>
                <w:szCs w:val="20"/>
              </w:rPr>
              <w:t xml:space="preserve"> disponible sur le portail.</w:t>
            </w:r>
          </w:p>
        </w:tc>
      </w:tr>
      <w:tr w:rsidR="008A64F7" w:rsidRPr="00E81F6E" w:rsidTr="00AA44F9">
        <w:trPr>
          <w:trHeight w:val="285"/>
        </w:trPr>
        <w:tc>
          <w:tcPr>
            <w:tcW w:w="1560" w:type="dxa"/>
            <w:tcBorders>
              <w:bottom w:val="single" w:sz="4" w:space="0" w:color="auto"/>
            </w:tcBorders>
          </w:tcPr>
          <w:p w:rsidR="008A64F7" w:rsidRDefault="008A64F7">
            <w:r w:rsidRPr="00321CF4">
              <w:rPr>
                <w:rFonts w:ascii="Times New Roman" w:hAnsi="Times New Roman" w:cs="Times New Roman"/>
                <w:b/>
                <w:bCs/>
                <w:color w:val="000000"/>
                <w:sz w:val="20"/>
                <w:szCs w:val="20"/>
              </w:rPr>
              <w:t>Com. DMA</w:t>
            </w:r>
          </w:p>
        </w:tc>
        <w:tc>
          <w:tcPr>
            <w:tcW w:w="1843" w:type="dxa"/>
            <w:tcBorders>
              <w:bottom w:val="single" w:sz="4" w:space="0" w:color="auto"/>
            </w:tcBorders>
          </w:tcPr>
          <w:p w:rsidR="008A64F7" w:rsidRPr="008A64F7" w:rsidRDefault="008A64F7" w:rsidP="00020979">
            <w:pPr>
              <w:rPr>
                <w:rFonts w:ascii="Times New Roman" w:hAnsi="Times New Roman" w:cs="Times New Roman"/>
                <w:b/>
                <w:sz w:val="20"/>
                <w:szCs w:val="20"/>
              </w:rPr>
            </w:pPr>
            <w:r w:rsidRPr="008A64F7">
              <w:rPr>
                <w:rFonts w:ascii="Times New Roman" w:hAnsi="Times New Roman" w:cs="Times New Roman"/>
                <w:b/>
                <w:sz w:val="20"/>
                <w:szCs w:val="20"/>
              </w:rPr>
              <w:t>RGPD et Collecte des coordonnées et OPT IN</w:t>
            </w:r>
          </w:p>
          <w:p w:rsidR="008A64F7" w:rsidRPr="008A64F7" w:rsidRDefault="008A64F7" w:rsidP="00020979">
            <w:pPr>
              <w:rPr>
                <w:rFonts w:ascii="Times New Roman" w:hAnsi="Times New Roman" w:cs="Times New Roman"/>
                <w:b/>
                <w:sz w:val="20"/>
                <w:szCs w:val="20"/>
              </w:rPr>
            </w:pPr>
          </w:p>
        </w:tc>
        <w:tc>
          <w:tcPr>
            <w:tcW w:w="12332" w:type="dxa"/>
            <w:tcBorders>
              <w:bottom w:val="single" w:sz="4" w:space="0" w:color="auto"/>
            </w:tcBorders>
            <w:shd w:val="clear" w:color="auto" w:fill="auto"/>
          </w:tcPr>
          <w:p w:rsidR="008A64F7" w:rsidRPr="00BE7A8E" w:rsidRDefault="008A64F7" w:rsidP="00BE7A8E">
            <w:pPr>
              <w:pStyle w:val="wordsection1"/>
              <w:numPr>
                <w:ilvl w:val="0"/>
                <w:numId w:val="23"/>
              </w:numPr>
              <w:spacing w:before="0" w:beforeAutospacing="0" w:after="0" w:afterAutospacing="0"/>
              <w:ind w:left="187" w:hanging="187"/>
              <w:jc w:val="both"/>
              <w:rPr>
                <w:sz w:val="20"/>
                <w:szCs w:val="20"/>
              </w:rPr>
            </w:pPr>
            <w:r w:rsidRPr="00BE7A8E">
              <w:rPr>
                <w:sz w:val="20"/>
                <w:szCs w:val="20"/>
              </w:rPr>
              <w:t xml:space="preserve">Dans le contexte de mise en place au niveau européen du nouveau </w:t>
            </w:r>
            <w:hyperlink r:id="rId21" w:history="1">
              <w:r w:rsidRPr="00BE7A8E">
                <w:rPr>
                  <w:rStyle w:val="Lienhypertexte"/>
                  <w:sz w:val="20"/>
                  <w:szCs w:val="20"/>
                </w:rPr>
                <w:t>Régalement Général de Protection des Données (RGPD</w:t>
              </w:r>
            </w:hyperlink>
            <w:r w:rsidRPr="00BE7A8E">
              <w:rPr>
                <w:sz w:val="20"/>
                <w:szCs w:val="20"/>
              </w:rPr>
              <w:t>) entré en application depuis le 25 mai,</w:t>
            </w:r>
            <w:r w:rsidR="00E35DC6" w:rsidRPr="00BE7A8E">
              <w:rPr>
                <w:sz w:val="20"/>
                <w:szCs w:val="20"/>
              </w:rPr>
              <w:t xml:space="preserve"> </w:t>
            </w:r>
            <w:r w:rsidRPr="00BE7A8E">
              <w:rPr>
                <w:sz w:val="20"/>
                <w:szCs w:val="20"/>
              </w:rPr>
              <w:t>la collecte des coordonnées et des OPT IN associés (si le client nous y autorise), est un enjeu majeur pour la CELCA.</w:t>
            </w:r>
          </w:p>
          <w:p w:rsidR="008A64F7" w:rsidRPr="00BE7A8E" w:rsidRDefault="008A64F7" w:rsidP="00BE7A8E">
            <w:pPr>
              <w:pStyle w:val="wordsection1"/>
              <w:numPr>
                <w:ilvl w:val="0"/>
                <w:numId w:val="23"/>
              </w:numPr>
              <w:spacing w:before="0" w:beforeAutospacing="0" w:after="0" w:afterAutospacing="0"/>
              <w:ind w:left="187" w:hanging="187"/>
              <w:jc w:val="both"/>
              <w:rPr>
                <w:sz w:val="20"/>
                <w:szCs w:val="20"/>
              </w:rPr>
            </w:pPr>
            <w:r w:rsidRPr="00BE7A8E">
              <w:rPr>
                <w:sz w:val="20"/>
                <w:szCs w:val="20"/>
              </w:rPr>
              <w:t>Afin d’accompagner tous les collaborateurs concernés, la DMA va communiquer pour information, à chaque conseiller en charge d’un portefeuille ou d’une liste, une image précise du portefeuille ou liste concernant les items</w:t>
            </w:r>
            <w:r w:rsidR="00E35DC6" w:rsidRPr="00BE7A8E">
              <w:rPr>
                <w:sz w:val="20"/>
                <w:szCs w:val="20"/>
              </w:rPr>
              <w:t xml:space="preserve"> </w:t>
            </w:r>
            <w:r w:rsidRPr="00BE7A8E">
              <w:rPr>
                <w:sz w:val="20"/>
                <w:szCs w:val="20"/>
              </w:rPr>
              <w:t>« coordonnées » et</w:t>
            </w:r>
            <w:r w:rsidR="00E35DC6" w:rsidRPr="00BE7A8E">
              <w:rPr>
                <w:sz w:val="20"/>
                <w:szCs w:val="20"/>
              </w:rPr>
              <w:t xml:space="preserve"> </w:t>
            </w:r>
            <w:r w:rsidRPr="00BE7A8E">
              <w:rPr>
                <w:sz w:val="20"/>
                <w:szCs w:val="20"/>
              </w:rPr>
              <w:t>« OPT IN »</w:t>
            </w:r>
          </w:p>
          <w:p w:rsidR="008A64F7" w:rsidRPr="00BE7A8E" w:rsidRDefault="008A64F7" w:rsidP="00BE7A8E">
            <w:pPr>
              <w:jc w:val="both"/>
              <w:rPr>
                <w:rFonts w:ascii="Times New Roman" w:hAnsi="Times New Roman" w:cs="Times New Roman"/>
                <w:i/>
                <w:sz w:val="20"/>
                <w:szCs w:val="20"/>
              </w:rPr>
            </w:pPr>
            <w:r w:rsidRPr="00BE7A8E">
              <w:rPr>
                <w:rFonts w:ascii="Times New Roman" w:hAnsi="Times New Roman" w:cs="Times New Roman"/>
                <w:i/>
                <w:sz w:val="20"/>
                <w:szCs w:val="20"/>
              </w:rPr>
              <w:t>(nombre de client PART majeurs capables, non décédés du portefeuille ainsi que le détail en nombre et en pourcentage de N° de portable, d’email et d’OPT IN renseignés).</w:t>
            </w:r>
          </w:p>
          <w:p w:rsidR="008A64F7" w:rsidRDefault="008A64F7" w:rsidP="00BE7A8E">
            <w:pPr>
              <w:pStyle w:val="Paragraphedeliste"/>
              <w:numPr>
                <w:ilvl w:val="0"/>
                <w:numId w:val="25"/>
              </w:numPr>
              <w:jc w:val="both"/>
              <w:rPr>
                <w:rFonts w:ascii="Times New Roman" w:hAnsi="Times New Roman" w:cs="Times New Roman"/>
                <w:sz w:val="20"/>
                <w:szCs w:val="20"/>
              </w:rPr>
            </w:pPr>
            <w:r w:rsidRPr="00BE7A8E">
              <w:rPr>
                <w:rFonts w:ascii="Times New Roman" w:hAnsi="Times New Roman" w:cs="Times New Roman"/>
                <w:sz w:val="20"/>
                <w:szCs w:val="20"/>
              </w:rPr>
              <w:t xml:space="preserve">Rappel d’un point d’attention : tout OPT IN SMS ou </w:t>
            </w:r>
            <w:proofErr w:type="spellStart"/>
            <w:r w:rsidRPr="00BE7A8E">
              <w:rPr>
                <w:rFonts w:ascii="Times New Roman" w:hAnsi="Times New Roman" w:cs="Times New Roman"/>
                <w:sz w:val="20"/>
                <w:szCs w:val="20"/>
              </w:rPr>
              <w:t>eMail</w:t>
            </w:r>
            <w:proofErr w:type="spellEnd"/>
            <w:r w:rsidRPr="00BE7A8E">
              <w:rPr>
                <w:rFonts w:ascii="Times New Roman" w:hAnsi="Times New Roman" w:cs="Times New Roman"/>
                <w:sz w:val="20"/>
                <w:szCs w:val="20"/>
              </w:rPr>
              <w:t xml:space="preserve"> doit faire l’objet d’un accord signé du client et d’un scan au poste de travail.</w:t>
            </w:r>
          </w:p>
          <w:p w:rsidR="00774EEA" w:rsidRPr="00BE7A8E" w:rsidRDefault="00774EEA" w:rsidP="00774EEA">
            <w:pPr>
              <w:pStyle w:val="Paragraphedeliste"/>
              <w:jc w:val="both"/>
              <w:rPr>
                <w:rFonts w:ascii="Times New Roman" w:hAnsi="Times New Roman" w:cs="Times New Roman"/>
                <w:sz w:val="20"/>
                <w:szCs w:val="20"/>
              </w:rPr>
            </w:pPr>
            <w:bookmarkStart w:id="0" w:name="_GoBack"/>
            <w:bookmarkEnd w:id="0"/>
          </w:p>
        </w:tc>
      </w:tr>
      <w:tr w:rsidR="00AA44F9" w:rsidRPr="00E81F6E" w:rsidTr="00AA44F9">
        <w:trPr>
          <w:trHeight w:val="285"/>
        </w:trPr>
        <w:tc>
          <w:tcPr>
            <w:tcW w:w="15735" w:type="dxa"/>
            <w:gridSpan w:val="3"/>
            <w:tcBorders>
              <w:bottom w:val="single" w:sz="4" w:space="0" w:color="auto"/>
            </w:tcBorders>
            <w:shd w:val="clear" w:color="auto" w:fill="A6A6A6" w:themeFill="background1" w:themeFillShade="A6"/>
          </w:tcPr>
          <w:p w:rsidR="00AA44F9" w:rsidRPr="00AA44F9" w:rsidRDefault="00AA44F9" w:rsidP="00AA44F9">
            <w:pPr>
              <w:pStyle w:val="wordsection1"/>
              <w:spacing w:before="0" w:beforeAutospacing="0" w:after="0" w:afterAutospacing="0"/>
              <w:jc w:val="center"/>
              <w:rPr>
                <w:b/>
                <w:sz w:val="20"/>
                <w:szCs w:val="20"/>
              </w:rPr>
            </w:pPr>
            <w:r w:rsidRPr="00AA44F9">
              <w:rPr>
                <w:b/>
                <w:sz w:val="20"/>
                <w:szCs w:val="20"/>
              </w:rPr>
              <w:lastRenderedPageBreak/>
              <w:t>Qualité</w:t>
            </w:r>
          </w:p>
        </w:tc>
      </w:tr>
      <w:tr w:rsidR="00AA44F9" w:rsidRPr="00E81F6E" w:rsidTr="005639F4">
        <w:trPr>
          <w:trHeight w:val="285"/>
        </w:trPr>
        <w:tc>
          <w:tcPr>
            <w:tcW w:w="1560" w:type="dxa"/>
            <w:tcBorders>
              <w:bottom w:val="single" w:sz="4" w:space="0" w:color="auto"/>
            </w:tcBorders>
          </w:tcPr>
          <w:p w:rsidR="00AA44F9" w:rsidRPr="00321CF4" w:rsidRDefault="00AA44F9">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Qualité</w:t>
            </w:r>
          </w:p>
        </w:tc>
        <w:tc>
          <w:tcPr>
            <w:tcW w:w="1843" w:type="dxa"/>
            <w:tcBorders>
              <w:bottom w:val="single" w:sz="4" w:space="0" w:color="auto"/>
            </w:tcBorders>
          </w:tcPr>
          <w:p w:rsidR="00AA44F9" w:rsidRDefault="00AA44F9">
            <w:pPr>
              <w:rPr>
                <w:rFonts w:ascii="Times New Roman" w:hAnsi="Times New Roman" w:cs="Times New Roman"/>
                <w:sz w:val="20"/>
                <w:szCs w:val="20"/>
              </w:rPr>
            </w:pPr>
            <w:r>
              <w:rPr>
                <w:rFonts w:ascii="Times New Roman" w:hAnsi="Times New Roman" w:cs="Times New Roman"/>
                <w:b/>
                <w:bCs/>
                <w:color w:val="000000"/>
                <w:sz w:val="20"/>
                <w:szCs w:val="20"/>
              </w:rPr>
              <w:t>Qualité Haute Définition (QHD)</w:t>
            </w:r>
          </w:p>
          <w:p w:rsidR="00AA44F9" w:rsidRDefault="00AA44F9">
            <w:pPr>
              <w:spacing w:line="276" w:lineRule="auto"/>
              <w:rPr>
                <w:rFonts w:ascii="Times New Roman" w:hAnsi="Times New Roman" w:cs="Times New Roman"/>
                <w:sz w:val="20"/>
                <w:szCs w:val="20"/>
              </w:rPr>
            </w:pPr>
            <w:r>
              <w:rPr>
                <w:rFonts w:ascii="Times New Roman" w:hAnsi="Times New Roman" w:cs="Times New Roman"/>
                <w:b/>
                <w:bCs/>
                <w:color w:val="000000"/>
                <w:sz w:val="20"/>
                <w:szCs w:val="20"/>
              </w:rPr>
              <w:t> </w:t>
            </w:r>
          </w:p>
        </w:tc>
        <w:tc>
          <w:tcPr>
            <w:tcW w:w="12332" w:type="dxa"/>
            <w:tcBorders>
              <w:bottom w:val="single" w:sz="4" w:space="0" w:color="auto"/>
            </w:tcBorders>
            <w:shd w:val="clear" w:color="auto" w:fill="auto"/>
          </w:tcPr>
          <w:p w:rsidR="00AA44F9" w:rsidRDefault="00AA44F9" w:rsidP="00AA44F9">
            <w:pPr>
              <w:numPr>
                <w:ilvl w:val="0"/>
                <w:numId w:val="33"/>
              </w:numPr>
              <w:ind w:left="176" w:hanging="176"/>
              <w:contextualSpacing/>
              <w:jc w:val="both"/>
              <w:rPr>
                <w:rFonts w:ascii="Times New Roman" w:hAnsi="Times New Roman" w:cs="Times New Roman"/>
                <w:sz w:val="20"/>
                <w:szCs w:val="20"/>
              </w:rPr>
            </w:pPr>
            <w:r>
              <w:rPr>
                <w:rFonts w:ascii="Times New Roman" w:hAnsi="Times New Roman" w:cs="Times New Roman"/>
                <w:sz w:val="20"/>
                <w:szCs w:val="20"/>
              </w:rPr>
              <w:t xml:space="preserve">Les rapports de satisfaction du mois d’avril sont accessibles sur </w:t>
            </w:r>
            <w:hyperlink r:id="rId22" w:history="1">
              <w:r>
                <w:rPr>
                  <w:rStyle w:val="Lienhypertexte"/>
                  <w:rFonts w:ascii="Times New Roman" w:hAnsi="Times New Roman" w:cs="Times New Roman"/>
                  <w:sz w:val="20"/>
                  <w:szCs w:val="20"/>
                </w:rPr>
                <w:t>le site Qualité</w:t>
              </w:r>
            </w:hyperlink>
            <w:r>
              <w:rPr>
                <w:rFonts w:ascii="Times New Roman" w:hAnsi="Times New Roman" w:cs="Times New Roman"/>
                <w:sz w:val="20"/>
                <w:szCs w:val="20"/>
              </w:rPr>
              <w:t xml:space="preserve">. En Avril, la moyenne de satisfaction sur 3 mois glissants est de 73%, la tendance haussière se confirme. Les amplitudes de Satisfaction en TS-I (% de Très Satisfaits - % d’Insatisfaits) vont de 31 % à 93 % ce mois-ci. Le Service Qualité propose, aux DUC / DA / DAA qui le souhaitent, une audio de 45 min pour décrypter les résultats. Les agences qui recueillent une Satisfaction globale inférieure à 50% (TS-I), peuvent également être accompagnées. </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SUIVIS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ET</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LES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RAPPORTS</w:t>
            </w:r>
          </w:p>
        </w:tc>
      </w:tr>
      <w:tr w:rsidR="0020263B"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0263B" w:rsidRPr="00422C00" w:rsidRDefault="0020263B" w:rsidP="008F65AE">
            <w:pPr>
              <w:rPr>
                <w:rFonts w:ascii="Times New Roman" w:hAnsi="Times New Roman" w:cs="Times New Roman"/>
                <w:b/>
                <w:bCs/>
                <w:sz w:val="20"/>
                <w:szCs w:val="20"/>
              </w:rPr>
            </w:pPr>
            <w:r w:rsidRPr="00422C00">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20263B" w:rsidRPr="00BE7A8E" w:rsidRDefault="0020263B" w:rsidP="008F65AE">
            <w:pPr>
              <w:rPr>
                <w:rFonts w:ascii="Times New Roman" w:hAnsi="Times New Roman" w:cs="Times New Roman"/>
                <w:b/>
                <w:bCs/>
                <w:color w:val="000000"/>
                <w:sz w:val="20"/>
                <w:szCs w:val="20"/>
              </w:rPr>
            </w:pPr>
            <w:r w:rsidRPr="00BE7A8E">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20263B" w:rsidRPr="00BE7A8E" w:rsidRDefault="0020263B" w:rsidP="00BE7A8E">
            <w:pPr>
              <w:pStyle w:val="Paragraphedeliste"/>
              <w:numPr>
                <w:ilvl w:val="0"/>
                <w:numId w:val="2"/>
              </w:numPr>
              <w:ind w:left="176" w:hanging="176"/>
              <w:jc w:val="both"/>
              <w:rPr>
                <w:rFonts w:ascii="Times New Roman" w:hAnsi="Times New Roman" w:cs="Times New Roman"/>
                <w:bCs/>
                <w:sz w:val="20"/>
                <w:szCs w:val="20"/>
                <w:lang w:eastAsia="fr-FR"/>
              </w:rPr>
            </w:pPr>
            <w:r w:rsidRPr="00BE7A8E">
              <w:rPr>
                <w:rFonts w:ascii="Times New Roman" w:hAnsi="Times New Roman" w:cs="Times New Roman"/>
                <w:sz w:val="20"/>
                <w:szCs w:val="20"/>
              </w:rPr>
              <w:t xml:space="preserve">Vous trouverez </w:t>
            </w:r>
            <w:hyperlink r:id="rId23" w:history="1">
              <w:r w:rsidRPr="00BE7A8E">
                <w:rPr>
                  <w:rStyle w:val="Lienhypertexte"/>
                  <w:rFonts w:ascii="Times New Roman" w:hAnsi="Times New Roman" w:cs="Times New Roman"/>
                  <w:sz w:val="20"/>
                  <w:szCs w:val="20"/>
                </w:rPr>
                <w:t>en cliquant ici</w:t>
              </w:r>
            </w:hyperlink>
            <w:r w:rsidRPr="00BE7A8E">
              <w:rPr>
                <w:rFonts w:ascii="Times New Roman" w:hAnsi="Times New Roman" w:cs="Times New Roman"/>
                <w:sz w:val="20"/>
                <w:szCs w:val="20"/>
              </w:rPr>
              <w:t xml:space="preserve"> </w:t>
            </w:r>
            <w:r w:rsidRPr="00BE7A8E">
              <w:rPr>
                <w:rFonts w:ascii="Times New Roman" w:hAnsi="Times New Roman" w:cs="Times New Roman"/>
                <w:b/>
                <w:sz w:val="20"/>
                <w:szCs w:val="20"/>
              </w:rPr>
              <w:t>la</w:t>
            </w:r>
            <w:r w:rsidR="00422C00" w:rsidRPr="00BE7A8E">
              <w:rPr>
                <w:rFonts w:ascii="Times New Roman" w:hAnsi="Times New Roman" w:cs="Times New Roman"/>
                <w:b/>
                <w:sz w:val="20"/>
                <w:szCs w:val="20"/>
              </w:rPr>
              <w:t xml:space="preserve"> météo des crédits arrêtée au 26</w:t>
            </w:r>
            <w:r w:rsidRPr="00BE7A8E">
              <w:rPr>
                <w:rFonts w:ascii="Times New Roman" w:hAnsi="Times New Roman" w:cs="Times New Roman"/>
                <w:b/>
                <w:sz w:val="20"/>
                <w:szCs w:val="20"/>
              </w:rPr>
              <w:t>/05/2018.</w:t>
            </w:r>
          </w:p>
        </w:tc>
      </w:tr>
      <w:tr w:rsidR="00422C00"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422C00" w:rsidRDefault="00422C00">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422C00" w:rsidRPr="00BE7A8E" w:rsidRDefault="00422C00" w:rsidP="00422C00">
            <w:pPr>
              <w:pStyle w:val="wordsection1"/>
              <w:rPr>
                <w:b/>
                <w:bCs/>
                <w:sz w:val="20"/>
                <w:szCs w:val="20"/>
                <w:lang w:eastAsia="en-US"/>
              </w:rPr>
            </w:pPr>
            <w:r w:rsidRPr="00BE7A8E">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422C00" w:rsidRPr="00BE7A8E" w:rsidRDefault="00422C00" w:rsidP="00BE7A8E">
            <w:pPr>
              <w:pStyle w:val="wordsection1"/>
              <w:numPr>
                <w:ilvl w:val="0"/>
                <w:numId w:val="30"/>
              </w:numPr>
              <w:spacing w:before="0" w:beforeAutospacing="0" w:after="0" w:afterAutospacing="0"/>
              <w:ind w:left="187" w:hanging="187"/>
              <w:jc w:val="both"/>
              <w:rPr>
                <w:sz w:val="20"/>
                <w:szCs w:val="20"/>
              </w:rPr>
            </w:pPr>
            <w:r w:rsidRPr="00BE7A8E">
              <w:rPr>
                <w:sz w:val="20"/>
                <w:szCs w:val="20"/>
              </w:rPr>
              <w:t xml:space="preserve">Vous trouverez en </w:t>
            </w:r>
            <w:hyperlink r:id="rId24" w:history="1">
              <w:r w:rsidRPr="00BE7A8E">
                <w:rPr>
                  <w:rStyle w:val="Lienhypertexte"/>
                  <w:sz w:val="20"/>
                  <w:szCs w:val="20"/>
                </w:rPr>
                <w:t>cliquant ici</w:t>
              </w:r>
            </w:hyperlink>
            <w:r w:rsidRPr="00BE7A8E">
              <w:rPr>
                <w:sz w:val="20"/>
                <w:szCs w:val="20"/>
              </w:rPr>
              <w:t>, le suivi de commercialisation d’IRIS (commercialisation du 17/01 au 13/06/2018).</w:t>
            </w:r>
          </w:p>
          <w:p w:rsidR="00422C00" w:rsidRPr="00BE7A8E" w:rsidRDefault="00422C00" w:rsidP="00BE7A8E">
            <w:pPr>
              <w:pStyle w:val="wordsection1"/>
              <w:numPr>
                <w:ilvl w:val="0"/>
                <w:numId w:val="30"/>
              </w:numPr>
              <w:spacing w:before="0" w:beforeAutospacing="0" w:after="0" w:afterAutospacing="0"/>
              <w:ind w:left="187" w:hanging="187"/>
              <w:jc w:val="both"/>
              <w:rPr>
                <w:color w:val="1F497D"/>
                <w:sz w:val="20"/>
                <w:szCs w:val="20"/>
              </w:rPr>
            </w:pPr>
            <w:r w:rsidRPr="00BE7A8E">
              <w:rPr>
                <w:sz w:val="20"/>
                <w:szCs w:val="20"/>
              </w:rPr>
              <w:t xml:space="preserve">Au 26/05/2018, 197% des fonds sont placés. </w:t>
            </w:r>
          </w:p>
        </w:tc>
      </w:tr>
      <w:tr w:rsidR="00422C00"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422C00" w:rsidRDefault="00422C00">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422C00" w:rsidRPr="00BE7A8E" w:rsidRDefault="00422C00" w:rsidP="00422C00">
            <w:pPr>
              <w:pStyle w:val="wordsection1"/>
              <w:rPr>
                <w:b/>
                <w:bCs/>
                <w:sz w:val="20"/>
                <w:szCs w:val="20"/>
              </w:rPr>
            </w:pPr>
            <w:r w:rsidRPr="00BE7A8E">
              <w:rPr>
                <w:b/>
                <w:bCs/>
                <w:sz w:val="20"/>
                <w:szCs w:val="20"/>
              </w:rPr>
              <w:t xml:space="preserve">Suivi </w:t>
            </w:r>
            <w:proofErr w:type="spellStart"/>
            <w:r w:rsidRPr="00BE7A8E">
              <w:rPr>
                <w:b/>
                <w:bCs/>
                <w:sz w:val="20"/>
                <w:szCs w:val="20"/>
              </w:rPr>
              <w:t>Eurocible</w:t>
            </w:r>
            <w:proofErr w:type="spellEnd"/>
            <w:r w:rsidRPr="00BE7A8E">
              <w:rPr>
                <w:b/>
                <w:bCs/>
                <w:sz w:val="20"/>
                <w:szCs w:val="20"/>
              </w:rPr>
              <w:t xml:space="preserve"> 90</w:t>
            </w:r>
          </w:p>
        </w:tc>
        <w:tc>
          <w:tcPr>
            <w:tcW w:w="12332" w:type="dxa"/>
            <w:tcBorders>
              <w:top w:val="single" w:sz="4" w:space="0" w:color="auto"/>
              <w:left w:val="single" w:sz="4" w:space="0" w:color="auto"/>
              <w:bottom w:val="single" w:sz="4" w:space="0" w:color="auto"/>
              <w:right w:val="single" w:sz="4" w:space="0" w:color="auto"/>
            </w:tcBorders>
          </w:tcPr>
          <w:p w:rsidR="00422C00" w:rsidRPr="00BE7A8E" w:rsidRDefault="00422C00" w:rsidP="00BE7A8E">
            <w:pPr>
              <w:pStyle w:val="wordsection1"/>
              <w:numPr>
                <w:ilvl w:val="0"/>
                <w:numId w:val="30"/>
              </w:numPr>
              <w:spacing w:before="0" w:beforeAutospacing="0" w:after="0" w:afterAutospacing="0"/>
              <w:ind w:left="187" w:hanging="187"/>
              <w:jc w:val="both"/>
              <w:rPr>
                <w:sz w:val="20"/>
                <w:szCs w:val="20"/>
              </w:rPr>
            </w:pPr>
            <w:r w:rsidRPr="00BE7A8E">
              <w:rPr>
                <w:sz w:val="20"/>
                <w:szCs w:val="20"/>
              </w:rPr>
              <w:t xml:space="preserve">Vous trouverez en </w:t>
            </w:r>
            <w:hyperlink r:id="rId25" w:history="1">
              <w:r w:rsidRPr="00BE7A8E">
                <w:rPr>
                  <w:rStyle w:val="Lienhypertexte"/>
                  <w:sz w:val="20"/>
                  <w:szCs w:val="20"/>
                </w:rPr>
                <w:t>cliquant ici</w:t>
              </w:r>
            </w:hyperlink>
            <w:r w:rsidRPr="00BE7A8E">
              <w:rPr>
                <w:sz w:val="20"/>
                <w:szCs w:val="20"/>
              </w:rPr>
              <w:t>, le suivi de commercialisation d’EUROCIBLE 90 (commercialisation du 19/04 au 18/07/2018).</w:t>
            </w:r>
          </w:p>
          <w:p w:rsidR="00422C00" w:rsidRPr="00BE7A8E" w:rsidRDefault="00422C00" w:rsidP="00BE7A8E">
            <w:pPr>
              <w:pStyle w:val="wordsection1"/>
              <w:numPr>
                <w:ilvl w:val="0"/>
                <w:numId w:val="30"/>
              </w:numPr>
              <w:spacing w:before="0" w:beforeAutospacing="0" w:after="0" w:afterAutospacing="0"/>
              <w:ind w:left="187" w:hanging="187"/>
              <w:jc w:val="both"/>
              <w:rPr>
                <w:sz w:val="20"/>
                <w:szCs w:val="20"/>
              </w:rPr>
            </w:pPr>
            <w:r w:rsidRPr="00BE7A8E">
              <w:rPr>
                <w:sz w:val="20"/>
                <w:szCs w:val="20"/>
              </w:rPr>
              <w:t xml:space="preserve">Au 26/05/2018, 69% des fonds sont placés pour un TO de 42%, soit 1 552 K€ restant à placer. </w:t>
            </w:r>
          </w:p>
        </w:tc>
      </w:tr>
      <w:tr w:rsidR="003F3054"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3F3054" w:rsidRDefault="003F3054">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3F3054" w:rsidRPr="00BE7A8E" w:rsidRDefault="003F3054" w:rsidP="003F3054">
            <w:pPr>
              <w:pStyle w:val="wordsection1"/>
              <w:rPr>
                <w:b/>
                <w:bCs/>
                <w:sz w:val="20"/>
                <w:szCs w:val="20"/>
              </w:rPr>
            </w:pPr>
            <w:r w:rsidRPr="00BE7A8E">
              <w:rPr>
                <w:b/>
                <w:bCs/>
                <w:sz w:val="20"/>
                <w:szCs w:val="20"/>
              </w:rPr>
              <w:t>Suivi HELIOS</w:t>
            </w:r>
          </w:p>
        </w:tc>
        <w:tc>
          <w:tcPr>
            <w:tcW w:w="12332" w:type="dxa"/>
            <w:tcBorders>
              <w:top w:val="single" w:sz="4" w:space="0" w:color="auto"/>
              <w:left w:val="single" w:sz="4" w:space="0" w:color="auto"/>
              <w:bottom w:val="single" w:sz="4" w:space="0" w:color="auto"/>
              <w:right w:val="single" w:sz="4" w:space="0" w:color="auto"/>
            </w:tcBorders>
          </w:tcPr>
          <w:p w:rsidR="003F3054" w:rsidRPr="00BE7A8E" w:rsidRDefault="003F3054" w:rsidP="00BE7A8E">
            <w:pPr>
              <w:pStyle w:val="wordsection1"/>
              <w:numPr>
                <w:ilvl w:val="0"/>
                <w:numId w:val="31"/>
              </w:numPr>
              <w:spacing w:before="0" w:beforeAutospacing="0" w:after="0" w:afterAutospacing="0"/>
              <w:ind w:left="187" w:hanging="187"/>
              <w:jc w:val="both"/>
              <w:rPr>
                <w:sz w:val="20"/>
                <w:szCs w:val="20"/>
              </w:rPr>
            </w:pPr>
            <w:r w:rsidRPr="00BE7A8E">
              <w:rPr>
                <w:sz w:val="20"/>
                <w:szCs w:val="20"/>
              </w:rPr>
              <w:t xml:space="preserve">Vous trouverez en </w:t>
            </w:r>
            <w:hyperlink r:id="rId26" w:history="1">
              <w:r w:rsidRPr="00BE7A8E">
                <w:rPr>
                  <w:rStyle w:val="Lienhypertexte"/>
                  <w:sz w:val="20"/>
                  <w:szCs w:val="20"/>
                </w:rPr>
                <w:t>cliquant ici</w:t>
              </w:r>
            </w:hyperlink>
            <w:r w:rsidRPr="00BE7A8E">
              <w:rPr>
                <w:sz w:val="20"/>
                <w:szCs w:val="20"/>
              </w:rPr>
              <w:t xml:space="preserve">, le suivi de commercialisation d’HELIOS Septembre 2028 (commercialisation du 16/04 au 20/07/2018). </w:t>
            </w:r>
          </w:p>
          <w:p w:rsidR="003F3054" w:rsidRPr="00BE7A8E" w:rsidRDefault="003F3054" w:rsidP="00BE7A8E">
            <w:pPr>
              <w:pStyle w:val="wordsection1"/>
              <w:numPr>
                <w:ilvl w:val="0"/>
                <w:numId w:val="31"/>
              </w:numPr>
              <w:spacing w:before="0" w:beforeAutospacing="0" w:after="0" w:afterAutospacing="0"/>
              <w:ind w:left="187" w:hanging="187"/>
              <w:jc w:val="both"/>
              <w:rPr>
                <w:sz w:val="20"/>
                <w:szCs w:val="20"/>
              </w:rPr>
            </w:pPr>
            <w:r w:rsidRPr="00BE7A8E">
              <w:rPr>
                <w:sz w:val="20"/>
                <w:szCs w:val="20"/>
              </w:rPr>
              <w:t>Au 26/05/2018, nous sommes à 42% des fonds placés pour un TO à 43%.</w:t>
            </w:r>
          </w:p>
        </w:tc>
      </w:tr>
      <w:tr w:rsidR="00041B85"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041B85" w:rsidRDefault="00041B85">
            <w:pPr>
              <w:rPr>
                <w:rFonts w:ascii="Times New Roman" w:hAnsi="Times New Roman" w:cs="Times New Roman"/>
                <w:b/>
                <w:bCs/>
                <w:sz w:val="20"/>
                <w:szCs w:val="20"/>
              </w:rPr>
            </w:pPr>
            <w:r>
              <w:rPr>
                <w:rFonts w:ascii="Times New Roman" w:hAnsi="Times New Roman" w:cs="Times New Roman"/>
                <w:b/>
                <w:bCs/>
                <w:sz w:val="20"/>
                <w:szCs w:val="20"/>
              </w:rPr>
              <w:t>Com. DFCG</w:t>
            </w:r>
          </w:p>
        </w:tc>
        <w:tc>
          <w:tcPr>
            <w:tcW w:w="1843" w:type="dxa"/>
            <w:tcBorders>
              <w:top w:val="single" w:sz="4" w:space="0" w:color="auto"/>
              <w:left w:val="single" w:sz="4" w:space="0" w:color="auto"/>
              <w:bottom w:val="single" w:sz="4" w:space="0" w:color="auto"/>
              <w:right w:val="single" w:sz="4" w:space="0" w:color="auto"/>
            </w:tcBorders>
          </w:tcPr>
          <w:p w:rsidR="00041B85" w:rsidRPr="00BE7A8E" w:rsidRDefault="00041B85" w:rsidP="003F3054">
            <w:pPr>
              <w:pStyle w:val="wordsection1"/>
              <w:rPr>
                <w:b/>
                <w:bCs/>
                <w:sz w:val="20"/>
                <w:szCs w:val="20"/>
              </w:rPr>
            </w:pPr>
            <w:r w:rsidRPr="00BE7A8E">
              <w:rPr>
                <w:b/>
                <w:bCs/>
                <w:sz w:val="20"/>
                <w:szCs w:val="20"/>
              </w:rPr>
              <w:t>Suivi MAD</w:t>
            </w:r>
          </w:p>
        </w:tc>
        <w:tc>
          <w:tcPr>
            <w:tcW w:w="12332" w:type="dxa"/>
            <w:tcBorders>
              <w:top w:val="single" w:sz="4" w:space="0" w:color="auto"/>
              <w:left w:val="single" w:sz="4" w:space="0" w:color="auto"/>
              <w:bottom w:val="single" w:sz="4" w:space="0" w:color="auto"/>
              <w:right w:val="single" w:sz="4" w:space="0" w:color="auto"/>
            </w:tcBorders>
          </w:tcPr>
          <w:p w:rsidR="00041B85" w:rsidRPr="00BE7A8E" w:rsidRDefault="00041B85" w:rsidP="00BE7A8E">
            <w:pPr>
              <w:pStyle w:val="wordsection1"/>
              <w:numPr>
                <w:ilvl w:val="0"/>
                <w:numId w:val="31"/>
              </w:numPr>
              <w:spacing w:before="0" w:beforeAutospacing="0" w:after="0" w:afterAutospacing="0"/>
              <w:ind w:left="187" w:hanging="187"/>
              <w:jc w:val="both"/>
              <w:rPr>
                <w:sz w:val="20"/>
                <w:szCs w:val="20"/>
              </w:rPr>
            </w:pPr>
            <w:r w:rsidRPr="00BE7A8E">
              <w:rPr>
                <w:sz w:val="20"/>
                <w:szCs w:val="20"/>
              </w:rPr>
              <w:t xml:space="preserve">Retrouvez </w:t>
            </w:r>
            <w:r w:rsidRPr="00BE7A8E">
              <w:rPr>
                <w:b/>
                <w:sz w:val="20"/>
                <w:szCs w:val="20"/>
              </w:rPr>
              <w:t>le suivi des remises commerciales à fin avril 2018</w:t>
            </w:r>
            <w:r w:rsidRPr="00BE7A8E">
              <w:rPr>
                <w:sz w:val="20"/>
                <w:szCs w:val="20"/>
              </w:rPr>
              <w:t xml:space="preserve">, dans votre espace Pilotage de la Rubrique des Commerciaux (Suivi des remises commerciales new – cliquez </w:t>
            </w:r>
            <w:hyperlink r:id="rId27" w:history="1">
              <w:r w:rsidRPr="00BE7A8E">
                <w:rPr>
                  <w:rStyle w:val="Lienhypertexte"/>
                  <w:sz w:val="20"/>
                  <w:szCs w:val="20"/>
                </w:rPr>
                <w:t>ICI</w:t>
              </w:r>
            </w:hyperlink>
            <w:r w:rsidR="00BE7A8E" w:rsidRPr="00BE7A8E">
              <w:rPr>
                <w:sz w:val="20"/>
                <w:szCs w:val="20"/>
              </w:rPr>
              <w:t xml:space="preserve">). </w:t>
            </w:r>
            <w:r w:rsidRPr="00BE7A8E">
              <w:rPr>
                <w:sz w:val="20"/>
                <w:szCs w:val="20"/>
              </w:rPr>
              <w:t>Le taux de re</w:t>
            </w:r>
            <w:r w:rsidR="00BE7A8E" w:rsidRPr="00BE7A8E">
              <w:rPr>
                <w:sz w:val="20"/>
                <w:szCs w:val="20"/>
              </w:rPr>
              <w:t>mise des agences</w:t>
            </w:r>
            <w:r w:rsidRPr="00BE7A8E">
              <w:rPr>
                <w:sz w:val="20"/>
                <w:szCs w:val="20"/>
              </w:rPr>
              <w:t xml:space="preserve"> baisse légèrem</w:t>
            </w:r>
            <w:r w:rsidR="00BE7A8E" w:rsidRPr="00BE7A8E">
              <w:rPr>
                <w:sz w:val="20"/>
                <w:szCs w:val="20"/>
              </w:rPr>
              <w:t xml:space="preserve">ent sur le mois d’avril </w:t>
            </w:r>
            <w:proofErr w:type="spellStart"/>
            <w:r w:rsidR="00BE7A8E" w:rsidRPr="00BE7A8E">
              <w:rPr>
                <w:sz w:val="20"/>
                <w:szCs w:val="20"/>
              </w:rPr>
              <w:t>maiS</w:t>
            </w:r>
            <w:proofErr w:type="spellEnd"/>
            <w:r w:rsidRPr="00BE7A8E">
              <w:rPr>
                <w:sz w:val="20"/>
                <w:szCs w:val="20"/>
              </w:rPr>
              <w:t xml:space="preserve"> reste très élevé à près de 8%. Si le taux d</w:t>
            </w:r>
            <w:r w:rsidR="00BE7A8E">
              <w:rPr>
                <w:sz w:val="20"/>
                <w:szCs w:val="20"/>
              </w:rPr>
              <w:t>e remises objectivé</w:t>
            </w:r>
            <w:r w:rsidRPr="00BE7A8E">
              <w:rPr>
                <w:sz w:val="20"/>
                <w:szCs w:val="20"/>
              </w:rPr>
              <w:t xml:space="preserve"> de 3,5% avait été respecté, le PNB serait plus élevé de 0,3 M€ sur ces deux mois, soit environ +0,9 M€ en année pleine.</w:t>
            </w:r>
          </w:p>
        </w:tc>
      </w:tr>
    </w:tbl>
    <w:p w:rsidR="00EF1178" w:rsidRPr="00EA52AC" w:rsidRDefault="00EF1178" w:rsidP="00E971C7">
      <w:pPr>
        <w:rPr>
          <w:rFonts w:ascii="Times New Roman" w:hAnsi="Times New Roman" w:cs="Times New Roman"/>
          <w:strike/>
          <w:sz w:val="20"/>
          <w:szCs w:val="20"/>
        </w:rPr>
      </w:pPr>
    </w:p>
    <w:sectPr w:rsidR="00EF1178" w:rsidRPr="00EA52AC" w:rsidSect="00421843">
      <w:footerReference w:type="default" r:id="rId28"/>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54C" w:rsidRDefault="0011454C" w:rsidP="0035465A">
      <w:pPr>
        <w:spacing w:after="0" w:line="240" w:lineRule="auto"/>
      </w:pPr>
      <w:r>
        <w:separator/>
      </w:r>
    </w:p>
  </w:endnote>
  <w:endnote w:type="continuationSeparator" w:id="0">
    <w:p w:rsidR="0011454C" w:rsidRDefault="0011454C"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54C" w:rsidRDefault="0011454C" w:rsidP="0035465A">
      <w:pPr>
        <w:spacing w:after="0" w:line="240" w:lineRule="auto"/>
      </w:pPr>
      <w:r>
        <w:separator/>
      </w:r>
    </w:p>
  </w:footnote>
  <w:footnote w:type="continuationSeparator" w:id="0">
    <w:p w:rsidR="0011454C" w:rsidRDefault="0011454C"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C791C"/>
    <w:multiLevelType w:val="hybridMultilevel"/>
    <w:tmpl w:val="14B81EE2"/>
    <w:lvl w:ilvl="0" w:tplc="776ABD54">
      <w:numFmt w:val="bullet"/>
      <w:lvlText w:val="-"/>
      <w:lvlJc w:val="left"/>
      <w:pPr>
        <w:ind w:left="187" w:hanging="187"/>
      </w:pPr>
      <w:rPr>
        <w:rFonts w:ascii="Calibri" w:eastAsia="Calibri" w:hAnsi="Calibri" w:cs="Calibri" w:hint="default"/>
        <w:strike w:val="0"/>
        <w:dstrike w:val="0"/>
        <w:color w:val="000000"/>
        <w:sz w:val="20"/>
        <w:szCs w:val="20"/>
        <w:u w:val="none"/>
        <w:effect w:val="none"/>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
    <w:nsid w:val="171952C4"/>
    <w:multiLevelType w:val="hybridMultilevel"/>
    <w:tmpl w:val="C6E4C686"/>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4">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nsid w:val="238A1083"/>
    <w:multiLevelType w:val="hybridMultilevel"/>
    <w:tmpl w:val="35A45C56"/>
    <w:lvl w:ilvl="0" w:tplc="776ABD54">
      <w:numFmt w:val="bullet"/>
      <w:lvlText w:val="-"/>
      <w:lvlJc w:val="left"/>
      <w:pPr>
        <w:ind w:left="187" w:hanging="187"/>
      </w:pPr>
      <w:rPr>
        <w:rFonts w:ascii="Calibri" w:eastAsia="Calibri" w:hAnsi="Calibri" w:cs="Calibri" w:hint="default"/>
        <w:strike w:val="0"/>
        <w:dstrike w:val="0"/>
        <w:color w:val="000000"/>
        <w:sz w:val="20"/>
        <w:szCs w:val="20"/>
        <w:u w:val="none"/>
        <w:effect w:val="none"/>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nsid w:val="2B046F21"/>
    <w:multiLevelType w:val="hybridMultilevel"/>
    <w:tmpl w:val="3AF63778"/>
    <w:lvl w:ilvl="0" w:tplc="F32EC7B2">
      <w:numFmt w:val="bullet"/>
      <w:lvlText w:val="­"/>
      <w:lvlJc w:val="left"/>
      <w:pPr>
        <w:ind w:left="72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357876C6"/>
    <w:multiLevelType w:val="hybridMultilevel"/>
    <w:tmpl w:val="1082A25E"/>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8">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9">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3F475714"/>
    <w:multiLevelType w:val="hybridMultilevel"/>
    <w:tmpl w:val="8230DAE6"/>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1">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12">
    <w:nsid w:val="50C8611E"/>
    <w:multiLevelType w:val="hybridMultilevel"/>
    <w:tmpl w:val="33C6975A"/>
    <w:lvl w:ilvl="0" w:tplc="776ABD54">
      <w:numFmt w:val="bullet"/>
      <w:lvlText w:val="-"/>
      <w:lvlJc w:val="left"/>
      <w:pPr>
        <w:ind w:left="187" w:hanging="187"/>
      </w:pPr>
      <w:rPr>
        <w:rFonts w:ascii="Calibri" w:eastAsia="Calibri" w:hAnsi="Calibri" w:cs="Calibri" w:hint="default"/>
        <w:strike w:val="0"/>
        <w:dstrike w:val="0"/>
        <w:color w:val="000000"/>
        <w:sz w:val="20"/>
        <w:szCs w:val="20"/>
        <w:u w:val="none"/>
        <w:effect w:val="none"/>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nsid w:val="594211C6"/>
    <w:multiLevelType w:val="hybridMultilevel"/>
    <w:tmpl w:val="06AE89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5F8C54B6"/>
    <w:multiLevelType w:val="hybridMultilevel"/>
    <w:tmpl w:val="EA2888EA"/>
    <w:lvl w:ilvl="0" w:tplc="3D72B24E">
      <w:numFmt w:val="bullet"/>
      <w:lvlText w:val=""/>
      <w:lvlJc w:val="left"/>
      <w:pPr>
        <w:ind w:left="720" w:hanging="360"/>
      </w:pPr>
      <w:rPr>
        <w:rFonts w:ascii="Wingdings" w:eastAsia="Calibri"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nsid w:val="70926FF9"/>
    <w:multiLevelType w:val="hybridMultilevel"/>
    <w:tmpl w:val="585E60FE"/>
    <w:lvl w:ilvl="0" w:tplc="478AD9CE">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75C427E8"/>
    <w:multiLevelType w:val="hybridMultilevel"/>
    <w:tmpl w:val="5ED6A4E0"/>
    <w:lvl w:ilvl="0" w:tplc="776ABD54">
      <w:numFmt w:val="bullet"/>
      <w:lvlText w:val="-"/>
      <w:lvlJc w:val="left"/>
      <w:pPr>
        <w:ind w:left="187" w:hanging="187"/>
      </w:pPr>
      <w:rPr>
        <w:rFonts w:ascii="Calibri" w:eastAsia="Calibri" w:hAnsi="Calibri" w:cs="Calibri" w:hint="default"/>
        <w:strike w:val="0"/>
        <w:dstrike w:val="0"/>
        <w:color w:val="000000"/>
        <w:sz w:val="20"/>
        <w:szCs w:val="20"/>
        <w:u w:val="none"/>
        <w:effect w:val="none"/>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8"/>
  </w:num>
  <w:num w:numId="2">
    <w:abstractNumId w:val="1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
  </w:num>
  <w:num w:numId="6">
    <w:abstractNumId w:val="10"/>
  </w:num>
  <w:num w:numId="7">
    <w:abstractNumId w:val="10"/>
  </w:num>
  <w:num w:numId="8">
    <w:abstractNumId w:val="9"/>
  </w:num>
  <w:num w:numId="9">
    <w:abstractNumId w:val="10"/>
  </w:num>
  <w:num w:numId="10">
    <w:abstractNumId w:val="11"/>
  </w:num>
  <w:num w:numId="11">
    <w:abstractNumId w:val="7"/>
  </w:num>
  <w:num w:numId="12">
    <w:abstractNumId w:val="15"/>
  </w:num>
  <w:num w:numId="13">
    <w:abstractNumId w:val="10"/>
  </w:num>
  <w:num w:numId="14">
    <w:abstractNumId w:val="10"/>
  </w:num>
  <w:num w:numId="15">
    <w:abstractNumId w:val="10"/>
  </w:num>
  <w:num w:numId="16">
    <w:abstractNumId w:val="10"/>
  </w:num>
  <w:num w:numId="17">
    <w:abstractNumId w:val="12"/>
  </w:num>
  <w:num w:numId="18">
    <w:abstractNumId w:val="0"/>
  </w:num>
  <w:num w:numId="19">
    <w:abstractNumId w:val="5"/>
  </w:num>
  <w:num w:numId="20">
    <w:abstractNumId w:val="10"/>
  </w:num>
  <w:num w:numId="21">
    <w:abstractNumId w:val="3"/>
  </w:num>
  <w:num w:numId="22">
    <w:abstractNumId w:val="10"/>
  </w:num>
  <w:num w:numId="23">
    <w:abstractNumId w:val="10"/>
  </w:num>
  <w:num w:numId="24">
    <w:abstractNumId w:val="13"/>
  </w:num>
  <w:num w:numId="25">
    <w:abstractNumId w:val="14"/>
  </w:num>
  <w:num w:numId="26">
    <w:abstractNumId w:val="10"/>
  </w:num>
  <w:num w:numId="27">
    <w:abstractNumId w:val="6"/>
  </w:num>
  <w:num w:numId="28">
    <w:abstractNumId w:val="16"/>
  </w:num>
  <w:num w:numId="29">
    <w:abstractNumId w:val="9"/>
  </w:num>
  <w:num w:numId="30">
    <w:abstractNumId w:val="10"/>
  </w:num>
  <w:num w:numId="31">
    <w:abstractNumId w:val="10"/>
  </w:num>
  <w:num w:numId="32">
    <w:abstractNumId w:val="9"/>
  </w:num>
  <w:num w:numId="33">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38B6"/>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570"/>
    <w:rsid w:val="000A315D"/>
    <w:rsid w:val="000A36D9"/>
    <w:rsid w:val="000A3EF5"/>
    <w:rsid w:val="000A3F12"/>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54C"/>
    <w:rsid w:val="0011487C"/>
    <w:rsid w:val="00115794"/>
    <w:rsid w:val="001158B8"/>
    <w:rsid w:val="00115C79"/>
    <w:rsid w:val="00115E41"/>
    <w:rsid w:val="001160A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0609"/>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AB1"/>
    <w:rsid w:val="001A6E82"/>
    <w:rsid w:val="001A721F"/>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2CE"/>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3AB9"/>
    <w:rsid w:val="001C50A7"/>
    <w:rsid w:val="001C5B7E"/>
    <w:rsid w:val="001C5DE9"/>
    <w:rsid w:val="001C67FD"/>
    <w:rsid w:val="001C6DEC"/>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0F3"/>
    <w:rsid w:val="0029511F"/>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59F3"/>
    <w:rsid w:val="002A6D70"/>
    <w:rsid w:val="002A6D9D"/>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A8A"/>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7176"/>
    <w:rsid w:val="003F7AB0"/>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550"/>
    <w:rsid w:val="00477692"/>
    <w:rsid w:val="00477AB6"/>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32C6"/>
    <w:rsid w:val="004934AA"/>
    <w:rsid w:val="00493D77"/>
    <w:rsid w:val="004943BF"/>
    <w:rsid w:val="004953D4"/>
    <w:rsid w:val="00495E8E"/>
    <w:rsid w:val="00495EE9"/>
    <w:rsid w:val="0049673E"/>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5D2"/>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4EEA"/>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778F"/>
    <w:rsid w:val="007A0808"/>
    <w:rsid w:val="007A0912"/>
    <w:rsid w:val="007A2295"/>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B21"/>
    <w:rsid w:val="008010FE"/>
    <w:rsid w:val="008013DD"/>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30D"/>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4F7"/>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9C1"/>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41"/>
    <w:rsid w:val="00B2009F"/>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0EC"/>
    <w:rsid w:val="00B865BE"/>
    <w:rsid w:val="00B867A4"/>
    <w:rsid w:val="00B86849"/>
    <w:rsid w:val="00B907B1"/>
    <w:rsid w:val="00B90F54"/>
    <w:rsid w:val="00B91215"/>
    <w:rsid w:val="00B91799"/>
    <w:rsid w:val="00B91D87"/>
    <w:rsid w:val="00B91EB0"/>
    <w:rsid w:val="00B9279B"/>
    <w:rsid w:val="00B934E9"/>
    <w:rsid w:val="00B9354C"/>
    <w:rsid w:val="00B939A3"/>
    <w:rsid w:val="00B93D2C"/>
    <w:rsid w:val="00B942FA"/>
    <w:rsid w:val="00B942FB"/>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62C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57"/>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40541"/>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612"/>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33D"/>
    <w:rsid w:val="00F449B8"/>
    <w:rsid w:val="00F44E46"/>
    <w:rsid w:val="00F46ABC"/>
    <w:rsid w:val="00F46B83"/>
    <w:rsid w:val="00F46BAD"/>
    <w:rsid w:val="00F46DC0"/>
    <w:rsid w:val="00F46EF3"/>
    <w:rsid w:val="00F47072"/>
    <w:rsid w:val="00F478E6"/>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130E"/>
    <w:rsid w:val="00F9193B"/>
    <w:rsid w:val="00F91ABD"/>
    <w:rsid w:val="00F91BD4"/>
    <w:rsid w:val="00F92241"/>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F1736"/>
    <w:rsid w:val="00FF1FD7"/>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nsgprw1.celca.caisse-epargne.fr/divers/communication/breves/une/2018/rgpd_celca.pdf" TargetMode="External"/><Relationship Id="rId18" Type="http://schemas.openxmlformats.org/officeDocument/2006/relationships/hyperlink" Target="http://commerciaux.celca.caisse-epargne.fr/download/431/resultats-fdc-pros/8234/20180430_resultats-fdc-pros.xlsx" TargetMode="External"/><Relationship Id="rId26" Type="http://schemas.openxmlformats.org/officeDocument/2006/relationships/hyperlink" Target="http://commerciaux.celca.caisse-epargne.fr/download/1357/helios-septembre-2028/8257/suivi-commercialisation-helios-septembre-2028.xlsx" TargetMode="External"/><Relationship Id="rId3" Type="http://schemas.openxmlformats.org/officeDocument/2006/relationships/styles" Target="styles.xml"/><Relationship Id="rId21" Type="http://schemas.openxmlformats.org/officeDocument/2006/relationships/hyperlink" Target="http://wnsgprw1.celca.caisse-epargne.fr/divers/communication/breves/une/2018/rgpd_celca.pdf" TargetMode="External"/><Relationship Id="rId7" Type="http://schemas.openxmlformats.org/officeDocument/2006/relationships/footnotes" Target="footnotes.xml"/><Relationship Id="rId12" Type="http://schemas.openxmlformats.org/officeDocument/2006/relationships/hyperlink" Target="http://commerciaux.celca.caisse-epargne.fr/download/1126/surveillance/7391/majorations-resilisations-auto-mrh-mai-rdc.xlsx" TargetMode="External"/><Relationship Id="rId17" Type="http://schemas.openxmlformats.org/officeDocument/2006/relationships/hyperlink" Target="http://commerciaux.celca.caisse-epargne.fr/particuliers/epargne-2/lea/" TargetMode="External"/><Relationship Id="rId25" Type="http://schemas.openxmlformats.org/officeDocument/2006/relationships/hyperlink" Target="http://commerciaux.celca.caisse-epargne.fr/download/1176/documents-hors-arbo-2/8258/suivi-commercialisation-eurocible-90-4.xlsx" TargetMode="External"/><Relationship Id="rId2" Type="http://schemas.openxmlformats.org/officeDocument/2006/relationships/numbering" Target="numbering.xml"/><Relationship Id="rId16" Type="http://schemas.openxmlformats.org/officeDocument/2006/relationships/hyperlink" Target="http://wnsgprw1.celca.caisse-epargne.fr/app/bci/INF/DMA_INF_N35_18.pdf" TargetMode="External"/><Relationship Id="rId20" Type="http://schemas.openxmlformats.org/officeDocument/2006/relationships/hyperlink" Target="http://wnsgprw1.celca.caisse-epargne.fr/app/bci/INF/DMA_INF_N_011_18.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329/lutte-anti-resiliation/8262/lutte-anti-resiliation.xlsx" TargetMode="External"/><Relationship Id="rId24" Type="http://schemas.openxmlformats.org/officeDocument/2006/relationships/hyperlink" Target="http://commerciaux.celca.caisse-epargne.fr/download/1176/documents-hors-arbo-2/8259/suivi-commercialisation-iris-8.xlsx" TargetMode="External"/><Relationship Id="rId5" Type="http://schemas.openxmlformats.org/officeDocument/2006/relationships/settings" Target="settings.xml"/><Relationship Id="rId15" Type="http://schemas.openxmlformats.org/officeDocument/2006/relationships/hyperlink" Target="http://commerciaux.celca.caisse-epargne.fr/download/1276/2018/7188/2018_02_15-hdj-remises-tarifaires-iard-portefeuille-virtuel.pptx" TargetMode="External"/><Relationship Id="rId23" Type="http://schemas.openxmlformats.org/officeDocument/2006/relationships/hyperlink" Target="http://commerciaux.celca.caisse-epargne.fr/download/1176/documents-hors-arbo-2/5429/delai-de-traitement-bdd-dircred-2017.xlsx" TargetMode="External"/><Relationship Id="rId28" Type="http://schemas.openxmlformats.org/officeDocument/2006/relationships/footer" Target="footer1.xml"/><Relationship Id="rId10" Type="http://schemas.openxmlformats.org/officeDocument/2006/relationships/hyperlink" Target="http://commerciaux.celca.caisse-epargne.fr/download/267/pel-en-non-respect/8260/pel-potentiellement-en-non-respect.xlsx" TargetMode="External"/><Relationship Id="rId19" Type="http://schemas.openxmlformats.org/officeDocument/2006/relationships/hyperlink" Target="https://cvc-front-itce.damdy.com/celca/secur-pass-ce-enrolement-video-3271.html" TargetMode="External"/><Relationship Id="rId4" Type="http://schemas.microsoft.com/office/2007/relationships/stylesWithEffects" Target="stylesWithEffects.xml"/><Relationship Id="rId9" Type="http://schemas.openxmlformats.org/officeDocument/2006/relationships/hyperlink" Target="http://commerciaux.celca.caisse-epargne.fr/download/1078/izivente-izicarte-oav/3541/fichier-izicartes-en-instance-3.xlsx" TargetMode="External"/><Relationship Id="rId14" Type="http://schemas.openxmlformats.org/officeDocument/2006/relationships/hyperlink" Target="http://commerciaux.celca.caisse-epargne.fr/global-bdd/communication-client/documents-reglementaires/rgpd/" TargetMode="External"/><Relationship Id="rId22" Type="http://schemas.openxmlformats.org/officeDocument/2006/relationships/hyperlink" Target="http://service-celca-moss.sigce.caisse-epargne.fr/sites/lca1/SiteDirectory/Obj_Quali/default.aspx" TargetMode="External"/><Relationship Id="rId27" Type="http://schemas.openxmlformats.org/officeDocument/2006/relationships/hyperlink" Target="http://commerciaux.celca.caisse-epargne.fr/global-bdd/pilotage/pilotage/" TargetMode="Externa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DCED1E-55EF-4FFC-B3C3-6A461F674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1</Pages>
  <Words>1915</Words>
  <Characters>10536</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12427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32</cp:revision>
  <dcterms:created xsi:type="dcterms:W3CDTF">2018-05-18T14:43:00Z</dcterms:created>
  <dcterms:modified xsi:type="dcterms:W3CDTF">2018-05-28T14:06:00Z</dcterms:modified>
</cp:coreProperties>
</file>