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F90648"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w:t>
            </w:r>
            <w:r>
              <w:rPr>
                <w:rFonts w:ascii="Times New Roman" w:hAnsi="Times New Roman" w:cs="Times New Roman"/>
                <w:b/>
                <w:sz w:val="32"/>
                <w:szCs w:val="40"/>
              </w:rPr>
              <w:t xml:space="preserve"> </w:t>
            </w:r>
            <w:r w:rsidR="00B6235F">
              <w:rPr>
                <w:rFonts w:ascii="Times New Roman" w:hAnsi="Times New Roman" w:cs="Times New Roman"/>
                <w:b/>
                <w:sz w:val="32"/>
                <w:szCs w:val="40"/>
              </w:rPr>
              <w:t>DES</w:t>
            </w:r>
            <w:r>
              <w:rPr>
                <w:rFonts w:ascii="Times New Roman" w:hAnsi="Times New Roman" w:cs="Times New Roman"/>
                <w:b/>
                <w:sz w:val="32"/>
                <w:szCs w:val="40"/>
              </w:rPr>
              <w:t xml:space="preserve"> </w:t>
            </w:r>
            <w:r w:rsidR="00B6235F">
              <w:rPr>
                <w:rFonts w:ascii="Times New Roman" w:hAnsi="Times New Roman" w:cs="Times New Roman"/>
                <w:b/>
                <w:sz w:val="32"/>
                <w:szCs w:val="40"/>
              </w:rPr>
              <w:t>ACTUALITES</w:t>
            </w:r>
            <w:r>
              <w:rPr>
                <w:rFonts w:ascii="Times New Roman" w:hAnsi="Times New Roman" w:cs="Times New Roman"/>
                <w:b/>
                <w:sz w:val="32"/>
                <w:szCs w:val="40"/>
              </w:rPr>
              <w:t xml:space="preserve"> </w:t>
            </w:r>
            <w:r w:rsidR="00BB7708">
              <w:rPr>
                <w:rFonts w:ascii="Times New Roman" w:hAnsi="Times New Roman" w:cs="Times New Roman"/>
                <w:b/>
                <w:sz w:val="32"/>
                <w:szCs w:val="40"/>
              </w:rPr>
              <w:t>2018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813B1A">
              <w:rPr>
                <w:rFonts w:ascii="Times New Roman" w:hAnsi="Times New Roman" w:cs="Times New Roman"/>
                <w:b/>
                <w:sz w:val="32"/>
                <w:szCs w:val="40"/>
              </w:rPr>
              <w:t>26</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813B1A">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A62E1D" w:rsidRPr="00E81F6E" w:rsidTr="005A2E7F">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F90648">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043BEF" w:rsidRPr="00E81F6E" w:rsidTr="00043BEF">
        <w:trPr>
          <w:trHeight w:val="208"/>
        </w:trPr>
        <w:tc>
          <w:tcPr>
            <w:tcW w:w="15735" w:type="dxa"/>
            <w:gridSpan w:val="3"/>
            <w:tcBorders>
              <w:bottom w:val="single" w:sz="4" w:space="0" w:color="auto"/>
            </w:tcBorders>
            <w:shd w:val="clear" w:color="auto" w:fill="BFBFBF" w:themeFill="background1" w:themeFillShade="BF"/>
          </w:tcPr>
          <w:p w:rsidR="00043BEF" w:rsidRPr="00043BEF" w:rsidRDefault="00040724" w:rsidP="00043BEF">
            <w:pPr>
              <w:contextualSpacing/>
              <w:jc w:val="center"/>
              <w:rPr>
                <w:rFonts w:ascii="Times New Roman" w:hAnsi="Times New Roman" w:cs="Times New Roman"/>
                <w:sz w:val="20"/>
                <w:szCs w:val="20"/>
              </w:rPr>
            </w:pPr>
            <w:r>
              <w:rPr>
                <w:rFonts w:ascii="Times New Roman" w:hAnsi="Times New Roman" w:cs="Times New Roman"/>
                <w:b/>
                <w:color w:val="000000"/>
                <w:sz w:val="20"/>
                <w:szCs w:val="20"/>
                <w:lang w:eastAsia="fr-FR"/>
              </w:rPr>
              <w:t>Bancarisation/IARD-Prévoyance</w:t>
            </w:r>
          </w:p>
        </w:tc>
      </w:tr>
      <w:tr w:rsidR="007969FE" w:rsidRPr="00E81F6E" w:rsidTr="00387224">
        <w:trPr>
          <w:trHeight w:val="511"/>
        </w:trPr>
        <w:tc>
          <w:tcPr>
            <w:tcW w:w="1560" w:type="dxa"/>
            <w:tcBorders>
              <w:bottom w:val="single" w:sz="4" w:space="0" w:color="auto"/>
            </w:tcBorders>
          </w:tcPr>
          <w:p w:rsidR="007969FE" w:rsidRPr="007969FE" w:rsidRDefault="007969FE">
            <w:pPr>
              <w:rPr>
                <w:rFonts w:ascii="Times New Roman" w:hAnsi="Times New Roman" w:cs="Times New Roman"/>
                <w:sz w:val="20"/>
                <w:szCs w:val="20"/>
                <w:lang w:eastAsia="fr-FR"/>
              </w:rPr>
            </w:pPr>
            <w:r w:rsidRPr="007969FE">
              <w:rPr>
                <w:rFonts w:ascii="Times New Roman" w:hAnsi="Times New Roman" w:cs="Times New Roman"/>
                <w:b/>
                <w:bCs/>
                <w:sz w:val="20"/>
                <w:szCs w:val="20"/>
              </w:rPr>
              <w:t>Com. DMA</w:t>
            </w:r>
          </w:p>
        </w:tc>
        <w:tc>
          <w:tcPr>
            <w:tcW w:w="1843" w:type="dxa"/>
            <w:tcBorders>
              <w:bottom w:val="single" w:sz="4" w:space="0" w:color="auto"/>
            </w:tcBorders>
          </w:tcPr>
          <w:p w:rsidR="007969FE" w:rsidRPr="007969FE" w:rsidRDefault="00AE4D25">
            <w:pPr>
              <w:rPr>
                <w:rFonts w:ascii="Times New Roman" w:hAnsi="Times New Roman" w:cs="Times New Roman"/>
                <w:b/>
                <w:bCs/>
                <w:sz w:val="20"/>
                <w:szCs w:val="20"/>
              </w:rPr>
            </w:pPr>
            <w:r w:rsidRPr="00AE4D25">
              <w:rPr>
                <w:rFonts w:ascii="Times New Roman" w:hAnsi="Times New Roman" w:cs="Times New Roman"/>
                <w:b/>
                <w:bCs/>
                <w:noProof/>
                <w:sz w:val="20"/>
                <w:szCs w:val="20"/>
                <w:lang w:eastAsia="fr-FR"/>
              </w:rPr>
              <w:drawing>
                <wp:anchor distT="0" distB="0" distL="114300" distR="114300" simplePos="0" relativeHeight="251658240" behindDoc="1" locked="0" layoutInCell="1" allowOverlap="1" wp14:anchorId="0B3F4DDD" wp14:editId="169ACFB6">
                  <wp:simplePos x="0" y="0"/>
                  <wp:positionH relativeFrom="column">
                    <wp:posOffset>271780</wp:posOffset>
                  </wp:positionH>
                  <wp:positionV relativeFrom="paragraph">
                    <wp:posOffset>386715</wp:posOffset>
                  </wp:positionV>
                  <wp:extent cx="416560" cy="421005"/>
                  <wp:effectExtent l="0" t="0" r="2540" b="0"/>
                  <wp:wrapTight wrapText="bothSides">
                    <wp:wrapPolygon edited="0">
                      <wp:start x="7902" y="0"/>
                      <wp:lineTo x="2963" y="977"/>
                      <wp:lineTo x="0" y="7819"/>
                      <wp:lineTo x="988" y="15638"/>
                      <wp:lineTo x="5927" y="20525"/>
                      <wp:lineTo x="6915" y="20525"/>
                      <wp:lineTo x="15805" y="20525"/>
                      <wp:lineTo x="20744" y="17593"/>
                      <wp:lineTo x="20744" y="1955"/>
                      <wp:lineTo x="15805" y="0"/>
                      <wp:lineTo x="7902" y="0"/>
                    </wp:wrapPolygon>
                  </wp:wrapTight>
                  <wp:docPr id="30"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 29"/>
                          <pic:cNvPicPr>
                            <a:picLocks noChangeAspect="1"/>
                          </pic:cNvPicPr>
                        </pic:nvPicPr>
                        <pic:blipFill rotWithShape="1">
                          <a:blip r:embed="rId9" cstate="print">
                            <a:extLst>
                              <a:ext uri="{28A0092B-C50C-407E-A947-70E740481C1C}">
                                <a14:useLocalDpi xmlns:a14="http://schemas.microsoft.com/office/drawing/2010/main" val="0"/>
                              </a:ext>
                            </a:extLst>
                          </a:blip>
                          <a:srcRect t="5833" r="10977" b="5722"/>
                          <a:stretch/>
                        </pic:blipFill>
                        <pic:spPr>
                          <a:xfrm>
                            <a:off x="0" y="0"/>
                            <a:ext cx="416560" cy="421005"/>
                          </a:xfrm>
                          <a:prstGeom prst="rect">
                            <a:avLst/>
                          </a:prstGeom>
                        </pic:spPr>
                      </pic:pic>
                    </a:graphicData>
                  </a:graphic>
                  <wp14:sizeRelH relativeFrom="page">
                    <wp14:pctWidth>0</wp14:pctWidth>
                  </wp14:sizeRelH>
                  <wp14:sizeRelV relativeFrom="page">
                    <wp14:pctHeight>0</wp14:pctHeight>
                  </wp14:sizeRelV>
                </wp:anchor>
              </w:drawing>
            </w:r>
            <w:r w:rsidR="00900F57">
              <w:rPr>
                <w:rFonts w:ascii="Times New Roman" w:hAnsi="Times New Roman" w:cs="Times New Roman"/>
                <w:b/>
                <w:bCs/>
                <w:sz w:val="20"/>
                <w:szCs w:val="20"/>
              </w:rPr>
              <w:t xml:space="preserve">Nouvelle offre 2 roues </w:t>
            </w:r>
          </w:p>
        </w:tc>
        <w:tc>
          <w:tcPr>
            <w:tcW w:w="12332" w:type="dxa"/>
            <w:tcBorders>
              <w:bottom w:val="single" w:sz="4" w:space="0" w:color="auto"/>
            </w:tcBorders>
            <w:shd w:val="clear" w:color="auto" w:fill="auto"/>
          </w:tcPr>
          <w:p w:rsidR="00900F57" w:rsidRPr="001D0EB4" w:rsidRDefault="00900F57" w:rsidP="00AE4D25">
            <w:pPr>
              <w:pStyle w:val="wordsection1"/>
              <w:numPr>
                <w:ilvl w:val="0"/>
                <w:numId w:val="37"/>
              </w:numPr>
              <w:spacing w:before="0" w:beforeAutospacing="0" w:after="0" w:afterAutospacing="0"/>
              <w:ind w:left="187" w:hanging="187"/>
              <w:jc w:val="both"/>
              <w:rPr>
                <w:b/>
                <w:sz w:val="20"/>
                <w:szCs w:val="20"/>
              </w:rPr>
            </w:pPr>
            <w:r w:rsidRPr="001D0EB4">
              <w:rPr>
                <w:b/>
                <w:sz w:val="20"/>
                <w:szCs w:val="20"/>
              </w:rPr>
              <w:t>Dans l’HDJ du 7 juin dernier</w:t>
            </w:r>
            <w:r w:rsidRPr="001D0EB4">
              <w:rPr>
                <w:sz w:val="20"/>
                <w:szCs w:val="20"/>
              </w:rPr>
              <w:t>,</w:t>
            </w:r>
            <w:r w:rsidRPr="001D0EB4">
              <w:rPr>
                <w:b/>
                <w:sz w:val="20"/>
                <w:szCs w:val="20"/>
              </w:rPr>
              <w:t xml:space="preserve"> nous vous annoncions la mise en marché de la nouvelle Offre 2 roues le 25 juin 2018. C’est parti !</w:t>
            </w:r>
          </w:p>
          <w:p w:rsidR="007969FE" w:rsidRPr="001D0EB4" w:rsidRDefault="00900F57" w:rsidP="00AE4D25">
            <w:pPr>
              <w:pStyle w:val="wordsection1"/>
              <w:numPr>
                <w:ilvl w:val="0"/>
                <w:numId w:val="37"/>
              </w:numPr>
              <w:spacing w:before="0" w:beforeAutospacing="0" w:after="0" w:afterAutospacing="0"/>
              <w:ind w:left="187" w:hanging="187"/>
              <w:jc w:val="both"/>
              <w:rPr>
                <w:sz w:val="20"/>
                <w:szCs w:val="20"/>
              </w:rPr>
            </w:pPr>
            <w:r w:rsidRPr="001D0EB4">
              <w:rPr>
                <w:sz w:val="20"/>
                <w:szCs w:val="20"/>
              </w:rPr>
              <w:t xml:space="preserve">Afin de démarrer sur les chapeaux de roue, voici </w:t>
            </w:r>
            <w:r w:rsidR="00601B35" w:rsidRPr="001D0EB4">
              <w:rPr>
                <w:sz w:val="20"/>
                <w:szCs w:val="20"/>
              </w:rPr>
              <w:t>les</w:t>
            </w:r>
            <w:r w:rsidRPr="001D0EB4">
              <w:rPr>
                <w:sz w:val="20"/>
                <w:szCs w:val="20"/>
              </w:rPr>
              <w:t xml:space="preserve"> éléments </w:t>
            </w:r>
            <w:r w:rsidR="00601B35" w:rsidRPr="001D0EB4">
              <w:rPr>
                <w:sz w:val="20"/>
                <w:szCs w:val="20"/>
              </w:rPr>
              <w:t xml:space="preserve">mis en œuvre </w:t>
            </w:r>
            <w:r w:rsidRPr="001D0EB4">
              <w:rPr>
                <w:sz w:val="20"/>
                <w:szCs w:val="20"/>
              </w:rPr>
              <w:t>pour vous accompagner dans cette mise en marché :</w:t>
            </w:r>
          </w:p>
          <w:p w:rsidR="00E914AB" w:rsidRPr="001D0EB4" w:rsidRDefault="00CA61B3" w:rsidP="00AE4D25">
            <w:pPr>
              <w:pStyle w:val="wordsection1"/>
              <w:numPr>
                <w:ilvl w:val="1"/>
                <w:numId w:val="37"/>
              </w:numPr>
              <w:ind w:left="742" w:hanging="283"/>
              <w:jc w:val="both"/>
              <w:rPr>
                <w:sz w:val="20"/>
                <w:szCs w:val="20"/>
              </w:rPr>
            </w:pPr>
            <w:r w:rsidRPr="001D0EB4">
              <w:rPr>
                <w:bCs/>
                <w:sz w:val="20"/>
                <w:szCs w:val="20"/>
              </w:rPr>
              <w:t xml:space="preserve">La vidéo de lancement </w:t>
            </w:r>
            <w:r w:rsidRPr="001D0EB4">
              <w:rPr>
                <w:sz w:val="20"/>
                <w:szCs w:val="20"/>
              </w:rPr>
              <w:t xml:space="preserve">: </w:t>
            </w:r>
            <w:hyperlink r:id="rId10" w:history="1">
              <w:r w:rsidRPr="001D0EB4">
                <w:rPr>
                  <w:rStyle w:val="Lienhypertexte"/>
                  <w:sz w:val="20"/>
                  <w:szCs w:val="20"/>
                </w:rPr>
                <w:t>CLIC ICI</w:t>
              </w:r>
            </w:hyperlink>
          </w:p>
          <w:p w:rsidR="00900F57" w:rsidRPr="001D0EB4" w:rsidRDefault="00601B35" w:rsidP="00AE4D25">
            <w:pPr>
              <w:pStyle w:val="wordsection1"/>
              <w:numPr>
                <w:ilvl w:val="1"/>
                <w:numId w:val="37"/>
              </w:numPr>
              <w:spacing w:before="0" w:beforeAutospacing="0" w:after="0" w:afterAutospacing="0"/>
              <w:ind w:left="742" w:hanging="283"/>
              <w:jc w:val="both"/>
              <w:rPr>
                <w:sz w:val="20"/>
                <w:szCs w:val="20"/>
              </w:rPr>
            </w:pPr>
            <w:r w:rsidRPr="001D0EB4">
              <w:rPr>
                <w:sz w:val="20"/>
                <w:szCs w:val="20"/>
              </w:rPr>
              <w:t>Le dispositif de communication : des affiches et des dépliants agence, des bannières et vignettes Internet</w:t>
            </w:r>
          </w:p>
          <w:p w:rsidR="00601B35" w:rsidRPr="001D0EB4" w:rsidRDefault="00601B35" w:rsidP="00AE4D25">
            <w:pPr>
              <w:pStyle w:val="wordsection1"/>
              <w:numPr>
                <w:ilvl w:val="1"/>
                <w:numId w:val="37"/>
              </w:numPr>
              <w:spacing w:before="0" w:beforeAutospacing="0" w:after="0" w:afterAutospacing="0"/>
              <w:ind w:left="742" w:hanging="283"/>
              <w:jc w:val="both"/>
              <w:rPr>
                <w:sz w:val="20"/>
                <w:szCs w:val="20"/>
              </w:rPr>
            </w:pPr>
            <w:r w:rsidRPr="001D0EB4">
              <w:rPr>
                <w:sz w:val="20"/>
                <w:szCs w:val="20"/>
              </w:rPr>
              <w:t>Un accélérateur client : une carte cadeau d’une valeur de 300€ sera offerte aux 20 premières souscriptions d’un contrat Assurance 2 roues.</w:t>
            </w:r>
          </w:p>
          <w:p w:rsidR="00601B35" w:rsidRPr="001D0EB4" w:rsidRDefault="005C1E6B" w:rsidP="00AE4D25">
            <w:pPr>
              <w:pStyle w:val="wordsection1"/>
              <w:numPr>
                <w:ilvl w:val="1"/>
                <w:numId w:val="37"/>
              </w:numPr>
              <w:spacing w:before="0" w:beforeAutospacing="0" w:after="0" w:afterAutospacing="0"/>
              <w:ind w:left="742" w:hanging="283"/>
              <w:jc w:val="both"/>
              <w:rPr>
                <w:sz w:val="20"/>
                <w:szCs w:val="20"/>
              </w:rPr>
            </w:pPr>
            <w:r w:rsidRPr="001D0EB4">
              <w:rPr>
                <w:sz w:val="20"/>
                <w:szCs w:val="20"/>
              </w:rPr>
              <w:t>Des animations agence avec une boîte métal en forme de cube aux couleurs du 2 roues et un concours photo entre agences</w:t>
            </w:r>
            <w:r w:rsidR="00AE4D25" w:rsidRPr="001D0EB4">
              <w:rPr>
                <w:sz w:val="20"/>
                <w:szCs w:val="20"/>
              </w:rPr>
              <w:t>.</w:t>
            </w:r>
          </w:p>
          <w:p w:rsidR="00AE4D25" w:rsidRPr="001D0EB4" w:rsidRDefault="00D479DB" w:rsidP="00AE4D25">
            <w:pPr>
              <w:pStyle w:val="wordsection1"/>
              <w:numPr>
                <w:ilvl w:val="0"/>
                <w:numId w:val="37"/>
              </w:numPr>
              <w:spacing w:before="0" w:beforeAutospacing="0" w:after="0" w:afterAutospacing="0"/>
              <w:ind w:left="187" w:hanging="187"/>
              <w:jc w:val="both"/>
              <w:rPr>
                <w:b/>
                <w:sz w:val="20"/>
                <w:szCs w:val="20"/>
              </w:rPr>
            </w:pPr>
            <w:hyperlink r:id="rId11" w:history="1">
              <w:r w:rsidR="00AE4D25" w:rsidRPr="001D0EB4">
                <w:rPr>
                  <w:rStyle w:val="Lienhypertexte"/>
                  <w:b/>
                  <w:sz w:val="20"/>
                  <w:szCs w:val="20"/>
                </w:rPr>
                <w:t>Cliquez ici</w:t>
              </w:r>
            </w:hyperlink>
            <w:r w:rsidR="00AE4D25" w:rsidRPr="001D0EB4">
              <w:rPr>
                <w:b/>
                <w:sz w:val="20"/>
                <w:szCs w:val="20"/>
              </w:rPr>
              <w:t xml:space="preserve"> pour retrouver l’Heure du Jeudi du 7 juin dernier. </w:t>
            </w:r>
          </w:p>
        </w:tc>
      </w:tr>
      <w:tr w:rsidR="001D0EB4" w:rsidRPr="00E81F6E" w:rsidTr="00387224">
        <w:trPr>
          <w:trHeight w:val="511"/>
        </w:trPr>
        <w:tc>
          <w:tcPr>
            <w:tcW w:w="1560" w:type="dxa"/>
            <w:tcBorders>
              <w:bottom w:val="single" w:sz="4" w:space="0" w:color="auto"/>
            </w:tcBorders>
          </w:tcPr>
          <w:p w:rsidR="001D0EB4" w:rsidRPr="003759F5" w:rsidRDefault="001D0EB4">
            <w:pPr>
              <w:rPr>
                <w:rFonts w:ascii="Times New Roman" w:hAnsi="Times New Roman" w:cs="Times New Roman"/>
                <w:b/>
                <w:bCs/>
                <w:color w:val="000000"/>
                <w:sz w:val="20"/>
                <w:szCs w:val="20"/>
              </w:rPr>
            </w:pPr>
            <w:r w:rsidRPr="003759F5">
              <w:rPr>
                <w:rFonts w:ascii="Times New Roman" w:hAnsi="Times New Roman" w:cs="Times New Roman"/>
                <w:b/>
                <w:bCs/>
                <w:color w:val="000000"/>
                <w:sz w:val="20"/>
                <w:szCs w:val="20"/>
              </w:rPr>
              <w:t>Com. DMA</w:t>
            </w:r>
          </w:p>
        </w:tc>
        <w:tc>
          <w:tcPr>
            <w:tcW w:w="1843" w:type="dxa"/>
            <w:tcBorders>
              <w:bottom w:val="single" w:sz="4" w:space="0" w:color="auto"/>
            </w:tcBorders>
          </w:tcPr>
          <w:p w:rsidR="001D0EB4" w:rsidRDefault="001D0EB4">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 xml:space="preserve">Campagne Jeunes – jeu concours </w:t>
            </w:r>
          </w:p>
        </w:tc>
        <w:tc>
          <w:tcPr>
            <w:tcW w:w="12332" w:type="dxa"/>
            <w:tcBorders>
              <w:bottom w:val="single" w:sz="4" w:space="0" w:color="auto"/>
            </w:tcBorders>
            <w:shd w:val="clear" w:color="auto" w:fill="auto"/>
          </w:tcPr>
          <w:p w:rsidR="001D0EB4" w:rsidRPr="001D0EB4" w:rsidRDefault="001D0EB4" w:rsidP="001D0EB4">
            <w:pPr>
              <w:pStyle w:val="wordsection1"/>
              <w:numPr>
                <w:ilvl w:val="0"/>
                <w:numId w:val="37"/>
              </w:numPr>
              <w:spacing w:before="0" w:beforeAutospacing="0" w:after="0" w:afterAutospacing="0"/>
              <w:ind w:left="187" w:hanging="187"/>
              <w:jc w:val="both"/>
              <w:rPr>
                <w:sz w:val="20"/>
                <w:szCs w:val="20"/>
                <w:lang w:eastAsia="en-US"/>
              </w:rPr>
            </w:pPr>
            <w:r w:rsidRPr="001D0EB4">
              <w:rPr>
                <w:b/>
                <w:sz w:val="20"/>
                <w:szCs w:val="20"/>
              </w:rPr>
              <w:t>Un GRAND JEU « Etre dans le coup, ça n’a pas de coût » est mis en place du 25 juin au 30 septembre 2018.</w:t>
            </w:r>
            <w:r w:rsidRPr="001D0EB4">
              <w:rPr>
                <w:sz w:val="20"/>
                <w:szCs w:val="20"/>
              </w:rPr>
              <w:t xml:space="preserve"> Ce dernier va permettre à nos clients de gagner 1 MacBook d’une valeur de 1100€ et 50x100€ en chèques-cadeaux. Valeur totale des gains : 6 100€ !!</w:t>
            </w:r>
          </w:p>
          <w:p w:rsidR="001D0EB4" w:rsidRPr="001D0EB4" w:rsidRDefault="001D0EB4" w:rsidP="001D0EB4">
            <w:pPr>
              <w:pStyle w:val="wordsection1"/>
              <w:numPr>
                <w:ilvl w:val="0"/>
                <w:numId w:val="37"/>
              </w:numPr>
              <w:spacing w:before="0" w:beforeAutospacing="0" w:after="0" w:afterAutospacing="0"/>
              <w:ind w:left="187" w:hanging="187"/>
              <w:jc w:val="both"/>
              <w:rPr>
                <w:sz w:val="20"/>
                <w:szCs w:val="20"/>
              </w:rPr>
            </w:pPr>
            <w:r w:rsidRPr="001D0EB4">
              <w:rPr>
                <w:sz w:val="20"/>
                <w:szCs w:val="20"/>
              </w:rPr>
              <w:t xml:space="preserve">Il est possible de participer de 2 manières : </w:t>
            </w:r>
          </w:p>
          <w:p w:rsidR="001D0EB4" w:rsidRPr="001D0EB4" w:rsidRDefault="001D0EB4" w:rsidP="001D0EB4">
            <w:pPr>
              <w:pStyle w:val="wordsection1"/>
              <w:numPr>
                <w:ilvl w:val="1"/>
                <w:numId w:val="37"/>
              </w:numPr>
              <w:ind w:left="742" w:hanging="283"/>
              <w:jc w:val="both"/>
              <w:rPr>
                <w:sz w:val="20"/>
                <w:szCs w:val="20"/>
              </w:rPr>
            </w:pPr>
            <w:r w:rsidRPr="001D0EB4">
              <w:rPr>
                <w:sz w:val="20"/>
                <w:szCs w:val="20"/>
              </w:rPr>
              <w:t>Remplir le bulletin de jeu et le glisser dans l’Urne qui sera mise prochainement à disposition dans chaque Agence.</w:t>
            </w:r>
          </w:p>
          <w:p w:rsidR="001D0EB4" w:rsidRPr="001D0EB4" w:rsidRDefault="001D0EB4" w:rsidP="001D0EB4">
            <w:pPr>
              <w:pStyle w:val="wordsection1"/>
              <w:numPr>
                <w:ilvl w:val="1"/>
                <w:numId w:val="37"/>
              </w:numPr>
              <w:ind w:left="742" w:hanging="283"/>
              <w:jc w:val="both"/>
              <w:rPr>
                <w:sz w:val="20"/>
                <w:szCs w:val="20"/>
              </w:rPr>
            </w:pPr>
            <w:r w:rsidRPr="001D0EB4">
              <w:rPr>
                <w:sz w:val="20"/>
                <w:szCs w:val="20"/>
              </w:rPr>
              <w:t>Remplir le questionnaire en ligne sur la page Internet dédiée au jeu (disponible courant de la semaine 26).</w:t>
            </w:r>
          </w:p>
          <w:p w:rsidR="001D0EB4" w:rsidRPr="001D0EB4" w:rsidRDefault="001D0EB4" w:rsidP="001D0EB4">
            <w:pPr>
              <w:pStyle w:val="wordsection1"/>
              <w:numPr>
                <w:ilvl w:val="0"/>
                <w:numId w:val="37"/>
              </w:numPr>
              <w:spacing w:before="0" w:beforeAutospacing="0" w:after="0" w:afterAutospacing="0"/>
              <w:ind w:left="187" w:hanging="187"/>
              <w:jc w:val="both"/>
              <w:rPr>
                <w:sz w:val="20"/>
                <w:szCs w:val="20"/>
              </w:rPr>
            </w:pPr>
            <w:r w:rsidRPr="001D0EB4">
              <w:rPr>
                <w:sz w:val="20"/>
                <w:szCs w:val="20"/>
              </w:rPr>
              <w:t>Le jeu sera relayé en display (publicité digitale), sur Leboncoin et sur Instagram. Alliant supports papiers et numériques, nos clients et prospects ne manqueront pas d’entendre parler de la Caisse d’Epargne cet été !</w:t>
            </w:r>
          </w:p>
          <w:p w:rsidR="001D0EB4" w:rsidRPr="001D0EB4" w:rsidRDefault="001D0EB4" w:rsidP="001D0EB4">
            <w:pPr>
              <w:pStyle w:val="wordsection1"/>
              <w:numPr>
                <w:ilvl w:val="0"/>
                <w:numId w:val="37"/>
              </w:numPr>
              <w:spacing w:before="0" w:beforeAutospacing="0" w:after="0" w:afterAutospacing="0"/>
              <w:ind w:left="187" w:hanging="187"/>
              <w:jc w:val="both"/>
              <w:rPr>
                <w:sz w:val="20"/>
                <w:szCs w:val="20"/>
                <w:lang w:eastAsia="en-US"/>
              </w:rPr>
            </w:pPr>
            <w:r w:rsidRPr="001D0EB4">
              <w:rPr>
                <w:sz w:val="20"/>
                <w:szCs w:val="20"/>
              </w:rPr>
              <w:t xml:space="preserve">Afin de désigner les gagnants, un tirage au sort sera effectué le 12 octobre. A la fin du jeu, merci de retourner les bulletins à : Direction Marketing &amp; Animation – Service Communication </w:t>
            </w:r>
            <w:r>
              <w:rPr>
                <w:sz w:val="20"/>
                <w:szCs w:val="20"/>
              </w:rPr>
              <w:t>Multicanale.</w:t>
            </w:r>
          </w:p>
        </w:tc>
      </w:tr>
      <w:tr w:rsidR="004824B8" w:rsidRPr="00E81F6E" w:rsidTr="00681565">
        <w:trPr>
          <w:trHeight w:val="248"/>
        </w:trPr>
        <w:tc>
          <w:tcPr>
            <w:tcW w:w="15735" w:type="dxa"/>
            <w:gridSpan w:val="3"/>
            <w:tcBorders>
              <w:bottom w:val="single" w:sz="4" w:space="0" w:color="auto"/>
            </w:tcBorders>
            <w:shd w:val="pct20" w:color="auto" w:fill="auto"/>
          </w:tcPr>
          <w:p w:rsidR="004824B8" w:rsidRPr="00AF3BE3" w:rsidRDefault="004824B8" w:rsidP="00681565">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7F1C12" w:rsidRPr="00E81F6E" w:rsidTr="005639F4">
        <w:trPr>
          <w:trHeight w:val="285"/>
        </w:trPr>
        <w:tc>
          <w:tcPr>
            <w:tcW w:w="1560" w:type="dxa"/>
            <w:tcBorders>
              <w:bottom w:val="single" w:sz="4" w:space="0" w:color="auto"/>
            </w:tcBorders>
          </w:tcPr>
          <w:p w:rsidR="007F1C12" w:rsidRDefault="007F1C12">
            <w:r w:rsidRPr="0057062D">
              <w:rPr>
                <w:rFonts w:ascii="Times New Roman" w:hAnsi="Times New Roman" w:cs="Times New Roman"/>
                <w:b/>
                <w:bCs/>
                <w:color w:val="000000"/>
                <w:sz w:val="20"/>
                <w:szCs w:val="20"/>
              </w:rPr>
              <w:t>Com. DMA</w:t>
            </w:r>
          </w:p>
        </w:tc>
        <w:tc>
          <w:tcPr>
            <w:tcW w:w="1843" w:type="dxa"/>
            <w:tcBorders>
              <w:bottom w:val="single" w:sz="4" w:space="0" w:color="auto"/>
            </w:tcBorders>
          </w:tcPr>
          <w:p w:rsidR="007F1C12" w:rsidRDefault="007F1C12" w:rsidP="00E013E5">
            <w:pPr>
              <w:pStyle w:val="wordsection1"/>
              <w:spacing w:before="0" w:beforeAutospacing="0" w:after="0" w:afterAutospacing="0"/>
              <w:rPr>
                <w:b/>
                <w:bCs/>
                <w:sz w:val="20"/>
                <w:szCs w:val="20"/>
              </w:rPr>
            </w:pPr>
            <w:r>
              <w:rPr>
                <w:b/>
                <w:bCs/>
                <w:sz w:val="20"/>
                <w:szCs w:val="20"/>
              </w:rPr>
              <w:t>Arrêt commercialisation SCPI PIERRE PLUS</w:t>
            </w:r>
          </w:p>
        </w:tc>
        <w:tc>
          <w:tcPr>
            <w:tcW w:w="12332" w:type="dxa"/>
            <w:tcBorders>
              <w:bottom w:val="single" w:sz="4" w:space="0" w:color="auto"/>
            </w:tcBorders>
            <w:shd w:val="clear" w:color="auto" w:fill="auto"/>
          </w:tcPr>
          <w:p w:rsidR="007F1C12" w:rsidRDefault="007F1C12" w:rsidP="00E013E5">
            <w:pPr>
              <w:pStyle w:val="wordsection1"/>
              <w:numPr>
                <w:ilvl w:val="0"/>
                <w:numId w:val="45"/>
              </w:numPr>
              <w:spacing w:before="0" w:beforeAutospacing="0" w:after="0" w:afterAutospacing="0"/>
              <w:ind w:left="187" w:hanging="187"/>
              <w:jc w:val="both"/>
              <w:rPr>
                <w:color w:val="000000"/>
                <w:sz w:val="20"/>
                <w:szCs w:val="20"/>
                <w:lang w:eastAsia="en-US"/>
              </w:rPr>
            </w:pPr>
            <w:r>
              <w:rPr>
                <w:color w:val="000000"/>
                <w:sz w:val="20"/>
                <w:szCs w:val="20"/>
                <w:lang w:eastAsia="en-US"/>
              </w:rPr>
              <w:t>Le contingent de SCPI Pierre Plus est consommé. Nous vous demandons ce jour d’arrêter la commercialisation de la SCPI Pierre Plus.</w:t>
            </w:r>
          </w:p>
          <w:p w:rsidR="007F1C12" w:rsidRDefault="007F1C12" w:rsidP="00E013E5">
            <w:pPr>
              <w:pStyle w:val="wordsection1"/>
              <w:numPr>
                <w:ilvl w:val="0"/>
                <w:numId w:val="45"/>
              </w:numPr>
              <w:spacing w:before="0" w:beforeAutospacing="0" w:after="0" w:afterAutospacing="0"/>
              <w:ind w:left="187" w:hanging="187"/>
              <w:jc w:val="both"/>
              <w:rPr>
                <w:sz w:val="20"/>
                <w:szCs w:val="20"/>
              </w:rPr>
            </w:pPr>
            <w:r>
              <w:rPr>
                <w:color w:val="000000"/>
                <w:sz w:val="20"/>
                <w:szCs w:val="20"/>
                <w:lang w:eastAsia="en-US"/>
              </w:rPr>
              <w:t>Nous vous invitons à reporter les souscriptions prévues sur la SCPI Actipierre Europe (enveloppe disponible : 437 K€) et la SCPI Laffitte Pierre</w:t>
            </w:r>
            <w:r w:rsidR="003D2F43">
              <w:rPr>
                <w:color w:val="000000"/>
                <w:sz w:val="20"/>
                <w:szCs w:val="20"/>
                <w:lang w:eastAsia="en-US"/>
              </w:rPr>
              <w:t xml:space="preserve"> </w:t>
            </w:r>
            <w:r>
              <w:rPr>
                <w:color w:val="000000"/>
                <w:sz w:val="20"/>
                <w:szCs w:val="20"/>
                <w:lang w:eastAsia="en-US"/>
              </w:rPr>
              <w:t xml:space="preserve">(enveloppe disponible : 1 061K€, fin de commercialisation au 31/07). Retrouvez plus d’informations dans les notes </w:t>
            </w:r>
            <w:r>
              <w:rPr>
                <w:b/>
                <w:bCs/>
                <w:color w:val="000000"/>
                <w:sz w:val="20"/>
                <w:szCs w:val="20"/>
              </w:rPr>
              <w:t xml:space="preserve">DMA-INF/18.006 </w:t>
            </w:r>
            <w:hyperlink r:id="rId12" w:history="1">
              <w:r>
                <w:rPr>
                  <w:rStyle w:val="Lienhypertexte"/>
                  <w:b/>
                  <w:bCs/>
                  <w:sz w:val="20"/>
                  <w:szCs w:val="20"/>
                </w:rPr>
                <w:t>SCPI Actipierre Europe</w:t>
              </w:r>
            </w:hyperlink>
            <w:r>
              <w:rPr>
                <w:b/>
                <w:bCs/>
                <w:color w:val="000000"/>
                <w:sz w:val="20"/>
                <w:szCs w:val="20"/>
              </w:rPr>
              <w:t xml:space="preserve"> et DMA-INF/18.020 </w:t>
            </w:r>
            <w:hyperlink r:id="rId13" w:history="1">
              <w:r>
                <w:rPr>
                  <w:rStyle w:val="Lienhypertexte"/>
                  <w:b/>
                  <w:bCs/>
                  <w:sz w:val="20"/>
                  <w:szCs w:val="20"/>
                </w:rPr>
                <w:t>SCPI Laffitte Pierre</w:t>
              </w:r>
            </w:hyperlink>
          </w:p>
        </w:tc>
      </w:tr>
      <w:tr w:rsidR="007F1C12" w:rsidRPr="00E81F6E" w:rsidTr="00E013E5">
        <w:trPr>
          <w:trHeight w:val="416"/>
        </w:trPr>
        <w:tc>
          <w:tcPr>
            <w:tcW w:w="1560" w:type="dxa"/>
            <w:tcBorders>
              <w:bottom w:val="single" w:sz="4" w:space="0" w:color="auto"/>
            </w:tcBorders>
          </w:tcPr>
          <w:p w:rsidR="007F1C12" w:rsidRDefault="007F1C12">
            <w:r w:rsidRPr="00E52D96">
              <w:rPr>
                <w:rFonts w:ascii="Times New Roman" w:hAnsi="Times New Roman" w:cs="Times New Roman"/>
                <w:b/>
                <w:bCs/>
                <w:color w:val="000000"/>
                <w:sz w:val="20"/>
                <w:szCs w:val="20"/>
              </w:rPr>
              <w:t>Com. DMA</w:t>
            </w:r>
          </w:p>
        </w:tc>
        <w:tc>
          <w:tcPr>
            <w:tcW w:w="1843" w:type="dxa"/>
            <w:tcBorders>
              <w:bottom w:val="single" w:sz="4" w:space="0" w:color="auto"/>
            </w:tcBorders>
          </w:tcPr>
          <w:p w:rsidR="007F1C12" w:rsidRDefault="007F1C12" w:rsidP="00E013E5">
            <w:pPr>
              <w:pStyle w:val="wordsection1"/>
              <w:spacing w:before="0" w:beforeAutospacing="0" w:after="0" w:afterAutospacing="0"/>
              <w:rPr>
                <w:b/>
                <w:bCs/>
                <w:sz w:val="20"/>
                <w:szCs w:val="20"/>
              </w:rPr>
            </w:pPr>
            <w:r>
              <w:rPr>
                <w:b/>
                <w:bCs/>
                <w:sz w:val="20"/>
                <w:szCs w:val="20"/>
              </w:rPr>
              <w:t>Echéance EUROCIBLE 3</w:t>
            </w:r>
          </w:p>
        </w:tc>
        <w:tc>
          <w:tcPr>
            <w:tcW w:w="12332" w:type="dxa"/>
            <w:tcBorders>
              <w:bottom w:val="single" w:sz="4" w:space="0" w:color="auto"/>
            </w:tcBorders>
            <w:shd w:val="clear" w:color="auto" w:fill="auto"/>
          </w:tcPr>
          <w:p w:rsidR="007F1C12" w:rsidRDefault="007F1C12" w:rsidP="00E013E5">
            <w:pPr>
              <w:pStyle w:val="wordsection1"/>
              <w:numPr>
                <w:ilvl w:val="0"/>
                <w:numId w:val="45"/>
              </w:numPr>
              <w:spacing w:before="0" w:beforeAutospacing="0" w:after="0" w:afterAutospacing="0"/>
              <w:ind w:left="187" w:hanging="187"/>
              <w:jc w:val="both"/>
              <w:rPr>
                <w:color w:val="000000"/>
                <w:sz w:val="20"/>
                <w:szCs w:val="20"/>
                <w:lang w:eastAsia="en-US"/>
              </w:rPr>
            </w:pPr>
            <w:r>
              <w:rPr>
                <w:color w:val="000000"/>
                <w:sz w:val="20"/>
                <w:szCs w:val="20"/>
                <w:lang w:eastAsia="en-US"/>
              </w:rPr>
              <w:t>Le FCP EUROCIBLE 3 commercialisé en février 2016 est arrivé à échéance anticipée le 21 juin 2018 pour un encours de 8 563 K€.</w:t>
            </w:r>
          </w:p>
          <w:p w:rsidR="007F1C12" w:rsidRDefault="007F1C12" w:rsidP="00E013E5">
            <w:pPr>
              <w:pStyle w:val="wordsection1"/>
              <w:numPr>
                <w:ilvl w:val="0"/>
                <w:numId w:val="45"/>
              </w:numPr>
              <w:spacing w:before="0" w:beforeAutospacing="0" w:after="0" w:afterAutospacing="0"/>
              <w:ind w:left="187" w:hanging="187"/>
              <w:jc w:val="both"/>
              <w:rPr>
                <w:color w:val="000000"/>
                <w:sz w:val="20"/>
                <w:szCs w:val="20"/>
                <w:lang w:eastAsia="en-US"/>
              </w:rPr>
            </w:pPr>
            <w:r>
              <w:rPr>
                <w:color w:val="000000"/>
                <w:sz w:val="20"/>
                <w:szCs w:val="20"/>
                <w:lang w:eastAsia="en-US"/>
              </w:rPr>
              <w:t>Une bonne nouvelle pour nos 610 clients détenteurs qui bénéficieront de 100% du capital initial majoré de 14% (hors frais d’entrée) soit un rendement annualisé de 6,72%</w:t>
            </w:r>
            <w:r w:rsidR="003D2F43">
              <w:rPr>
                <w:color w:val="000000"/>
                <w:sz w:val="20"/>
                <w:szCs w:val="20"/>
                <w:lang w:eastAsia="en-US"/>
              </w:rPr>
              <w:t>!</w:t>
            </w:r>
          </w:p>
          <w:p w:rsidR="007F1C12" w:rsidRDefault="007F1C12" w:rsidP="00E013E5">
            <w:pPr>
              <w:pStyle w:val="wordsection1"/>
              <w:numPr>
                <w:ilvl w:val="0"/>
                <w:numId w:val="45"/>
              </w:numPr>
              <w:spacing w:before="0" w:beforeAutospacing="0" w:after="0" w:afterAutospacing="0"/>
              <w:ind w:left="187" w:hanging="187"/>
              <w:jc w:val="both"/>
              <w:rPr>
                <w:color w:val="000000"/>
                <w:sz w:val="20"/>
                <w:szCs w:val="20"/>
                <w:lang w:eastAsia="en-US"/>
              </w:rPr>
            </w:pPr>
            <w:r>
              <w:rPr>
                <w:color w:val="000000"/>
                <w:sz w:val="20"/>
                <w:szCs w:val="20"/>
                <w:lang w:eastAsia="en-US"/>
              </w:rPr>
              <w:t xml:space="preserve">Un courrier d’information sera envoyé à l’attention des clients détenteurs afin de les informer de cette sortie anticipée et la liste des clients détenteurs du fonds est mise à votre disposition dans la rubrique des commerciaux en cliquant </w:t>
            </w:r>
            <w:hyperlink r:id="rId14" w:history="1">
              <w:r>
                <w:rPr>
                  <w:rStyle w:val="Lienhypertexte"/>
                  <w:sz w:val="20"/>
                  <w:szCs w:val="20"/>
                  <w:lang w:eastAsia="en-US"/>
                </w:rPr>
                <w:t>ici</w:t>
              </w:r>
            </w:hyperlink>
            <w:r>
              <w:rPr>
                <w:color w:val="000000"/>
                <w:sz w:val="20"/>
                <w:szCs w:val="20"/>
                <w:lang w:eastAsia="en-US"/>
              </w:rPr>
              <w:t>.</w:t>
            </w:r>
          </w:p>
          <w:p w:rsidR="007F1C12" w:rsidRDefault="007F1C12" w:rsidP="00E013E5">
            <w:pPr>
              <w:pStyle w:val="wordsection1"/>
              <w:numPr>
                <w:ilvl w:val="0"/>
                <w:numId w:val="45"/>
              </w:numPr>
              <w:spacing w:before="0" w:beforeAutospacing="0" w:after="0" w:afterAutospacing="0"/>
              <w:ind w:left="187" w:hanging="187"/>
              <w:jc w:val="both"/>
              <w:rPr>
                <w:color w:val="000000"/>
                <w:sz w:val="20"/>
                <w:szCs w:val="20"/>
                <w:lang w:eastAsia="en-US"/>
              </w:rPr>
            </w:pPr>
            <w:r>
              <w:rPr>
                <w:color w:val="000000"/>
                <w:sz w:val="20"/>
                <w:szCs w:val="20"/>
                <w:lang w:eastAsia="en-US"/>
              </w:rPr>
              <w:t>Pour les contrats d’assurance vie concernés par l’arrivée à échéance du FCP EUROCIBLE 3, le recyclage des fonds sera accessible à partir du 02/07/2018.</w:t>
            </w:r>
          </w:p>
          <w:p w:rsidR="007F1C12" w:rsidRDefault="007F1C12" w:rsidP="00E013E5">
            <w:pPr>
              <w:pStyle w:val="wordsection1"/>
              <w:numPr>
                <w:ilvl w:val="0"/>
                <w:numId w:val="45"/>
              </w:numPr>
              <w:spacing w:before="0" w:beforeAutospacing="0" w:after="0" w:afterAutospacing="0"/>
              <w:ind w:left="187" w:hanging="187"/>
              <w:jc w:val="both"/>
              <w:rPr>
                <w:color w:val="1F497D"/>
                <w:sz w:val="20"/>
                <w:szCs w:val="20"/>
                <w:lang w:eastAsia="en-US"/>
              </w:rPr>
            </w:pPr>
            <w:r>
              <w:rPr>
                <w:color w:val="000000"/>
                <w:sz w:val="20"/>
                <w:szCs w:val="20"/>
                <w:lang w:eastAsia="en-US"/>
              </w:rPr>
              <w:t>Au 22/06/2018, le fonds EUROCIBLE 3 sera transformé en EUROCIBLE 3 Réserve, cette opération sera automatique, sans frais et sans incidence fiscale. Le 21/09/2018 : « EUROCIBLE 3 Réserve » sera absorbé par le FCP « Ecureuil Relais PEA 2 ».</w:t>
            </w:r>
          </w:p>
        </w:tc>
      </w:tr>
      <w:tr w:rsidR="007F1C12" w:rsidRPr="00E81F6E" w:rsidTr="005639F4">
        <w:trPr>
          <w:trHeight w:val="285"/>
        </w:trPr>
        <w:tc>
          <w:tcPr>
            <w:tcW w:w="1560" w:type="dxa"/>
            <w:tcBorders>
              <w:bottom w:val="single" w:sz="4" w:space="0" w:color="auto"/>
            </w:tcBorders>
          </w:tcPr>
          <w:p w:rsidR="007F1C12" w:rsidRDefault="007F1C12">
            <w:r w:rsidRPr="00E52D96">
              <w:rPr>
                <w:rFonts w:ascii="Times New Roman" w:hAnsi="Times New Roman" w:cs="Times New Roman"/>
                <w:b/>
                <w:bCs/>
                <w:color w:val="000000"/>
                <w:sz w:val="20"/>
                <w:szCs w:val="20"/>
              </w:rPr>
              <w:t>Com. DMA</w:t>
            </w:r>
          </w:p>
        </w:tc>
        <w:tc>
          <w:tcPr>
            <w:tcW w:w="1843" w:type="dxa"/>
            <w:tcBorders>
              <w:bottom w:val="single" w:sz="4" w:space="0" w:color="auto"/>
            </w:tcBorders>
          </w:tcPr>
          <w:p w:rsidR="007F1C12" w:rsidRDefault="007F1C12" w:rsidP="00E013E5">
            <w:pPr>
              <w:pStyle w:val="wordsection1"/>
              <w:spacing w:before="0" w:beforeAutospacing="0" w:after="0" w:afterAutospacing="0"/>
              <w:rPr>
                <w:b/>
                <w:bCs/>
                <w:sz w:val="20"/>
                <w:szCs w:val="20"/>
              </w:rPr>
            </w:pPr>
            <w:r>
              <w:rPr>
                <w:b/>
                <w:bCs/>
                <w:sz w:val="20"/>
                <w:szCs w:val="20"/>
              </w:rPr>
              <w:t>Echéance Emprunt 5,10% Juin 2018</w:t>
            </w:r>
          </w:p>
        </w:tc>
        <w:tc>
          <w:tcPr>
            <w:tcW w:w="12332" w:type="dxa"/>
            <w:tcBorders>
              <w:bottom w:val="single" w:sz="4" w:space="0" w:color="auto"/>
            </w:tcBorders>
            <w:shd w:val="clear" w:color="auto" w:fill="auto"/>
          </w:tcPr>
          <w:p w:rsidR="007F1C12" w:rsidRPr="00E013E5" w:rsidRDefault="00E013E5" w:rsidP="00E013E5">
            <w:pPr>
              <w:numPr>
                <w:ilvl w:val="0"/>
                <w:numId w:val="45"/>
              </w:numPr>
              <w:ind w:left="187" w:hanging="187"/>
              <w:jc w:val="both"/>
              <w:rPr>
                <w:rFonts w:ascii="Times New Roman" w:hAnsi="Times New Roman" w:cs="Times New Roman"/>
                <w:color w:val="000000"/>
                <w:sz w:val="20"/>
                <w:szCs w:val="20"/>
              </w:rPr>
            </w:pPr>
            <w:r w:rsidRPr="00E013E5">
              <w:rPr>
                <w:rFonts w:ascii="Times New Roman" w:hAnsi="Times New Roman" w:cs="Times New Roman"/>
                <w:color w:val="000000"/>
                <w:sz w:val="20"/>
                <w:szCs w:val="20"/>
              </w:rPr>
              <w:t>L’Emprunt</w:t>
            </w:r>
            <w:r w:rsidR="007F1C12" w:rsidRPr="00E013E5">
              <w:rPr>
                <w:rFonts w:ascii="Times New Roman" w:hAnsi="Times New Roman" w:cs="Times New Roman"/>
                <w:color w:val="000000"/>
                <w:sz w:val="20"/>
                <w:szCs w:val="20"/>
              </w:rPr>
              <w:t xml:space="preserve"> 5,10% Juin 2018 arrive à échéance le 27/06/2018 sur CTO pour 31,7 M€ soit</w:t>
            </w:r>
            <w:r w:rsidR="003D2F43">
              <w:rPr>
                <w:rFonts w:ascii="Times New Roman" w:hAnsi="Times New Roman" w:cs="Times New Roman"/>
                <w:color w:val="000000"/>
                <w:sz w:val="20"/>
                <w:szCs w:val="20"/>
              </w:rPr>
              <w:t xml:space="preserve"> </w:t>
            </w:r>
            <w:r w:rsidR="007F1C12" w:rsidRPr="00E013E5">
              <w:rPr>
                <w:rFonts w:ascii="Times New Roman" w:hAnsi="Times New Roman" w:cs="Times New Roman"/>
                <w:color w:val="000000"/>
                <w:sz w:val="20"/>
                <w:szCs w:val="20"/>
              </w:rPr>
              <w:t>2 802 clients concernés. Un évènement GERC « ECHEANCE EMPRUNT 5,10% CTO » est à votre disposition jusqu’au 27 juillet 2018.</w:t>
            </w:r>
          </w:p>
          <w:p w:rsidR="007F1C12" w:rsidRDefault="007F1C12" w:rsidP="00E013E5">
            <w:pPr>
              <w:pStyle w:val="wordsection1"/>
              <w:numPr>
                <w:ilvl w:val="0"/>
                <w:numId w:val="45"/>
              </w:numPr>
              <w:spacing w:before="0" w:beforeAutospacing="0" w:after="0" w:afterAutospacing="0"/>
              <w:ind w:left="187" w:hanging="187"/>
              <w:jc w:val="both"/>
              <w:rPr>
                <w:color w:val="000000"/>
                <w:sz w:val="20"/>
                <w:szCs w:val="20"/>
                <w:lang w:eastAsia="en-US"/>
              </w:rPr>
            </w:pPr>
            <w:r>
              <w:rPr>
                <w:color w:val="000000"/>
                <w:sz w:val="20"/>
                <w:szCs w:val="20"/>
              </w:rPr>
              <w:t xml:space="preserve">Retrouvez plus d’informations dans la note </w:t>
            </w:r>
            <w:r>
              <w:rPr>
                <w:b/>
                <w:bCs/>
                <w:color w:val="000000"/>
                <w:sz w:val="20"/>
                <w:szCs w:val="20"/>
              </w:rPr>
              <w:t>DMA-INF/18.044-Echéance Emprunt 5,10% Juin 2018</w:t>
            </w:r>
            <w:r>
              <w:rPr>
                <w:color w:val="000000"/>
                <w:sz w:val="20"/>
                <w:szCs w:val="20"/>
              </w:rPr>
              <w:t xml:space="preserve"> en cliquant </w:t>
            </w:r>
            <w:hyperlink r:id="rId15" w:history="1">
              <w:r>
                <w:rPr>
                  <w:rStyle w:val="Lienhypertexte"/>
                  <w:sz w:val="20"/>
                  <w:szCs w:val="20"/>
                </w:rPr>
                <w:t>ici</w:t>
              </w:r>
            </w:hyperlink>
            <w:r>
              <w:rPr>
                <w:color w:val="000000"/>
                <w:sz w:val="20"/>
                <w:szCs w:val="20"/>
              </w:rPr>
              <w:t>.</w:t>
            </w:r>
          </w:p>
        </w:tc>
      </w:tr>
    </w:tbl>
    <w:p w:rsidR="007A0279" w:rsidRDefault="007A0279">
      <w:r>
        <w:br w:type="page"/>
      </w: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8A64F7" w:rsidRPr="00E81F6E" w:rsidTr="008A64F7">
        <w:trPr>
          <w:trHeight w:val="285"/>
        </w:trPr>
        <w:tc>
          <w:tcPr>
            <w:tcW w:w="15735" w:type="dxa"/>
            <w:gridSpan w:val="3"/>
            <w:tcBorders>
              <w:bottom w:val="single" w:sz="4" w:space="0" w:color="auto"/>
            </w:tcBorders>
            <w:shd w:val="clear" w:color="auto" w:fill="BFBFBF" w:themeFill="background1" w:themeFillShade="BF"/>
          </w:tcPr>
          <w:p w:rsidR="008A64F7" w:rsidRPr="008A64F7" w:rsidRDefault="001D0EB4" w:rsidP="008A64F7">
            <w:pPr>
              <w:pStyle w:val="wordsection1"/>
              <w:spacing w:before="0" w:beforeAutospacing="0" w:after="0" w:afterAutospacing="0"/>
              <w:jc w:val="center"/>
              <w:rPr>
                <w:b/>
                <w:sz w:val="20"/>
                <w:szCs w:val="20"/>
              </w:rPr>
            </w:pPr>
            <w:r>
              <w:rPr>
                <w:b/>
                <w:sz w:val="20"/>
                <w:szCs w:val="20"/>
              </w:rPr>
              <w:lastRenderedPageBreak/>
              <w:t>Crédits</w:t>
            </w:r>
          </w:p>
        </w:tc>
      </w:tr>
      <w:tr w:rsidR="00E013E5" w:rsidRPr="00E81F6E" w:rsidTr="001B0017">
        <w:trPr>
          <w:trHeight w:val="285"/>
        </w:trPr>
        <w:tc>
          <w:tcPr>
            <w:tcW w:w="1560" w:type="dxa"/>
            <w:tcBorders>
              <w:bottom w:val="single" w:sz="4" w:space="0" w:color="auto"/>
            </w:tcBorders>
          </w:tcPr>
          <w:p w:rsidR="00E013E5" w:rsidRPr="00865588" w:rsidRDefault="00E013E5">
            <w:pPr>
              <w:rPr>
                <w:rFonts w:ascii="Times New Roman" w:hAnsi="Times New Roman" w:cs="Times New Roman"/>
                <w:b/>
                <w:bCs/>
                <w:color w:val="000000"/>
                <w:sz w:val="20"/>
                <w:szCs w:val="20"/>
              </w:rPr>
            </w:pPr>
            <w:r w:rsidRPr="00865588">
              <w:rPr>
                <w:rFonts w:ascii="Times New Roman" w:hAnsi="Times New Roman" w:cs="Times New Roman"/>
                <w:b/>
                <w:bCs/>
                <w:color w:val="000000"/>
                <w:sz w:val="20"/>
                <w:szCs w:val="20"/>
              </w:rPr>
              <w:t>Com. DMA</w:t>
            </w:r>
          </w:p>
        </w:tc>
        <w:tc>
          <w:tcPr>
            <w:tcW w:w="1843" w:type="dxa"/>
            <w:tcBorders>
              <w:bottom w:val="single" w:sz="4" w:space="0" w:color="auto"/>
            </w:tcBorders>
          </w:tcPr>
          <w:p w:rsidR="00E013E5" w:rsidRPr="00E013E5" w:rsidRDefault="00E013E5">
            <w:pPr>
              <w:pStyle w:val="wordsection1"/>
              <w:rPr>
                <w:b/>
                <w:bCs/>
                <w:sz w:val="20"/>
                <w:szCs w:val="20"/>
                <w:lang w:eastAsia="en-US"/>
              </w:rPr>
            </w:pPr>
            <w:r w:rsidRPr="00E013E5">
              <w:rPr>
                <w:b/>
                <w:bCs/>
                <w:sz w:val="20"/>
                <w:szCs w:val="20"/>
              </w:rPr>
              <w:t>Ouverture de l’enveloppe BPI France courant de la semaine prochaine</w:t>
            </w:r>
          </w:p>
        </w:tc>
        <w:tc>
          <w:tcPr>
            <w:tcW w:w="12332" w:type="dxa"/>
            <w:tcBorders>
              <w:bottom w:val="single" w:sz="4" w:space="0" w:color="auto"/>
            </w:tcBorders>
            <w:shd w:val="clear" w:color="auto" w:fill="auto"/>
          </w:tcPr>
          <w:p w:rsidR="00E013E5" w:rsidRPr="00E013E5" w:rsidRDefault="00E013E5" w:rsidP="00E013E5">
            <w:pPr>
              <w:pStyle w:val="wordsection1"/>
              <w:numPr>
                <w:ilvl w:val="0"/>
                <w:numId w:val="45"/>
              </w:numPr>
              <w:spacing w:before="0" w:beforeAutospacing="0" w:after="0" w:afterAutospacing="0"/>
              <w:ind w:left="187" w:hanging="187"/>
              <w:jc w:val="both"/>
              <w:rPr>
                <w:sz w:val="20"/>
                <w:szCs w:val="20"/>
                <w:lang w:eastAsia="en-US"/>
              </w:rPr>
            </w:pPr>
            <w:r w:rsidRPr="00E013E5">
              <w:rPr>
                <w:b/>
                <w:sz w:val="20"/>
                <w:szCs w:val="20"/>
                <w:lang w:eastAsia="en-US"/>
              </w:rPr>
              <w:t>Bonne nouvelle, l’offre de caution du Crédit Etudiant « BPI France » sera ré-ouverte à la commercialisation sous Néo courant de la semaine prochaine !</w:t>
            </w:r>
            <w:r w:rsidRPr="00E013E5">
              <w:rPr>
                <w:sz w:val="20"/>
                <w:szCs w:val="20"/>
                <w:lang w:eastAsia="en-US"/>
              </w:rPr>
              <w:t xml:space="preserve"> La date précise de réouverture vous sera communiqué</w:t>
            </w:r>
            <w:r w:rsidRPr="00E013E5">
              <w:rPr>
                <w:color w:val="1F497D"/>
                <w:sz w:val="20"/>
                <w:szCs w:val="20"/>
                <w:lang w:eastAsia="en-US"/>
              </w:rPr>
              <w:t>e</w:t>
            </w:r>
            <w:r w:rsidRPr="00E013E5">
              <w:rPr>
                <w:sz w:val="20"/>
                <w:szCs w:val="20"/>
                <w:lang w:eastAsia="en-US"/>
              </w:rPr>
              <w:t xml:space="preserve"> via l’assistance bancaire</w:t>
            </w:r>
            <w:r>
              <w:rPr>
                <w:sz w:val="20"/>
                <w:szCs w:val="20"/>
                <w:lang w:eastAsia="en-US"/>
              </w:rPr>
              <w:t xml:space="preserve">. </w:t>
            </w:r>
          </w:p>
          <w:p w:rsidR="00E013E5" w:rsidRPr="00E013E5" w:rsidRDefault="00E013E5" w:rsidP="00E013E5">
            <w:pPr>
              <w:pStyle w:val="wordsection1"/>
              <w:numPr>
                <w:ilvl w:val="0"/>
                <w:numId w:val="45"/>
              </w:numPr>
              <w:spacing w:before="0" w:beforeAutospacing="0" w:after="0" w:afterAutospacing="0"/>
              <w:ind w:left="187" w:hanging="187"/>
              <w:jc w:val="both"/>
              <w:rPr>
                <w:sz w:val="20"/>
                <w:szCs w:val="20"/>
                <w:lang w:eastAsia="en-US"/>
              </w:rPr>
            </w:pPr>
            <w:r w:rsidRPr="00E013E5">
              <w:rPr>
                <w:sz w:val="20"/>
                <w:szCs w:val="20"/>
                <w:lang w:eastAsia="en-US"/>
              </w:rPr>
              <w:t xml:space="preserve">Pour connaitre les détails de l’offre, une note d’information est à votre disposition : </w:t>
            </w:r>
            <w:hyperlink r:id="rId16" w:history="1">
              <w:r w:rsidRPr="00E013E5">
                <w:rPr>
                  <w:rStyle w:val="Lienhypertexte"/>
                  <w:sz w:val="20"/>
                  <w:szCs w:val="20"/>
                  <w:lang w:eastAsia="en-US"/>
                </w:rPr>
                <w:t>DMA-INF/15.058</w:t>
              </w:r>
            </w:hyperlink>
            <w:r w:rsidRPr="00E013E5">
              <w:rPr>
                <w:sz w:val="20"/>
                <w:szCs w:val="20"/>
                <w:lang w:eastAsia="en-US"/>
              </w:rPr>
              <w:t>. Comme chaque année, l’enveloppe allouée est limitée et sera probablement rapidement épuisée. Nous vous rappelons que, dans le cadre de la garantie BPI France, le montant maximum du prêt est de 15 000€ par client, ainsi un client peut détenir :</w:t>
            </w:r>
          </w:p>
          <w:p w:rsidR="00E013E5" w:rsidRPr="00E013E5" w:rsidRDefault="00E013E5" w:rsidP="00E013E5">
            <w:pPr>
              <w:pStyle w:val="wordsection1"/>
              <w:numPr>
                <w:ilvl w:val="1"/>
                <w:numId w:val="37"/>
              </w:numPr>
              <w:ind w:left="742" w:hanging="283"/>
              <w:jc w:val="both"/>
              <w:rPr>
                <w:sz w:val="20"/>
                <w:szCs w:val="20"/>
                <w:lang w:eastAsia="en-US"/>
              </w:rPr>
            </w:pPr>
            <w:r w:rsidRPr="00E013E5">
              <w:rPr>
                <w:sz w:val="20"/>
                <w:szCs w:val="20"/>
                <w:lang w:eastAsia="en-US"/>
              </w:rPr>
              <w:t>Soit</w:t>
            </w:r>
            <w:r w:rsidR="003D2F43">
              <w:rPr>
                <w:sz w:val="20"/>
                <w:szCs w:val="20"/>
                <w:lang w:eastAsia="en-US"/>
              </w:rPr>
              <w:t xml:space="preserve"> </w:t>
            </w:r>
            <w:r w:rsidRPr="00E013E5">
              <w:rPr>
                <w:sz w:val="20"/>
                <w:szCs w:val="20"/>
                <w:lang w:eastAsia="en-US"/>
              </w:rPr>
              <w:t xml:space="preserve">un seul crédit BPI France de 15 000€ </w:t>
            </w:r>
          </w:p>
          <w:p w:rsidR="00E013E5" w:rsidRPr="00E013E5" w:rsidRDefault="00E013E5" w:rsidP="00E013E5">
            <w:pPr>
              <w:pStyle w:val="wordsection1"/>
              <w:numPr>
                <w:ilvl w:val="1"/>
                <w:numId w:val="37"/>
              </w:numPr>
              <w:ind w:left="742" w:hanging="283"/>
              <w:jc w:val="both"/>
              <w:rPr>
                <w:sz w:val="20"/>
                <w:szCs w:val="20"/>
                <w:lang w:eastAsia="en-US"/>
              </w:rPr>
            </w:pPr>
            <w:r w:rsidRPr="00E013E5">
              <w:rPr>
                <w:sz w:val="20"/>
                <w:szCs w:val="20"/>
                <w:lang w:eastAsia="en-US"/>
              </w:rPr>
              <w:t xml:space="preserve">Soit plusieurs crédits BPI France dont la somme ne doit pas excéder 15 000€. </w:t>
            </w:r>
          </w:p>
          <w:p w:rsidR="00E013E5" w:rsidRPr="00E013E5" w:rsidRDefault="00E013E5" w:rsidP="00E013E5">
            <w:pPr>
              <w:pStyle w:val="wordsection1"/>
              <w:numPr>
                <w:ilvl w:val="0"/>
                <w:numId w:val="45"/>
              </w:numPr>
              <w:spacing w:before="0" w:beforeAutospacing="0" w:after="0" w:afterAutospacing="0"/>
              <w:ind w:left="187" w:hanging="187"/>
              <w:jc w:val="both"/>
              <w:rPr>
                <w:sz w:val="20"/>
                <w:szCs w:val="20"/>
                <w:lang w:eastAsia="en-US"/>
              </w:rPr>
            </w:pPr>
            <w:r w:rsidRPr="00E013E5">
              <w:rPr>
                <w:sz w:val="20"/>
                <w:szCs w:val="20"/>
                <w:lang w:eastAsia="en-US"/>
              </w:rPr>
              <w:t>Le modèle de déclaration sur l’honneur à faire signer à l’étudiant contractant le crédit est disponible sous AGIL : « DECLARATION SUR L’HONNEUR POUR CREDIT ETUDIANT NEO AVEC GARANTIE BPIFRANCE ».</w:t>
            </w:r>
          </w:p>
        </w:tc>
      </w:tr>
      <w:tr w:rsidR="007A0279" w:rsidRPr="00E81F6E" w:rsidTr="007A0279">
        <w:trPr>
          <w:trHeight w:val="285"/>
        </w:trPr>
        <w:tc>
          <w:tcPr>
            <w:tcW w:w="1560" w:type="dxa"/>
            <w:tcBorders>
              <w:bottom w:val="single" w:sz="4" w:space="0" w:color="auto"/>
            </w:tcBorders>
          </w:tcPr>
          <w:p w:rsidR="007A0279" w:rsidRPr="007A0279" w:rsidRDefault="007A0279">
            <w:pPr>
              <w:rPr>
                <w:rFonts w:ascii="Times New Roman" w:hAnsi="Times New Roman" w:cs="Times New Roman"/>
                <w:sz w:val="20"/>
                <w:szCs w:val="20"/>
              </w:rPr>
            </w:pPr>
            <w:r w:rsidRPr="007A0279">
              <w:rPr>
                <w:rFonts w:ascii="Times New Roman" w:hAnsi="Times New Roman" w:cs="Times New Roman"/>
                <w:sz w:val="20"/>
                <w:szCs w:val="20"/>
                <w:lang w:eastAsia="fr-FR"/>
              </w:rPr>
              <w:t> </w:t>
            </w:r>
            <w:r w:rsidRPr="007A0279">
              <w:rPr>
                <w:rFonts w:ascii="Times New Roman" w:hAnsi="Times New Roman" w:cs="Times New Roman"/>
                <w:b/>
                <w:bCs/>
                <w:sz w:val="20"/>
                <w:szCs w:val="20"/>
              </w:rPr>
              <w:t>Com DMA</w:t>
            </w:r>
          </w:p>
        </w:tc>
        <w:tc>
          <w:tcPr>
            <w:tcW w:w="1843" w:type="dxa"/>
            <w:tcBorders>
              <w:bottom w:val="single" w:sz="4" w:space="0" w:color="auto"/>
            </w:tcBorders>
            <w:vAlign w:val="center"/>
          </w:tcPr>
          <w:p w:rsidR="007A0279" w:rsidRPr="007A0279" w:rsidRDefault="007A0279" w:rsidP="007A0279">
            <w:pPr>
              <w:rPr>
                <w:rFonts w:ascii="Times New Roman" w:hAnsi="Times New Roman" w:cs="Times New Roman"/>
                <w:b/>
                <w:sz w:val="20"/>
                <w:szCs w:val="20"/>
              </w:rPr>
            </w:pPr>
            <w:r w:rsidRPr="007A0279">
              <w:rPr>
                <w:rFonts w:ascii="Times New Roman" w:hAnsi="Times New Roman" w:cs="Times New Roman"/>
                <w:b/>
                <w:sz w:val="20"/>
                <w:szCs w:val="20"/>
              </w:rPr>
              <w:t>Evolution de #</w:t>
            </w:r>
            <w:proofErr w:type="spellStart"/>
            <w:r w:rsidRPr="007A0279">
              <w:rPr>
                <w:rFonts w:ascii="Times New Roman" w:hAnsi="Times New Roman" w:cs="Times New Roman"/>
                <w:b/>
                <w:sz w:val="20"/>
                <w:szCs w:val="20"/>
              </w:rPr>
              <w:t>Primojeunes</w:t>
            </w:r>
            <w:proofErr w:type="spellEnd"/>
          </w:p>
        </w:tc>
        <w:tc>
          <w:tcPr>
            <w:tcW w:w="12332" w:type="dxa"/>
            <w:tcBorders>
              <w:bottom w:val="single" w:sz="4" w:space="0" w:color="auto"/>
            </w:tcBorders>
            <w:shd w:val="clear" w:color="auto" w:fill="auto"/>
          </w:tcPr>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b/>
                <w:sz w:val="20"/>
                <w:szCs w:val="20"/>
              </w:rPr>
            </w:pPr>
            <w:r w:rsidRPr="007A0279">
              <w:rPr>
                <w:rFonts w:ascii="Times New Roman" w:hAnsi="Times New Roman" w:cs="Times New Roman"/>
                <w:b/>
                <w:sz w:val="20"/>
                <w:szCs w:val="20"/>
              </w:rPr>
              <w:t>Pour rappel, dans le cadre de la fusion, l’offre #</w:t>
            </w:r>
            <w:proofErr w:type="spellStart"/>
            <w:r w:rsidRPr="007A0279">
              <w:rPr>
                <w:rFonts w:ascii="Times New Roman" w:hAnsi="Times New Roman" w:cs="Times New Roman"/>
                <w:b/>
                <w:sz w:val="20"/>
                <w:szCs w:val="20"/>
              </w:rPr>
              <w:t>Primojeunes</w:t>
            </w:r>
            <w:proofErr w:type="spellEnd"/>
            <w:r w:rsidRPr="007A0279">
              <w:rPr>
                <w:rFonts w:ascii="Times New Roman" w:hAnsi="Times New Roman" w:cs="Times New Roman"/>
                <w:b/>
                <w:sz w:val="20"/>
                <w:szCs w:val="20"/>
              </w:rPr>
              <w:t xml:space="preserve"> évolue:</w:t>
            </w:r>
          </w:p>
          <w:p w:rsidR="007A0279" w:rsidRPr="007A0279" w:rsidRDefault="007A0279" w:rsidP="007A0279">
            <w:pPr>
              <w:pStyle w:val="wordsection1"/>
              <w:numPr>
                <w:ilvl w:val="1"/>
                <w:numId w:val="37"/>
              </w:numPr>
              <w:spacing w:before="0" w:beforeAutospacing="0" w:after="0" w:afterAutospacing="0"/>
              <w:ind w:left="743" w:hanging="284"/>
              <w:jc w:val="both"/>
              <w:rPr>
                <w:sz w:val="20"/>
                <w:szCs w:val="20"/>
                <w:lang w:eastAsia="en-US"/>
              </w:rPr>
            </w:pPr>
            <w:r w:rsidRPr="007A0279">
              <w:rPr>
                <w:sz w:val="20"/>
                <w:szCs w:val="20"/>
                <w:lang w:eastAsia="en-US"/>
              </w:rPr>
              <w:t xml:space="preserve">suppression des plafonds de montant et de durée (caractéristiques alignées sur le Primo Optionnel). </w:t>
            </w:r>
          </w:p>
          <w:p w:rsidR="007A0279" w:rsidRPr="007A0279" w:rsidRDefault="007A0279" w:rsidP="007A0279">
            <w:pPr>
              <w:pStyle w:val="wordsection1"/>
              <w:numPr>
                <w:ilvl w:val="1"/>
                <w:numId w:val="37"/>
              </w:numPr>
              <w:spacing w:before="0" w:beforeAutospacing="0" w:after="0" w:afterAutospacing="0"/>
              <w:ind w:left="743" w:hanging="284"/>
              <w:jc w:val="both"/>
              <w:rPr>
                <w:sz w:val="20"/>
                <w:szCs w:val="20"/>
                <w:lang w:eastAsia="en-US"/>
              </w:rPr>
            </w:pPr>
            <w:r w:rsidRPr="007A0279">
              <w:rPr>
                <w:sz w:val="20"/>
                <w:szCs w:val="20"/>
                <w:lang w:eastAsia="en-US"/>
              </w:rPr>
              <w:t>nouvelle tarification en fonction de la durée selon le barème spécifique « jeunes »  </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Ces évolutions sont applicables dès mardi,</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 xml:space="preserve">Toutefois, </w:t>
            </w:r>
            <w:r w:rsidRPr="007A0279">
              <w:rPr>
                <w:rFonts w:ascii="Times New Roman" w:hAnsi="Times New Roman" w:cs="Times New Roman"/>
                <w:b/>
                <w:bCs/>
                <w:sz w:val="20"/>
                <w:szCs w:val="20"/>
                <w:u w:val="single"/>
              </w:rPr>
              <w:t>les dossiers initiés avant le 23 juin avec un #</w:t>
            </w:r>
            <w:proofErr w:type="spellStart"/>
            <w:r w:rsidRPr="007A0279">
              <w:rPr>
                <w:rFonts w:ascii="Times New Roman" w:hAnsi="Times New Roman" w:cs="Times New Roman"/>
                <w:b/>
                <w:bCs/>
                <w:sz w:val="20"/>
                <w:szCs w:val="20"/>
                <w:u w:val="single"/>
              </w:rPr>
              <w:t>Primojeunes</w:t>
            </w:r>
            <w:proofErr w:type="spellEnd"/>
            <w:r w:rsidRPr="007A0279">
              <w:rPr>
                <w:rFonts w:ascii="Times New Roman" w:hAnsi="Times New Roman" w:cs="Times New Roman"/>
                <w:b/>
                <w:bCs/>
                <w:sz w:val="20"/>
                <w:szCs w:val="20"/>
                <w:u w:val="single"/>
              </w:rPr>
              <w:t xml:space="preserve"> dans son ancienne version peuvent être finalisés avant le 1</w:t>
            </w:r>
            <w:r w:rsidRPr="007A0279">
              <w:rPr>
                <w:rFonts w:ascii="Times New Roman" w:hAnsi="Times New Roman" w:cs="Times New Roman"/>
                <w:b/>
                <w:bCs/>
                <w:sz w:val="20"/>
                <w:szCs w:val="20"/>
                <w:u w:val="single"/>
                <w:vertAlign w:val="superscript"/>
              </w:rPr>
              <w:t>er</w:t>
            </w:r>
            <w:r w:rsidRPr="007A0279">
              <w:rPr>
                <w:rFonts w:ascii="Times New Roman" w:hAnsi="Times New Roman" w:cs="Times New Roman"/>
                <w:b/>
                <w:bCs/>
                <w:sz w:val="20"/>
                <w:szCs w:val="20"/>
                <w:u w:val="single"/>
              </w:rPr>
              <w:t xml:space="preserve"> août.</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 xml:space="preserve">Retrouvez dès mardi la grille spécifique « jeunes » dans le « barème crédit immobilier CEGEE » en ligne dans la Rubrique Des Commerciaux </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La note d’information « </w:t>
            </w:r>
            <w:r w:rsidRPr="007A0279">
              <w:rPr>
                <w:rFonts w:ascii="Times New Roman" w:hAnsi="Times New Roman" w:cs="Times New Roman"/>
                <w:b/>
                <w:bCs/>
                <w:sz w:val="20"/>
                <w:szCs w:val="20"/>
              </w:rPr>
              <w:t>DMA_2018_183 Crédit immobilier : Evolution de l'offre #PRIMOJEUNES</w:t>
            </w:r>
            <w:r w:rsidRPr="007A0279">
              <w:rPr>
                <w:rFonts w:ascii="Times New Roman" w:hAnsi="Times New Roman" w:cs="Times New Roman"/>
                <w:sz w:val="20"/>
                <w:szCs w:val="20"/>
              </w:rPr>
              <w:t xml:space="preserve"> » sera publiée prochainement. </w:t>
            </w:r>
          </w:p>
        </w:tc>
      </w:tr>
      <w:tr w:rsidR="007A0279" w:rsidRPr="00E81F6E" w:rsidTr="007A0279">
        <w:trPr>
          <w:trHeight w:val="285"/>
        </w:trPr>
        <w:tc>
          <w:tcPr>
            <w:tcW w:w="1560" w:type="dxa"/>
            <w:tcBorders>
              <w:bottom w:val="single" w:sz="4" w:space="0" w:color="auto"/>
            </w:tcBorders>
          </w:tcPr>
          <w:p w:rsidR="007A0279" w:rsidRPr="007A0279" w:rsidRDefault="007A0279">
            <w:pPr>
              <w:rPr>
                <w:rFonts w:ascii="Times New Roman" w:hAnsi="Times New Roman" w:cs="Times New Roman"/>
                <w:b/>
                <w:sz w:val="20"/>
                <w:szCs w:val="20"/>
              </w:rPr>
            </w:pPr>
            <w:r w:rsidRPr="007A0279">
              <w:rPr>
                <w:rFonts w:ascii="Times New Roman" w:hAnsi="Times New Roman" w:cs="Times New Roman"/>
                <w:b/>
                <w:sz w:val="20"/>
                <w:szCs w:val="20"/>
                <w:lang w:eastAsia="fr-FR"/>
              </w:rPr>
              <w:t> Com DMA</w:t>
            </w:r>
          </w:p>
        </w:tc>
        <w:tc>
          <w:tcPr>
            <w:tcW w:w="1843" w:type="dxa"/>
            <w:tcBorders>
              <w:bottom w:val="single" w:sz="4" w:space="0" w:color="auto"/>
            </w:tcBorders>
            <w:vAlign w:val="center"/>
          </w:tcPr>
          <w:p w:rsidR="007A0279" w:rsidRPr="007A0279" w:rsidRDefault="007A0279" w:rsidP="007A0279">
            <w:pPr>
              <w:rPr>
                <w:rFonts w:ascii="Times New Roman" w:hAnsi="Times New Roman" w:cs="Times New Roman"/>
                <w:b/>
                <w:sz w:val="20"/>
                <w:szCs w:val="20"/>
              </w:rPr>
            </w:pPr>
            <w:r>
              <w:rPr>
                <w:rFonts w:ascii="Times New Roman" w:hAnsi="Times New Roman" w:cs="Times New Roman"/>
                <w:b/>
                <w:sz w:val="20"/>
                <w:szCs w:val="20"/>
              </w:rPr>
              <w:t>S</w:t>
            </w:r>
            <w:r w:rsidRPr="007A0279">
              <w:rPr>
                <w:rFonts w:ascii="Times New Roman" w:hAnsi="Times New Roman" w:cs="Times New Roman"/>
                <w:b/>
                <w:sz w:val="20"/>
                <w:szCs w:val="20"/>
              </w:rPr>
              <w:t xml:space="preserve">implification de la gammes des prêts CEGEE </w:t>
            </w:r>
          </w:p>
        </w:tc>
        <w:tc>
          <w:tcPr>
            <w:tcW w:w="12332" w:type="dxa"/>
            <w:tcBorders>
              <w:bottom w:val="single" w:sz="4" w:space="0" w:color="auto"/>
            </w:tcBorders>
            <w:shd w:val="clear" w:color="auto" w:fill="auto"/>
          </w:tcPr>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 xml:space="preserve">Votre gamme des prêts immobiliers CEGEE est simplifiée afin de pouvoir être déployée sur l’ensemble du nouveau territoire. </w:t>
            </w:r>
          </w:p>
          <w:p w:rsidR="007A0279" w:rsidRPr="007A0279" w:rsidRDefault="007A0279" w:rsidP="007A0279">
            <w:pPr>
              <w:pStyle w:val="Paragraphedeliste"/>
              <w:numPr>
                <w:ilvl w:val="0"/>
                <w:numId w:val="47"/>
              </w:numPr>
              <w:ind w:left="175" w:hanging="175"/>
              <w:contextualSpacing w:val="0"/>
              <w:jc w:val="both"/>
              <w:rPr>
                <w:rFonts w:ascii="Times New Roman" w:eastAsia="Times New Roman" w:hAnsi="Times New Roman" w:cs="Times New Roman"/>
                <w:sz w:val="20"/>
                <w:szCs w:val="20"/>
                <w:lang w:eastAsia="fr-FR"/>
              </w:rPr>
            </w:pPr>
            <w:r w:rsidRPr="007A0279">
              <w:rPr>
                <w:rFonts w:ascii="Times New Roman" w:hAnsi="Times New Roman" w:cs="Times New Roman"/>
                <w:sz w:val="20"/>
                <w:szCs w:val="20"/>
              </w:rPr>
              <w:t>En raison de leur faible production, les prêts ci-dessous sont supprimés de la gamme:</w:t>
            </w:r>
          </w:p>
          <w:p w:rsidR="007A0279" w:rsidRPr="007A0279" w:rsidRDefault="007A0279" w:rsidP="007A0279">
            <w:pPr>
              <w:pStyle w:val="wordsection1"/>
              <w:numPr>
                <w:ilvl w:val="1"/>
                <w:numId w:val="37"/>
              </w:numPr>
              <w:spacing w:before="0" w:beforeAutospacing="0" w:after="0" w:afterAutospacing="0"/>
              <w:ind w:left="743" w:hanging="284"/>
              <w:jc w:val="both"/>
              <w:rPr>
                <w:sz w:val="20"/>
                <w:szCs w:val="20"/>
                <w:lang w:eastAsia="en-US"/>
              </w:rPr>
            </w:pPr>
            <w:r w:rsidRPr="007A0279">
              <w:rPr>
                <w:b/>
                <w:sz w:val="20"/>
                <w:szCs w:val="20"/>
                <w:lang w:eastAsia="en-US"/>
              </w:rPr>
              <w:t>PRIMO DIFFERIMMO</w:t>
            </w:r>
            <w:r w:rsidRPr="007A0279">
              <w:rPr>
                <w:sz w:val="20"/>
                <w:szCs w:val="20"/>
                <w:lang w:eastAsia="en-US"/>
              </w:rPr>
              <w:t xml:space="preserve"> (« Primo+ </w:t>
            </w:r>
            <w:proofErr w:type="spellStart"/>
            <w:r w:rsidRPr="007A0279">
              <w:rPr>
                <w:sz w:val="20"/>
                <w:szCs w:val="20"/>
                <w:lang w:eastAsia="en-US"/>
              </w:rPr>
              <w:t>Differimmo</w:t>
            </w:r>
            <w:proofErr w:type="spellEnd"/>
            <w:r w:rsidRPr="007A0279">
              <w:rPr>
                <w:sz w:val="20"/>
                <w:szCs w:val="20"/>
                <w:lang w:eastAsia="en-US"/>
              </w:rPr>
              <w:t xml:space="preserve"> » est conservé)</w:t>
            </w:r>
          </w:p>
          <w:p w:rsidR="007A0279" w:rsidRPr="007A0279" w:rsidRDefault="007A0279" w:rsidP="007A0279">
            <w:pPr>
              <w:pStyle w:val="wordsection1"/>
              <w:numPr>
                <w:ilvl w:val="1"/>
                <w:numId w:val="37"/>
              </w:numPr>
              <w:spacing w:before="0" w:beforeAutospacing="0" w:after="0" w:afterAutospacing="0"/>
              <w:ind w:left="743" w:hanging="284"/>
              <w:jc w:val="both"/>
              <w:rPr>
                <w:sz w:val="20"/>
                <w:szCs w:val="20"/>
                <w:lang w:eastAsia="en-US"/>
              </w:rPr>
            </w:pPr>
            <w:r w:rsidRPr="007A0279">
              <w:rPr>
                <w:b/>
                <w:sz w:val="20"/>
                <w:szCs w:val="20"/>
                <w:lang w:eastAsia="en-US"/>
              </w:rPr>
              <w:t>IN FINE DIFFERIMMO TF CAPI</w:t>
            </w:r>
            <w:r w:rsidRPr="007A0279">
              <w:rPr>
                <w:sz w:val="20"/>
                <w:szCs w:val="20"/>
                <w:lang w:eastAsia="en-US"/>
              </w:rPr>
              <w:t xml:space="preserve"> (« In Fine Habitat Taux Fixe » est conservé)</w:t>
            </w:r>
          </w:p>
          <w:p w:rsidR="007A0279" w:rsidRPr="007A0279" w:rsidRDefault="007A0279" w:rsidP="007A0279">
            <w:pPr>
              <w:pStyle w:val="wordsection1"/>
              <w:numPr>
                <w:ilvl w:val="1"/>
                <w:numId w:val="37"/>
              </w:numPr>
              <w:spacing w:before="0" w:beforeAutospacing="0" w:after="0" w:afterAutospacing="0"/>
              <w:ind w:left="743" w:hanging="284"/>
              <w:jc w:val="both"/>
              <w:rPr>
                <w:b/>
                <w:sz w:val="20"/>
                <w:szCs w:val="20"/>
                <w:lang w:eastAsia="en-US"/>
              </w:rPr>
            </w:pPr>
            <w:r w:rsidRPr="007A0279">
              <w:rPr>
                <w:b/>
                <w:sz w:val="20"/>
                <w:szCs w:val="20"/>
                <w:lang w:eastAsia="en-US"/>
              </w:rPr>
              <w:t>ADOUCIMMO</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b/>
                <w:bCs/>
                <w:sz w:val="20"/>
                <w:szCs w:val="20"/>
                <w:u w:val="single"/>
              </w:rPr>
              <w:t>Les dossiers, initiés avant le 23 juin et incluant dans leur montage l’un de ces produits, pourront être finalisés à condition d’être envoyés pour édition des offres avant le 1</w:t>
            </w:r>
            <w:r w:rsidRPr="007A0279">
              <w:rPr>
                <w:rFonts w:ascii="Times New Roman" w:hAnsi="Times New Roman" w:cs="Times New Roman"/>
                <w:b/>
                <w:bCs/>
                <w:sz w:val="20"/>
                <w:szCs w:val="20"/>
                <w:u w:val="single"/>
                <w:vertAlign w:val="superscript"/>
              </w:rPr>
              <w:t>er</w:t>
            </w:r>
            <w:r w:rsidRPr="007A0279">
              <w:rPr>
                <w:rFonts w:ascii="Times New Roman" w:hAnsi="Times New Roman" w:cs="Times New Roman"/>
                <w:b/>
                <w:bCs/>
                <w:sz w:val="20"/>
                <w:szCs w:val="20"/>
                <w:u w:val="single"/>
              </w:rPr>
              <w:t xml:space="preserve"> août</w:t>
            </w:r>
            <w:proofErr w:type="gramStart"/>
            <w:r w:rsidRPr="007A0279">
              <w:rPr>
                <w:rFonts w:ascii="Times New Roman" w:hAnsi="Times New Roman" w:cs="Times New Roman"/>
                <w:b/>
                <w:bCs/>
                <w:sz w:val="20"/>
                <w:szCs w:val="20"/>
                <w:u w:val="single"/>
              </w:rPr>
              <w:t>.</w:t>
            </w:r>
            <w:r w:rsidRPr="007A0279">
              <w:rPr>
                <w:rFonts w:ascii="Times New Roman" w:hAnsi="Times New Roman" w:cs="Times New Roman"/>
                <w:sz w:val="20"/>
                <w:szCs w:val="20"/>
              </w:rPr>
              <w:t>.</w:t>
            </w:r>
            <w:proofErr w:type="gramEnd"/>
            <w:r w:rsidRPr="007A0279">
              <w:rPr>
                <w:rFonts w:ascii="Times New Roman" w:hAnsi="Times New Roman" w:cs="Times New Roman"/>
                <w:sz w:val="20"/>
                <w:szCs w:val="20"/>
              </w:rPr>
              <w:t xml:space="preserve"> </w:t>
            </w:r>
          </w:p>
        </w:tc>
      </w:tr>
      <w:tr w:rsidR="007A0279" w:rsidRPr="00E81F6E" w:rsidTr="007A0279">
        <w:trPr>
          <w:trHeight w:val="285"/>
        </w:trPr>
        <w:tc>
          <w:tcPr>
            <w:tcW w:w="1560" w:type="dxa"/>
            <w:tcBorders>
              <w:bottom w:val="single" w:sz="4" w:space="0" w:color="auto"/>
            </w:tcBorders>
          </w:tcPr>
          <w:p w:rsidR="007A0279" w:rsidRPr="007A0279" w:rsidRDefault="007A0279">
            <w:pPr>
              <w:rPr>
                <w:rFonts w:ascii="Times New Roman" w:hAnsi="Times New Roman" w:cs="Times New Roman"/>
                <w:b/>
                <w:sz w:val="20"/>
                <w:szCs w:val="20"/>
              </w:rPr>
            </w:pPr>
            <w:r w:rsidRPr="007A0279">
              <w:rPr>
                <w:rFonts w:ascii="Times New Roman" w:hAnsi="Times New Roman" w:cs="Times New Roman"/>
                <w:b/>
                <w:sz w:val="20"/>
                <w:szCs w:val="20"/>
                <w:lang w:eastAsia="fr-FR"/>
              </w:rPr>
              <w:t> Com DMA</w:t>
            </w:r>
          </w:p>
        </w:tc>
        <w:tc>
          <w:tcPr>
            <w:tcW w:w="1843" w:type="dxa"/>
            <w:tcBorders>
              <w:bottom w:val="single" w:sz="4" w:space="0" w:color="auto"/>
            </w:tcBorders>
            <w:vAlign w:val="center"/>
          </w:tcPr>
          <w:p w:rsidR="007A0279" w:rsidRPr="007A0279" w:rsidRDefault="007A0279" w:rsidP="007A0279">
            <w:pPr>
              <w:rPr>
                <w:rFonts w:ascii="Times New Roman" w:hAnsi="Times New Roman" w:cs="Times New Roman"/>
                <w:b/>
                <w:sz w:val="20"/>
                <w:szCs w:val="20"/>
              </w:rPr>
            </w:pPr>
            <w:r>
              <w:rPr>
                <w:rFonts w:ascii="Times New Roman" w:hAnsi="Times New Roman" w:cs="Times New Roman"/>
                <w:b/>
                <w:sz w:val="20"/>
                <w:szCs w:val="20"/>
              </w:rPr>
              <w:t>A</w:t>
            </w:r>
            <w:r w:rsidRPr="007A0279">
              <w:rPr>
                <w:rFonts w:ascii="Times New Roman" w:hAnsi="Times New Roman" w:cs="Times New Roman"/>
                <w:b/>
                <w:sz w:val="20"/>
                <w:szCs w:val="20"/>
              </w:rPr>
              <w:t>rrêt de l’usage de la double ligne</w:t>
            </w:r>
            <w:r>
              <w:rPr>
                <w:rFonts w:ascii="Times New Roman" w:hAnsi="Times New Roman" w:cs="Times New Roman"/>
                <w:b/>
                <w:sz w:val="20"/>
                <w:szCs w:val="20"/>
              </w:rPr>
              <w:t xml:space="preserve"> Primo/ </w:t>
            </w:r>
            <w:proofErr w:type="spellStart"/>
            <w:r>
              <w:rPr>
                <w:rFonts w:ascii="Times New Roman" w:hAnsi="Times New Roman" w:cs="Times New Roman"/>
                <w:b/>
                <w:sz w:val="20"/>
                <w:szCs w:val="20"/>
              </w:rPr>
              <w:t>Primolis</w:t>
            </w:r>
            <w:proofErr w:type="spellEnd"/>
          </w:p>
        </w:tc>
        <w:tc>
          <w:tcPr>
            <w:tcW w:w="12332" w:type="dxa"/>
            <w:tcBorders>
              <w:bottom w:val="single" w:sz="4" w:space="0" w:color="auto"/>
            </w:tcBorders>
            <w:shd w:val="clear" w:color="auto" w:fill="auto"/>
          </w:tcPr>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Désormais, l’usage de la double ligne (Primo/</w:t>
            </w:r>
            <w:proofErr w:type="spellStart"/>
            <w:r w:rsidRPr="007A0279">
              <w:rPr>
                <w:rFonts w:ascii="Times New Roman" w:hAnsi="Times New Roman" w:cs="Times New Roman"/>
                <w:sz w:val="20"/>
                <w:szCs w:val="20"/>
              </w:rPr>
              <w:t>Primolis</w:t>
            </w:r>
            <w:proofErr w:type="spellEnd"/>
            <w:r w:rsidRPr="007A0279">
              <w:rPr>
                <w:rFonts w:ascii="Times New Roman" w:hAnsi="Times New Roman" w:cs="Times New Roman"/>
                <w:sz w:val="20"/>
                <w:szCs w:val="20"/>
              </w:rPr>
              <w:t xml:space="preserve">) dans le montage d’un dossier de crédit immobilier n’est plus autorisé en CEGEE. </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b/>
                <w:bCs/>
                <w:sz w:val="20"/>
                <w:szCs w:val="20"/>
              </w:rPr>
              <w:t>Les dossier</w:t>
            </w:r>
            <w:r>
              <w:rPr>
                <w:rFonts w:ascii="Times New Roman" w:hAnsi="Times New Roman" w:cs="Times New Roman"/>
                <w:b/>
                <w:bCs/>
                <w:sz w:val="20"/>
                <w:szCs w:val="20"/>
              </w:rPr>
              <w:t>s</w:t>
            </w:r>
            <w:r w:rsidRPr="007A0279">
              <w:rPr>
                <w:rFonts w:ascii="Times New Roman" w:hAnsi="Times New Roman" w:cs="Times New Roman"/>
                <w:b/>
                <w:bCs/>
                <w:sz w:val="20"/>
                <w:szCs w:val="20"/>
              </w:rPr>
              <w:t xml:space="preserve"> initiés avant le 23 juin avec ce type de montage pourront être finalisés, à condition d’être envoyés pour édition des offres avant le 1</w:t>
            </w:r>
            <w:r w:rsidRPr="007A0279">
              <w:rPr>
                <w:rFonts w:ascii="Times New Roman" w:hAnsi="Times New Roman" w:cs="Times New Roman"/>
                <w:b/>
                <w:bCs/>
                <w:sz w:val="20"/>
                <w:szCs w:val="20"/>
                <w:vertAlign w:val="superscript"/>
              </w:rPr>
              <w:t>er</w:t>
            </w:r>
            <w:r w:rsidRPr="007A0279">
              <w:rPr>
                <w:rFonts w:ascii="Times New Roman" w:hAnsi="Times New Roman" w:cs="Times New Roman"/>
                <w:b/>
                <w:bCs/>
                <w:sz w:val="20"/>
                <w:szCs w:val="20"/>
              </w:rPr>
              <w:t xml:space="preserve"> août.</w:t>
            </w:r>
          </w:p>
        </w:tc>
      </w:tr>
      <w:tr w:rsidR="007A0279" w:rsidRPr="00E81F6E" w:rsidTr="007A0279">
        <w:trPr>
          <w:trHeight w:val="285"/>
        </w:trPr>
        <w:tc>
          <w:tcPr>
            <w:tcW w:w="1560" w:type="dxa"/>
            <w:tcBorders>
              <w:bottom w:val="single" w:sz="4" w:space="0" w:color="auto"/>
            </w:tcBorders>
          </w:tcPr>
          <w:p w:rsidR="007A0279" w:rsidRPr="007A0279" w:rsidRDefault="007A0279">
            <w:pPr>
              <w:rPr>
                <w:rFonts w:ascii="Times New Roman" w:hAnsi="Times New Roman" w:cs="Times New Roman"/>
                <w:sz w:val="20"/>
                <w:szCs w:val="20"/>
              </w:rPr>
            </w:pPr>
            <w:r w:rsidRPr="007A0279">
              <w:rPr>
                <w:rFonts w:ascii="Times New Roman" w:hAnsi="Times New Roman" w:cs="Times New Roman"/>
                <w:sz w:val="20"/>
                <w:szCs w:val="20"/>
                <w:lang w:eastAsia="fr-FR"/>
              </w:rPr>
              <w:t> </w:t>
            </w:r>
            <w:r w:rsidRPr="007A0279">
              <w:rPr>
                <w:rFonts w:ascii="Times New Roman" w:hAnsi="Times New Roman" w:cs="Times New Roman"/>
                <w:b/>
                <w:bCs/>
                <w:sz w:val="20"/>
                <w:szCs w:val="20"/>
              </w:rPr>
              <w:t>Com DMA</w:t>
            </w:r>
          </w:p>
        </w:tc>
        <w:tc>
          <w:tcPr>
            <w:tcW w:w="1843" w:type="dxa"/>
            <w:tcBorders>
              <w:bottom w:val="single" w:sz="4" w:space="0" w:color="auto"/>
            </w:tcBorders>
            <w:vAlign w:val="center"/>
          </w:tcPr>
          <w:p w:rsidR="007A0279" w:rsidRPr="007A0279" w:rsidRDefault="007A0279" w:rsidP="007A0279">
            <w:pPr>
              <w:rPr>
                <w:rFonts w:ascii="Times New Roman" w:hAnsi="Times New Roman" w:cs="Times New Roman"/>
                <w:b/>
                <w:sz w:val="20"/>
                <w:szCs w:val="20"/>
              </w:rPr>
            </w:pPr>
            <w:r w:rsidRPr="007A0279">
              <w:rPr>
                <w:rFonts w:ascii="Times New Roman" w:hAnsi="Times New Roman" w:cs="Times New Roman"/>
                <w:b/>
                <w:sz w:val="20"/>
                <w:szCs w:val="20"/>
              </w:rPr>
              <w:t>Crédit immobilier /</w:t>
            </w:r>
          </w:p>
          <w:p w:rsidR="007A0279" w:rsidRPr="007A0279" w:rsidRDefault="007A0279" w:rsidP="007A0279">
            <w:pPr>
              <w:rPr>
                <w:rFonts w:ascii="Times New Roman" w:hAnsi="Times New Roman" w:cs="Times New Roman"/>
                <w:b/>
                <w:sz w:val="20"/>
                <w:szCs w:val="20"/>
              </w:rPr>
            </w:pPr>
            <w:r w:rsidRPr="007A0279">
              <w:rPr>
                <w:rFonts w:ascii="Times New Roman" w:hAnsi="Times New Roman" w:cs="Times New Roman"/>
                <w:b/>
                <w:sz w:val="20"/>
                <w:szCs w:val="20"/>
              </w:rPr>
              <w:t>Mise en marché de Crédit Immobilier Digitalisé</w:t>
            </w:r>
          </w:p>
        </w:tc>
        <w:tc>
          <w:tcPr>
            <w:tcW w:w="12332" w:type="dxa"/>
            <w:tcBorders>
              <w:bottom w:val="single" w:sz="4" w:space="0" w:color="auto"/>
            </w:tcBorders>
            <w:shd w:val="clear" w:color="auto" w:fill="auto"/>
          </w:tcPr>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Pr>
                <w:rFonts w:ascii="Times New Roman" w:hAnsi="Times New Roman" w:cs="Times New Roman"/>
                <w:sz w:val="20"/>
                <w:szCs w:val="20"/>
              </w:rPr>
              <w:t>D</w:t>
            </w:r>
            <w:r w:rsidRPr="007A0279">
              <w:rPr>
                <w:rFonts w:ascii="Times New Roman" w:hAnsi="Times New Roman" w:cs="Times New Roman"/>
                <w:sz w:val="20"/>
                <w:szCs w:val="20"/>
              </w:rPr>
              <w:t xml:space="preserve">ès fin juin 2018, le simulateur de crédit immobilier disponible sur notre site internet </w:t>
            </w:r>
            <w:hyperlink r:id="rId17" w:history="1">
              <w:r w:rsidRPr="007A0279">
                <w:rPr>
                  <w:rStyle w:val="Lienhypertexte"/>
                  <w:rFonts w:ascii="Times New Roman" w:hAnsi="Times New Roman" w:cs="Times New Roman"/>
                  <w:sz w:val="20"/>
                  <w:szCs w:val="20"/>
                </w:rPr>
                <w:t>www.caisse-epargne.fr</w:t>
              </w:r>
            </w:hyperlink>
            <w:r w:rsidRPr="007A0279">
              <w:rPr>
                <w:rFonts w:ascii="Times New Roman" w:hAnsi="Times New Roman" w:cs="Times New Roman"/>
                <w:sz w:val="20"/>
                <w:szCs w:val="20"/>
              </w:rPr>
              <w:t xml:space="preserve"> évolue et devient « Crédit Immobilier Digitalisé ».</w:t>
            </w:r>
          </w:p>
          <w:p w:rsidR="007A0279" w:rsidRPr="007A0279" w:rsidRDefault="007A0279" w:rsidP="007A0279">
            <w:pPr>
              <w:pStyle w:val="Paragraphedeliste"/>
              <w:numPr>
                <w:ilvl w:val="0"/>
                <w:numId w:val="47"/>
              </w:numPr>
              <w:ind w:left="175" w:hanging="175"/>
              <w:contextualSpacing w:val="0"/>
              <w:jc w:val="both"/>
              <w:rPr>
                <w:rFonts w:ascii="Times New Roman" w:eastAsia="Times New Roman" w:hAnsi="Times New Roman" w:cs="Times New Roman"/>
                <w:sz w:val="20"/>
                <w:szCs w:val="20"/>
                <w:lang w:eastAsia="fr-FR"/>
              </w:rPr>
            </w:pPr>
            <w:r w:rsidRPr="007A0279">
              <w:rPr>
                <w:rFonts w:ascii="Times New Roman" w:hAnsi="Times New Roman" w:cs="Times New Roman"/>
                <w:sz w:val="20"/>
                <w:szCs w:val="20"/>
              </w:rPr>
              <w:t>Nos clients et prospects, dans le cadre de leur demande en ligne, pourront désormais obtenir une proposition commer</w:t>
            </w:r>
            <w:r>
              <w:rPr>
                <w:rFonts w:ascii="Times New Roman" w:hAnsi="Times New Roman" w:cs="Times New Roman"/>
                <w:sz w:val="20"/>
                <w:szCs w:val="20"/>
              </w:rPr>
              <w:t>ciale personnalisée comprenant : u</w:t>
            </w:r>
            <w:r w:rsidRPr="007A0279">
              <w:rPr>
                <w:rFonts w:ascii="Times New Roman" w:hAnsi="Times New Roman" w:cs="Times New Roman"/>
                <w:sz w:val="20"/>
                <w:szCs w:val="20"/>
              </w:rPr>
              <w:t>n taux</w:t>
            </w:r>
            <w:r>
              <w:rPr>
                <w:rFonts w:ascii="Times New Roman" w:hAnsi="Times New Roman" w:cs="Times New Roman"/>
                <w:sz w:val="20"/>
                <w:szCs w:val="20"/>
              </w:rPr>
              <w:t>, u</w:t>
            </w:r>
            <w:r w:rsidRPr="007A0279">
              <w:rPr>
                <w:rFonts w:ascii="Times New Roman" w:hAnsi="Times New Roman" w:cs="Times New Roman"/>
                <w:sz w:val="20"/>
                <w:szCs w:val="20"/>
              </w:rPr>
              <w:t xml:space="preserve">ne garantie </w:t>
            </w:r>
            <w:proofErr w:type="spellStart"/>
            <w:r w:rsidRPr="007A0279">
              <w:rPr>
                <w:rFonts w:ascii="Times New Roman" w:hAnsi="Times New Roman" w:cs="Times New Roman"/>
                <w:sz w:val="20"/>
                <w:szCs w:val="20"/>
              </w:rPr>
              <w:t>Saccef</w:t>
            </w:r>
            <w:proofErr w:type="spellEnd"/>
            <w:r w:rsidRPr="007A0279">
              <w:rPr>
                <w:rFonts w:ascii="Times New Roman" w:hAnsi="Times New Roman" w:cs="Times New Roman"/>
                <w:sz w:val="20"/>
                <w:szCs w:val="20"/>
              </w:rPr>
              <w:t xml:space="preserve"> </w:t>
            </w:r>
            <w:r>
              <w:rPr>
                <w:rFonts w:ascii="Times New Roman" w:hAnsi="Times New Roman" w:cs="Times New Roman"/>
                <w:sz w:val="20"/>
                <w:szCs w:val="20"/>
              </w:rPr>
              <w:t>e</w:t>
            </w:r>
            <w:r w:rsidRPr="007A0279">
              <w:rPr>
                <w:rFonts w:ascii="Times New Roman" w:hAnsi="Times New Roman" w:cs="Times New Roman"/>
                <w:sz w:val="20"/>
                <w:szCs w:val="20"/>
              </w:rPr>
              <w:t>t notre contrat ADE groupe CNP</w:t>
            </w:r>
            <w:r>
              <w:rPr>
                <w:rFonts w:ascii="Times New Roman" w:hAnsi="Times New Roman" w:cs="Times New Roman"/>
                <w:sz w:val="20"/>
                <w:szCs w:val="20"/>
              </w:rPr>
              <w:t>.</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 xml:space="preserve">Cette proposition commerciale sera automatiquement reprise dans NEO. </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Ils seront ensuite contactés par l’Espace Habitat qui leur proposera de finaliser leur demande et de positionner un RDV en agence.</w:t>
            </w:r>
          </w:p>
          <w:p w:rsidR="007A0279" w:rsidRPr="007A0279" w:rsidRDefault="007A0279" w:rsidP="007A0279">
            <w:pPr>
              <w:pStyle w:val="Paragraphedeliste"/>
              <w:numPr>
                <w:ilvl w:val="0"/>
                <w:numId w:val="47"/>
              </w:numPr>
              <w:ind w:left="175" w:hanging="175"/>
              <w:contextualSpacing w:val="0"/>
              <w:jc w:val="both"/>
              <w:rPr>
                <w:rFonts w:ascii="Times New Roman" w:hAnsi="Times New Roman" w:cs="Times New Roman"/>
                <w:sz w:val="20"/>
                <w:szCs w:val="20"/>
              </w:rPr>
            </w:pPr>
            <w:r w:rsidRPr="007A0279">
              <w:rPr>
                <w:rFonts w:ascii="Times New Roman" w:hAnsi="Times New Roman" w:cs="Times New Roman"/>
                <w:sz w:val="20"/>
                <w:szCs w:val="20"/>
              </w:rPr>
              <w:t xml:space="preserve">Découvrez la vidéo du Crédit Immobilier Digitalisé en </w:t>
            </w:r>
            <w:hyperlink r:id="rId18" w:history="1">
              <w:r w:rsidRPr="007A0279">
                <w:rPr>
                  <w:rStyle w:val="Lienhypertexte"/>
                  <w:rFonts w:ascii="Times New Roman" w:hAnsi="Times New Roman" w:cs="Times New Roman"/>
                  <w:sz w:val="20"/>
                  <w:szCs w:val="20"/>
                </w:rPr>
                <w:t>cliquant ICI</w:t>
              </w:r>
            </w:hyperlink>
            <w:r w:rsidRPr="007A0279">
              <w:rPr>
                <w:rFonts w:ascii="Times New Roman" w:hAnsi="Times New Roman" w:cs="Times New Roman"/>
                <w:sz w:val="20"/>
                <w:szCs w:val="20"/>
              </w:rPr>
              <w:t>.</w:t>
            </w:r>
          </w:p>
        </w:tc>
      </w:tr>
      <w:tr w:rsidR="001B0017" w:rsidRPr="00E81F6E" w:rsidTr="001B0017">
        <w:trPr>
          <w:trHeight w:val="285"/>
        </w:trPr>
        <w:tc>
          <w:tcPr>
            <w:tcW w:w="15735" w:type="dxa"/>
            <w:gridSpan w:val="3"/>
            <w:tcBorders>
              <w:bottom w:val="single" w:sz="4" w:space="0" w:color="auto"/>
            </w:tcBorders>
            <w:shd w:val="clear" w:color="auto" w:fill="BFBFBF" w:themeFill="background1" w:themeFillShade="BF"/>
          </w:tcPr>
          <w:p w:rsidR="001B0017" w:rsidRPr="001B0017" w:rsidRDefault="00E013E5" w:rsidP="001B0017">
            <w:pPr>
              <w:pStyle w:val="wordsection1"/>
              <w:spacing w:before="0" w:beforeAutospacing="0" w:after="0" w:afterAutospacing="0"/>
              <w:jc w:val="center"/>
              <w:rPr>
                <w:b/>
                <w:sz w:val="20"/>
                <w:szCs w:val="20"/>
              </w:rPr>
            </w:pPr>
            <w:r>
              <w:rPr>
                <w:b/>
                <w:sz w:val="20"/>
                <w:szCs w:val="20"/>
              </w:rPr>
              <w:t>Multicanal</w:t>
            </w:r>
          </w:p>
        </w:tc>
      </w:tr>
      <w:tr w:rsidR="00E013E5" w:rsidRPr="00E81F6E" w:rsidTr="005639F4">
        <w:trPr>
          <w:trHeight w:val="285"/>
        </w:trPr>
        <w:tc>
          <w:tcPr>
            <w:tcW w:w="1560" w:type="dxa"/>
            <w:tcBorders>
              <w:bottom w:val="single" w:sz="4" w:space="0" w:color="auto"/>
            </w:tcBorders>
          </w:tcPr>
          <w:p w:rsidR="00E013E5" w:rsidRDefault="00E013E5" w:rsidP="007061E9">
            <w:r>
              <w:rPr>
                <w:rFonts w:ascii="Times New Roman" w:hAnsi="Times New Roman" w:cs="Times New Roman"/>
                <w:b/>
                <w:bCs/>
                <w:color w:val="000000"/>
                <w:sz w:val="20"/>
                <w:szCs w:val="20"/>
              </w:rPr>
              <w:t>Com. DMA</w:t>
            </w:r>
          </w:p>
        </w:tc>
        <w:tc>
          <w:tcPr>
            <w:tcW w:w="1843" w:type="dxa"/>
            <w:tcBorders>
              <w:bottom w:val="single" w:sz="4" w:space="0" w:color="auto"/>
            </w:tcBorders>
          </w:tcPr>
          <w:p w:rsidR="00E013E5" w:rsidRPr="00E013E5" w:rsidRDefault="00E013E5" w:rsidP="00E013E5">
            <w:pPr>
              <w:rPr>
                <w:rFonts w:ascii="Times New Roman" w:hAnsi="Times New Roman" w:cs="Times New Roman"/>
                <w:b/>
                <w:sz w:val="20"/>
                <w:szCs w:val="20"/>
              </w:rPr>
            </w:pPr>
            <w:r w:rsidRPr="00E013E5">
              <w:rPr>
                <w:rFonts w:ascii="Times New Roman" w:hAnsi="Times New Roman" w:cs="Times New Roman"/>
                <w:b/>
                <w:sz w:val="20"/>
                <w:szCs w:val="20"/>
              </w:rPr>
              <w:t>VAD - MOC</w:t>
            </w:r>
          </w:p>
          <w:p w:rsidR="00E013E5" w:rsidRPr="00E013E5" w:rsidRDefault="00E013E5" w:rsidP="00E013E5">
            <w:pPr>
              <w:rPr>
                <w:rFonts w:ascii="Times New Roman" w:hAnsi="Times New Roman" w:cs="Times New Roman"/>
                <w:sz w:val="20"/>
                <w:szCs w:val="20"/>
              </w:rPr>
            </w:pPr>
          </w:p>
        </w:tc>
        <w:tc>
          <w:tcPr>
            <w:tcW w:w="12332" w:type="dxa"/>
            <w:tcBorders>
              <w:bottom w:val="single" w:sz="4" w:space="0" w:color="auto"/>
            </w:tcBorders>
            <w:shd w:val="clear" w:color="auto" w:fill="auto"/>
          </w:tcPr>
          <w:p w:rsidR="00E013E5" w:rsidRPr="00E013E5" w:rsidRDefault="00E013E5" w:rsidP="00E013E5">
            <w:pPr>
              <w:pStyle w:val="wordsection1"/>
              <w:numPr>
                <w:ilvl w:val="0"/>
                <w:numId w:val="45"/>
              </w:numPr>
              <w:spacing w:before="0" w:beforeAutospacing="0" w:after="0" w:afterAutospacing="0"/>
              <w:ind w:left="187" w:hanging="187"/>
              <w:jc w:val="both"/>
              <w:rPr>
                <w:sz w:val="20"/>
                <w:szCs w:val="20"/>
                <w:lang w:eastAsia="en-US"/>
              </w:rPr>
            </w:pPr>
            <w:r w:rsidRPr="00E013E5">
              <w:rPr>
                <w:sz w:val="20"/>
                <w:szCs w:val="20"/>
                <w:lang w:eastAsia="en-US"/>
              </w:rPr>
              <w:t xml:space="preserve">Le service Middle Office Commercial (Nancy Poirel) remarque que </w:t>
            </w:r>
            <w:r w:rsidRPr="00E013E5">
              <w:rPr>
                <w:b/>
                <w:sz w:val="20"/>
                <w:szCs w:val="20"/>
                <w:lang w:eastAsia="en-US"/>
              </w:rPr>
              <w:t>le nombre de demandes de crédit non conformes ou hors périmètre est à la hausse, ce qui entraine de l’insatisfaction</w:t>
            </w:r>
            <w:r w:rsidRPr="00E013E5">
              <w:rPr>
                <w:sz w:val="20"/>
                <w:szCs w:val="20"/>
                <w:lang w:eastAsia="en-US"/>
              </w:rPr>
              <w:t xml:space="preserve">. Afin d’éviter ces situations, vous trouverez ci-dessous </w:t>
            </w:r>
            <w:r w:rsidRPr="00E013E5">
              <w:rPr>
                <w:b/>
                <w:sz w:val="20"/>
                <w:szCs w:val="20"/>
                <w:lang w:eastAsia="en-US"/>
              </w:rPr>
              <w:t>un rappel des bonnes pratiques :</w:t>
            </w:r>
          </w:p>
          <w:p w:rsidR="00E013E5" w:rsidRPr="00E013E5" w:rsidRDefault="00E013E5" w:rsidP="00E013E5">
            <w:pPr>
              <w:pStyle w:val="wordsection1"/>
              <w:numPr>
                <w:ilvl w:val="1"/>
                <w:numId w:val="37"/>
              </w:numPr>
              <w:spacing w:before="0" w:beforeAutospacing="0" w:after="0" w:afterAutospacing="0"/>
              <w:ind w:left="742" w:hanging="283"/>
              <w:jc w:val="both"/>
              <w:rPr>
                <w:sz w:val="20"/>
                <w:szCs w:val="20"/>
                <w:lang w:eastAsia="en-US"/>
              </w:rPr>
            </w:pPr>
            <w:r w:rsidRPr="00E013E5">
              <w:rPr>
                <w:sz w:val="20"/>
                <w:szCs w:val="20"/>
                <w:lang w:eastAsia="en-US"/>
              </w:rPr>
              <w:t>Le MOC ne prend en charge que les crédits en signature SED → les demandes en mode de signature papier ne seront pas prises en charge</w:t>
            </w:r>
          </w:p>
          <w:p w:rsidR="00E013E5" w:rsidRPr="00E013E5" w:rsidRDefault="00E013E5" w:rsidP="00E013E5">
            <w:pPr>
              <w:pStyle w:val="wordsection1"/>
              <w:numPr>
                <w:ilvl w:val="1"/>
                <w:numId w:val="37"/>
              </w:numPr>
              <w:spacing w:before="0" w:beforeAutospacing="0" w:after="0" w:afterAutospacing="0"/>
              <w:ind w:left="742" w:hanging="283"/>
              <w:jc w:val="both"/>
              <w:rPr>
                <w:sz w:val="20"/>
                <w:szCs w:val="20"/>
                <w:lang w:eastAsia="en-US"/>
              </w:rPr>
            </w:pPr>
            <w:r w:rsidRPr="00E013E5">
              <w:rPr>
                <w:sz w:val="20"/>
                <w:szCs w:val="20"/>
                <w:lang w:eastAsia="en-US"/>
              </w:rPr>
              <w:t>Les Crédits Etudiant et Apprentis sont hors périmètre → la gestion des cautions n’est pas prévu dans le dispositif de VAD</w:t>
            </w:r>
          </w:p>
          <w:p w:rsidR="00E013E5" w:rsidRPr="00E013E5" w:rsidRDefault="00E013E5" w:rsidP="00E013E5">
            <w:pPr>
              <w:pStyle w:val="wordsection1"/>
              <w:numPr>
                <w:ilvl w:val="1"/>
                <w:numId w:val="37"/>
              </w:numPr>
              <w:spacing w:before="0" w:beforeAutospacing="0" w:after="0" w:afterAutospacing="0"/>
              <w:ind w:left="742" w:hanging="283"/>
              <w:jc w:val="both"/>
              <w:rPr>
                <w:sz w:val="20"/>
                <w:szCs w:val="20"/>
                <w:lang w:eastAsia="en-US"/>
              </w:rPr>
            </w:pPr>
            <w:r w:rsidRPr="00E013E5">
              <w:rPr>
                <w:sz w:val="20"/>
                <w:szCs w:val="20"/>
                <w:lang w:eastAsia="en-US"/>
              </w:rPr>
              <w:t>Une demande de pièces complémentaires génère automatiquement l’envoi d’une demande au client →</w:t>
            </w:r>
            <w:r w:rsidR="003D2F43">
              <w:rPr>
                <w:sz w:val="20"/>
                <w:szCs w:val="20"/>
                <w:lang w:eastAsia="en-US"/>
              </w:rPr>
              <w:t xml:space="preserve"> </w:t>
            </w:r>
            <w:r w:rsidRPr="00E013E5">
              <w:rPr>
                <w:sz w:val="20"/>
                <w:szCs w:val="20"/>
                <w:lang w:eastAsia="en-US"/>
              </w:rPr>
              <w:t xml:space="preserve">La mise en force est alors conditionnée à la réception des documents demandés. </w:t>
            </w:r>
          </w:p>
          <w:p w:rsidR="00E013E5" w:rsidRPr="00E013E5" w:rsidRDefault="00E013E5" w:rsidP="00E013E5">
            <w:pPr>
              <w:pStyle w:val="wordsection1"/>
              <w:numPr>
                <w:ilvl w:val="1"/>
                <w:numId w:val="37"/>
              </w:numPr>
              <w:spacing w:before="0" w:beforeAutospacing="0" w:after="0" w:afterAutospacing="0"/>
              <w:ind w:left="742" w:hanging="283"/>
              <w:jc w:val="both"/>
              <w:rPr>
                <w:sz w:val="20"/>
                <w:szCs w:val="20"/>
              </w:rPr>
            </w:pPr>
            <w:r w:rsidRPr="00E013E5">
              <w:rPr>
                <w:sz w:val="20"/>
                <w:szCs w:val="20"/>
                <w:lang w:eastAsia="en-US"/>
              </w:rPr>
              <w:t>Dans la majorité des cas, les pièces demandées sont déjà présentes dans classeur client.</w:t>
            </w:r>
            <w:r w:rsidR="003D2F43">
              <w:rPr>
                <w:sz w:val="20"/>
                <w:szCs w:val="20"/>
                <w:lang w:eastAsia="en-US"/>
              </w:rPr>
              <w:t xml:space="preserve"> </w:t>
            </w:r>
            <w:r w:rsidRPr="00E013E5">
              <w:rPr>
                <w:sz w:val="20"/>
                <w:szCs w:val="20"/>
                <w:lang w:eastAsia="en-US"/>
              </w:rPr>
              <w:t>Afin d’optimiser le processus : ne demander que les pièces manquantes ou périmées.</w:t>
            </w:r>
          </w:p>
        </w:tc>
      </w:tr>
    </w:tbl>
    <w:p w:rsidR="007A0279" w:rsidRDefault="007A0279">
      <w:r>
        <w:br w:type="page"/>
      </w:r>
      <w:bookmarkStart w:id="0" w:name="_GoBack"/>
      <w:bookmarkEnd w:id="0"/>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lastRenderedPageBreak/>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SUIVIS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ET</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RAPPORTS</w:t>
            </w:r>
          </w:p>
        </w:tc>
      </w:tr>
      <w:tr w:rsidR="001C7105"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1C7105" w:rsidRPr="001C7105" w:rsidRDefault="001C7105" w:rsidP="008F65AE">
            <w:pPr>
              <w:rPr>
                <w:rFonts w:ascii="Times New Roman" w:hAnsi="Times New Roman" w:cs="Times New Roman"/>
                <w:b/>
                <w:bCs/>
                <w:color w:val="000000"/>
                <w:sz w:val="20"/>
                <w:szCs w:val="20"/>
              </w:rPr>
            </w:pPr>
            <w:r w:rsidRPr="001C7105">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1C7105" w:rsidRPr="001C7105" w:rsidRDefault="00497183" w:rsidP="003F6D9B">
            <w:pPr>
              <w:pStyle w:val="wordsection1"/>
              <w:rPr>
                <w:b/>
                <w:bCs/>
                <w:sz w:val="20"/>
                <w:szCs w:val="20"/>
              </w:rPr>
            </w:pPr>
            <w:r>
              <w:rPr>
                <w:b/>
                <w:bCs/>
                <w:sz w:val="20"/>
                <w:szCs w:val="20"/>
              </w:rPr>
              <w:t>S</w:t>
            </w:r>
            <w:r w:rsidR="001C7105" w:rsidRPr="001C7105">
              <w:rPr>
                <w:b/>
                <w:bCs/>
                <w:sz w:val="20"/>
                <w:szCs w:val="20"/>
              </w:rPr>
              <w:t>uivi Léa</w:t>
            </w:r>
          </w:p>
        </w:tc>
        <w:tc>
          <w:tcPr>
            <w:tcW w:w="12332" w:type="dxa"/>
            <w:tcBorders>
              <w:top w:val="single" w:sz="4" w:space="0" w:color="auto"/>
              <w:left w:val="single" w:sz="4" w:space="0" w:color="auto"/>
              <w:bottom w:val="single" w:sz="4" w:space="0" w:color="auto"/>
              <w:right w:val="single" w:sz="4" w:space="0" w:color="auto"/>
            </w:tcBorders>
          </w:tcPr>
          <w:p w:rsidR="001C7105" w:rsidRPr="001157AC" w:rsidRDefault="001C7105" w:rsidP="00497183">
            <w:pPr>
              <w:numPr>
                <w:ilvl w:val="0"/>
                <w:numId w:val="26"/>
              </w:numPr>
              <w:ind w:left="176" w:hanging="176"/>
              <w:contextualSpacing/>
              <w:jc w:val="both"/>
              <w:rPr>
                <w:rFonts w:ascii="Times New Roman" w:hAnsi="Times New Roman" w:cs="Times New Roman"/>
                <w:sz w:val="20"/>
                <w:szCs w:val="20"/>
              </w:rPr>
            </w:pPr>
            <w:r w:rsidRPr="001157AC">
              <w:rPr>
                <w:rFonts w:ascii="Times New Roman" w:hAnsi="Times New Roman" w:cs="Times New Roman"/>
                <w:sz w:val="20"/>
                <w:szCs w:val="20"/>
              </w:rPr>
              <w:t xml:space="preserve">Vous trouverez </w:t>
            </w:r>
            <w:hyperlink r:id="rId19" w:history="1">
              <w:r w:rsidRPr="001157AC">
                <w:rPr>
                  <w:rStyle w:val="Lienhypertexte"/>
                  <w:rFonts w:ascii="Times New Roman" w:hAnsi="Times New Roman" w:cs="Times New Roman"/>
                  <w:sz w:val="20"/>
                  <w:szCs w:val="20"/>
                </w:rPr>
                <w:t>en cliquant ici</w:t>
              </w:r>
            </w:hyperlink>
            <w:r w:rsidRPr="001157AC">
              <w:rPr>
                <w:rFonts w:ascii="Times New Roman" w:hAnsi="Times New Roman" w:cs="Times New Roman"/>
                <w:sz w:val="20"/>
                <w:szCs w:val="20"/>
              </w:rPr>
              <w:t xml:space="preserve"> </w:t>
            </w:r>
            <w:r w:rsidRPr="001157AC">
              <w:rPr>
                <w:rFonts w:ascii="Times New Roman" w:hAnsi="Times New Roman" w:cs="Times New Roman"/>
                <w:b/>
                <w:sz w:val="20"/>
                <w:szCs w:val="20"/>
              </w:rPr>
              <w:t>les statistiques d’utilisation de LEA au 1</w:t>
            </w:r>
            <w:r w:rsidR="00497183">
              <w:rPr>
                <w:rFonts w:ascii="Times New Roman" w:hAnsi="Times New Roman" w:cs="Times New Roman"/>
                <w:b/>
                <w:sz w:val="20"/>
                <w:szCs w:val="20"/>
              </w:rPr>
              <w:t>7</w:t>
            </w:r>
            <w:r w:rsidRPr="001157AC">
              <w:rPr>
                <w:rFonts w:ascii="Times New Roman" w:hAnsi="Times New Roman" w:cs="Times New Roman"/>
                <w:b/>
                <w:sz w:val="20"/>
                <w:szCs w:val="20"/>
              </w:rPr>
              <w:t>/06/2018</w:t>
            </w:r>
            <w:r w:rsidR="00497183">
              <w:rPr>
                <w:rFonts w:ascii="Times New Roman" w:hAnsi="Times New Roman" w:cs="Times New Roman"/>
                <w:sz w:val="20"/>
                <w:szCs w:val="20"/>
              </w:rPr>
              <w:t>. Pour l’ex-</w:t>
            </w:r>
            <w:r w:rsidRPr="001157AC">
              <w:rPr>
                <w:rFonts w:ascii="Times New Roman" w:hAnsi="Times New Roman" w:cs="Times New Roman"/>
                <w:sz w:val="20"/>
                <w:szCs w:val="20"/>
              </w:rPr>
              <w:t>CELCA, le taux d’utilisation</w:t>
            </w:r>
            <w:r w:rsidR="00497183">
              <w:rPr>
                <w:rFonts w:ascii="Times New Roman" w:hAnsi="Times New Roman" w:cs="Times New Roman"/>
                <w:sz w:val="20"/>
                <w:szCs w:val="20"/>
              </w:rPr>
              <w:t xml:space="preserve"> est de 58% p</w:t>
            </w:r>
            <w:r w:rsidRPr="001157AC">
              <w:rPr>
                <w:rFonts w:ascii="Times New Roman" w:hAnsi="Times New Roman" w:cs="Times New Roman"/>
                <w:sz w:val="20"/>
                <w:szCs w:val="20"/>
              </w:rPr>
              <w:t>our la S2</w:t>
            </w:r>
            <w:r w:rsidR="00497183">
              <w:rPr>
                <w:rFonts w:ascii="Times New Roman" w:hAnsi="Times New Roman" w:cs="Times New Roman"/>
                <w:sz w:val="20"/>
                <w:szCs w:val="20"/>
              </w:rPr>
              <w:t>4.</w:t>
            </w:r>
          </w:p>
        </w:tc>
      </w:tr>
      <w:tr w:rsidR="00497183"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497183" w:rsidRPr="001C7105" w:rsidRDefault="00497183" w:rsidP="008F65AE">
            <w:pPr>
              <w:rPr>
                <w:rFonts w:ascii="Times New Roman" w:hAnsi="Times New Roman" w:cs="Times New Roman"/>
                <w:b/>
                <w:bCs/>
                <w:color w:val="000000"/>
                <w:sz w:val="20"/>
                <w:szCs w:val="20"/>
              </w:rPr>
            </w:pPr>
            <w:r w:rsidRPr="001C7105">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497183" w:rsidRDefault="00497183" w:rsidP="003F6D9B">
            <w:pPr>
              <w:pStyle w:val="wordsection1"/>
              <w:rPr>
                <w:b/>
                <w:bCs/>
                <w:sz w:val="20"/>
                <w:szCs w:val="20"/>
              </w:rPr>
            </w:pPr>
            <w:r>
              <w:rPr>
                <w:b/>
                <w:bCs/>
                <w:sz w:val="20"/>
                <w:szCs w:val="20"/>
              </w:rPr>
              <w:t>Suivis Relations patrimoniales ex- CELCA</w:t>
            </w:r>
          </w:p>
        </w:tc>
        <w:tc>
          <w:tcPr>
            <w:tcW w:w="12332" w:type="dxa"/>
            <w:tcBorders>
              <w:top w:val="single" w:sz="4" w:space="0" w:color="auto"/>
              <w:left w:val="single" w:sz="4" w:space="0" w:color="auto"/>
              <w:bottom w:val="single" w:sz="4" w:space="0" w:color="auto"/>
              <w:right w:val="single" w:sz="4" w:space="0" w:color="auto"/>
            </w:tcBorders>
          </w:tcPr>
          <w:p w:rsidR="00497183" w:rsidRPr="001157AC" w:rsidRDefault="00497183" w:rsidP="00497183">
            <w:pPr>
              <w:numPr>
                <w:ilvl w:val="0"/>
                <w:numId w:val="26"/>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Nous vous informons que les 2 suivis </w:t>
            </w:r>
            <w:r w:rsidRPr="00497183">
              <w:rPr>
                <w:rFonts w:ascii="Times New Roman" w:hAnsi="Times New Roman" w:cs="Times New Roman"/>
                <w:sz w:val="20"/>
                <w:szCs w:val="20"/>
              </w:rPr>
              <w:t>Relations Patrimoniales et Clientèle SFG Fragile arrê</w:t>
            </w:r>
            <w:r>
              <w:rPr>
                <w:rFonts w:ascii="Times New Roman" w:hAnsi="Times New Roman" w:cs="Times New Roman"/>
                <w:sz w:val="20"/>
                <w:szCs w:val="20"/>
              </w:rPr>
              <w:t>tés au 31/05/2018 sont en ligne (</w:t>
            </w:r>
            <w:hyperlink r:id="rId20" w:history="1">
              <w:r w:rsidRPr="00497183">
                <w:rPr>
                  <w:rStyle w:val="Lienhypertexte"/>
                  <w:rFonts w:ascii="Times New Roman" w:hAnsi="Times New Roman" w:cs="Times New Roman"/>
                  <w:sz w:val="20"/>
                  <w:szCs w:val="20"/>
                </w:rPr>
                <w:t>cliquez ici</w:t>
              </w:r>
            </w:hyperlink>
            <w:r>
              <w:rPr>
                <w:rFonts w:ascii="Times New Roman" w:hAnsi="Times New Roman" w:cs="Times New Roman"/>
                <w:sz w:val="20"/>
                <w:szCs w:val="20"/>
              </w:rPr>
              <w:t xml:space="preserve">). </w:t>
            </w:r>
          </w:p>
        </w:tc>
      </w:tr>
    </w:tbl>
    <w:p w:rsidR="00EF1178" w:rsidRPr="00EA52AC" w:rsidRDefault="00EF1178" w:rsidP="00E971C7">
      <w:pPr>
        <w:rPr>
          <w:rFonts w:ascii="Times New Roman" w:hAnsi="Times New Roman" w:cs="Times New Roman"/>
          <w:strike/>
          <w:sz w:val="20"/>
          <w:szCs w:val="20"/>
        </w:rPr>
      </w:pPr>
    </w:p>
    <w:sectPr w:rsidR="00EF1178" w:rsidRPr="00EA52AC" w:rsidSect="00421843">
      <w:footerReference w:type="default" r:id="rId21"/>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79DB" w:rsidRDefault="00D479DB" w:rsidP="0035465A">
      <w:pPr>
        <w:spacing w:after="0" w:line="240" w:lineRule="auto"/>
      </w:pPr>
      <w:r>
        <w:separator/>
      </w:r>
    </w:p>
  </w:endnote>
  <w:endnote w:type="continuationSeparator" w:id="0">
    <w:p w:rsidR="00D479DB" w:rsidRDefault="00D479DB"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79DB" w:rsidRDefault="00D479DB" w:rsidP="0035465A">
      <w:pPr>
        <w:spacing w:after="0" w:line="240" w:lineRule="auto"/>
      </w:pPr>
      <w:r>
        <w:separator/>
      </w:r>
    </w:p>
  </w:footnote>
  <w:footnote w:type="continuationSeparator" w:id="0">
    <w:p w:rsidR="00D479DB" w:rsidRDefault="00D479DB"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2B0E62"/>
    <w:multiLevelType w:val="hybridMultilevel"/>
    <w:tmpl w:val="DAE06F56"/>
    <w:lvl w:ilvl="0" w:tplc="0E80B7E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0ECB43C3"/>
    <w:multiLevelType w:val="hybridMultilevel"/>
    <w:tmpl w:val="AFACE8C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0F7B2169"/>
    <w:multiLevelType w:val="hybridMultilevel"/>
    <w:tmpl w:val="C17C68E6"/>
    <w:lvl w:ilvl="0" w:tplc="040C0001">
      <w:start w:val="1"/>
      <w:numFmt w:val="bullet"/>
      <w:lvlText w:val=""/>
      <w:lvlJc w:val="left"/>
      <w:pPr>
        <w:ind w:left="896" w:hanging="360"/>
      </w:pPr>
      <w:rPr>
        <w:rFonts w:ascii="Symbol" w:hAnsi="Symbol" w:hint="default"/>
      </w:rPr>
    </w:lvl>
    <w:lvl w:ilvl="1" w:tplc="040C0003">
      <w:start w:val="1"/>
      <w:numFmt w:val="bullet"/>
      <w:lvlText w:val="o"/>
      <w:lvlJc w:val="left"/>
      <w:pPr>
        <w:ind w:left="1616" w:hanging="360"/>
      </w:pPr>
      <w:rPr>
        <w:rFonts w:ascii="Courier New" w:hAnsi="Courier New" w:cs="Courier New" w:hint="default"/>
      </w:rPr>
    </w:lvl>
    <w:lvl w:ilvl="2" w:tplc="040C0005">
      <w:start w:val="1"/>
      <w:numFmt w:val="bullet"/>
      <w:lvlText w:val=""/>
      <w:lvlJc w:val="left"/>
      <w:pPr>
        <w:ind w:left="2336" w:hanging="360"/>
      </w:pPr>
      <w:rPr>
        <w:rFonts w:ascii="Wingdings" w:hAnsi="Wingdings" w:hint="default"/>
      </w:rPr>
    </w:lvl>
    <w:lvl w:ilvl="3" w:tplc="040C0001">
      <w:start w:val="1"/>
      <w:numFmt w:val="bullet"/>
      <w:lvlText w:val=""/>
      <w:lvlJc w:val="left"/>
      <w:pPr>
        <w:ind w:left="3056" w:hanging="360"/>
      </w:pPr>
      <w:rPr>
        <w:rFonts w:ascii="Symbol" w:hAnsi="Symbol" w:hint="default"/>
      </w:rPr>
    </w:lvl>
    <w:lvl w:ilvl="4" w:tplc="040C0003">
      <w:start w:val="1"/>
      <w:numFmt w:val="bullet"/>
      <w:lvlText w:val="o"/>
      <w:lvlJc w:val="left"/>
      <w:pPr>
        <w:ind w:left="3776" w:hanging="360"/>
      </w:pPr>
      <w:rPr>
        <w:rFonts w:ascii="Courier New" w:hAnsi="Courier New" w:cs="Courier New" w:hint="default"/>
      </w:rPr>
    </w:lvl>
    <w:lvl w:ilvl="5" w:tplc="040C0005">
      <w:start w:val="1"/>
      <w:numFmt w:val="bullet"/>
      <w:lvlText w:val=""/>
      <w:lvlJc w:val="left"/>
      <w:pPr>
        <w:ind w:left="4496" w:hanging="360"/>
      </w:pPr>
      <w:rPr>
        <w:rFonts w:ascii="Wingdings" w:hAnsi="Wingdings" w:hint="default"/>
      </w:rPr>
    </w:lvl>
    <w:lvl w:ilvl="6" w:tplc="040C0001">
      <w:start w:val="1"/>
      <w:numFmt w:val="bullet"/>
      <w:lvlText w:val=""/>
      <w:lvlJc w:val="left"/>
      <w:pPr>
        <w:ind w:left="5216" w:hanging="360"/>
      </w:pPr>
      <w:rPr>
        <w:rFonts w:ascii="Symbol" w:hAnsi="Symbol" w:hint="default"/>
      </w:rPr>
    </w:lvl>
    <w:lvl w:ilvl="7" w:tplc="040C0003">
      <w:start w:val="1"/>
      <w:numFmt w:val="bullet"/>
      <w:lvlText w:val="o"/>
      <w:lvlJc w:val="left"/>
      <w:pPr>
        <w:ind w:left="5936" w:hanging="360"/>
      </w:pPr>
      <w:rPr>
        <w:rFonts w:ascii="Courier New" w:hAnsi="Courier New" w:cs="Courier New" w:hint="default"/>
      </w:rPr>
    </w:lvl>
    <w:lvl w:ilvl="8" w:tplc="040C0005">
      <w:start w:val="1"/>
      <w:numFmt w:val="bullet"/>
      <w:lvlText w:val=""/>
      <w:lvlJc w:val="left"/>
      <w:pPr>
        <w:ind w:left="6656" w:hanging="360"/>
      </w:pPr>
      <w:rPr>
        <w:rFonts w:ascii="Wingdings" w:hAnsi="Wingdings" w:hint="default"/>
      </w:rPr>
    </w:lvl>
  </w:abstractNum>
  <w:abstractNum w:abstractNumId="4">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6">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1BB2338B"/>
    <w:multiLevelType w:val="hybridMultilevel"/>
    <w:tmpl w:val="3A1826A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nsid w:val="22B41EC9"/>
    <w:multiLevelType w:val="hybridMultilevel"/>
    <w:tmpl w:val="9DA64F2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26F252AD"/>
    <w:multiLevelType w:val="hybridMultilevel"/>
    <w:tmpl w:val="2FC28E84"/>
    <w:lvl w:ilvl="0" w:tplc="BFE2DDC4">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FE23A85"/>
    <w:multiLevelType w:val="hybridMultilevel"/>
    <w:tmpl w:val="0924EE84"/>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1">
    <w:nsid w:val="33B42C56"/>
    <w:multiLevelType w:val="hybridMultilevel"/>
    <w:tmpl w:val="35D22FE0"/>
    <w:lvl w:ilvl="0" w:tplc="81507A30">
      <w:start w:val="1"/>
      <w:numFmt w:val="bullet"/>
      <w:lvlText w:val="o"/>
      <w:lvlJc w:val="left"/>
      <w:pPr>
        <w:ind w:left="720" w:hanging="360"/>
      </w:pPr>
      <w:rPr>
        <w:rFonts w:ascii="Courier New" w:hAnsi="Courier New" w:cs="Courier New" w:hint="default"/>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nsid w:val="357876C6"/>
    <w:multiLevelType w:val="hybridMultilevel"/>
    <w:tmpl w:val="CD82A9B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4">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3F475714"/>
    <w:multiLevelType w:val="hybridMultilevel"/>
    <w:tmpl w:val="2926DB20"/>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42447E4C"/>
    <w:multiLevelType w:val="hybridMultilevel"/>
    <w:tmpl w:val="1A78D8A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4AE27D7D"/>
    <w:multiLevelType w:val="hybridMultilevel"/>
    <w:tmpl w:val="F60A650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nsid w:val="511F4D59"/>
    <w:multiLevelType w:val="hybridMultilevel"/>
    <w:tmpl w:val="3A0663C8"/>
    <w:lvl w:ilvl="0" w:tplc="58506D1C">
      <w:start w:val="1"/>
      <w:numFmt w:val="bullet"/>
      <w:lvlText w:val=""/>
      <w:lvlJc w:val="left"/>
      <w:pPr>
        <w:tabs>
          <w:tab w:val="num" w:pos="720"/>
        </w:tabs>
        <w:ind w:left="720" w:hanging="360"/>
      </w:pPr>
      <w:rPr>
        <w:rFonts w:ascii="Wingdings" w:hAnsi="Wingdings" w:hint="default"/>
      </w:rPr>
    </w:lvl>
    <w:lvl w:ilvl="1" w:tplc="419C704E" w:tentative="1">
      <w:start w:val="1"/>
      <w:numFmt w:val="bullet"/>
      <w:lvlText w:val=""/>
      <w:lvlJc w:val="left"/>
      <w:pPr>
        <w:tabs>
          <w:tab w:val="num" w:pos="1440"/>
        </w:tabs>
        <w:ind w:left="1440" w:hanging="360"/>
      </w:pPr>
      <w:rPr>
        <w:rFonts w:ascii="Wingdings" w:hAnsi="Wingdings" w:hint="default"/>
      </w:rPr>
    </w:lvl>
    <w:lvl w:ilvl="2" w:tplc="E758B358" w:tentative="1">
      <w:start w:val="1"/>
      <w:numFmt w:val="bullet"/>
      <w:lvlText w:val=""/>
      <w:lvlJc w:val="left"/>
      <w:pPr>
        <w:tabs>
          <w:tab w:val="num" w:pos="2160"/>
        </w:tabs>
        <w:ind w:left="2160" w:hanging="360"/>
      </w:pPr>
      <w:rPr>
        <w:rFonts w:ascii="Wingdings" w:hAnsi="Wingdings" w:hint="default"/>
      </w:rPr>
    </w:lvl>
    <w:lvl w:ilvl="3" w:tplc="C2F4BE3E" w:tentative="1">
      <w:start w:val="1"/>
      <w:numFmt w:val="bullet"/>
      <w:lvlText w:val=""/>
      <w:lvlJc w:val="left"/>
      <w:pPr>
        <w:tabs>
          <w:tab w:val="num" w:pos="2880"/>
        </w:tabs>
        <w:ind w:left="2880" w:hanging="360"/>
      </w:pPr>
      <w:rPr>
        <w:rFonts w:ascii="Wingdings" w:hAnsi="Wingdings" w:hint="default"/>
      </w:rPr>
    </w:lvl>
    <w:lvl w:ilvl="4" w:tplc="06FA1186" w:tentative="1">
      <w:start w:val="1"/>
      <w:numFmt w:val="bullet"/>
      <w:lvlText w:val=""/>
      <w:lvlJc w:val="left"/>
      <w:pPr>
        <w:tabs>
          <w:tab w:val="num" w:pos="3600"/>
        </w:tabs>
        <w:ind w:left="3600" w:hanging="360"/>
      </w:pPr>
      <w:rPr>
        <w:rFonts w:ascii="Wingdings" w:hAnsi="Wingdings" w:hint="default"/>
      </w:rPr>
    </w:lvl>
    <w:lvl w:ilvl="5" w:tplc="9EB625CA" w:tentative="1">
      <w:start w:val="1"/>
      <w:numFmt w:val="bullet"/>
      <w:lvlText w:val=""/>
      <w:lvlJc w:val="left"/>
      <w:pPr>
        <w:tabs>
          <w:tab w:val="num" w:pos="4320"/>
        </w:tabs>
        <w:ind w:left="4320" w:hanging="360"/>
      </w:pPr>
      <w:rPr>
        <w:rFonts w:ascii="Wingdings" w:hAnsi="Wingdings" w:hint="default"/>
      </w:rPr>
    </w:lvl>
    <w:lvl w:ilvl="6" w:tplc="22CEC5CE" w:tentative="1">
      <w:start w:val="1"/>
      <w:numFmt w:val="bullet"/>
      <w:lvlText w:val=""/>
      <w:lvlJc w:val="left"/>
      <w:pPr>
        <w:tabs>
          <w:tab w:val="num" w:pos="5040"/>
        </w:tabs>
        <w:ind w:left="5040" w:hanging="360"/>
      </w:pPr>
      <w:rPr>
        <w:rFonts w:ascii="Wingdings" w:hAnsi="Wingdings" w:hint="default"/>
      </w:rPr>
    </w:lvl>
    <w:lvl w:ilvl="7" w:tplc="E452C662" w:tentative="1">
      <w:start w:val="1"/>
      <w:numFmt w:val="bullet"/>
      <w:lvlText w:val=""/>
      <w:lvlJc w:val="left"/>
      <w:pPr>
        <w:tabs>
          <w:tab w:val="num" w:pos="5760"/>
        </w:tabs>
        <w:ind w:left="5760" w:hanging="360"/>
      </w:pPr>
      <w:rPr>
        <w:rFonts w:ascii="Wingdings" w:hAnsi="Wingdings" w:hint="default"/>
      </w:rPr>
    </w:lvl>
    <w:lvl w:ilvl="8" w:tplc="573E4728" w:tentative="1">
      <w:start w:val="1"/>
      <w:numFmt w:val="bullet"/>
      <w:lvlText w:val=""/>
      <w:lvlJc w:val="left"/>
      <w:pPr>
        <w:tabs>
          <w:tab w:val="num" w:pos="6480"/>
        </w:tabs>
        <w:ind w:left="6480" w:hanging="360"/>
      </w:pPr>
      <w:rPr>
        <w:rFonts w:ascii="Wingdings" w:hAnsi="Wingdings" w:hint="default"/>
      </w:rPr>
    </w:lvl>
  </w:abstractNum>
  <w:abstractNum w:abstractNumId="19">
    <w:nsid w:val="5A511585"/>
    <w:multiLevelType w:val="hybridMultilevel"/>
    <w:tmpl w:val="B26A4286"/>
    <w:lvl w:ilvl="0" w:tplc="040C000B">
      <w:start w:val="1"/>
      <w:numFmt w:val="bullet"/>
      <w:lvlText w:val=""/>
      <w:lvlJc w:val="left"/>
      <w:pPr>
        <w:ind w:left="720" w:hanging="360"/>
      </w:pPr>
      <w:rPr>
        <w:rFonts w:ascii="Wingdings" w:hAnsi="Wingdings" w:hint="default"/>
      </w:rPr>
    </w:lvl>
    <w:lvl w:ilvl="1" w:tplc="040C000B">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nsid w:val="608F181A"/>
    <w:multiLevelType w:val="hybridMultilevel"/>
    <w:tmpl w:val="85D22CD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1">
    <w:nsid w:val="65611065"/>
    <w:multiLevelType w:val="hybridMultilevel"/>
    <w:tmpl w:val="49385CBA"/>
    <w:lvl w:ilvl="0" w:tplc="040C0003">
      <w:start w:val="1"/>
      <w:numFmt w:val="bullet"/>
      <w:lvlText w:val="o"/>
      <w:lvlJc w:val="left"/>
      <w:pPr>
        <w:ind w:left="360" w:hanging="360"/>
      </w:pPr>
      <w:rPr>
        <w:rFonts w:ascii="Courier New" w:hAnsi="Courier New" w:cs="Courier New"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13"/>
  </w:num>
  <w:num w:numId="2">
    <w:abstractNumId w:val="1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15"/>
  </w:num>
  <w:num w:numId="7">
    <w:abstractNumId w:val="15"/>
  </w:num>
  <w:num w:numId="8">
    <w:abstractNumId w:val="3"/>
  </w:num>
  <w:num w:numId="9">
    <w:abstractNumId w:val="14"/>
  </w:num>
  <w:num w:numId="10">
    <w:abstractNumId w:val="15"/>
  </w:num>
  <w:num w:numId="11">
    <w:abstractNumId w:val="15"/>
  </w:num>
  <w:num w:numId="12">
    <w:abstractNumId w:val="15"/>
  </w:num>
  <w:num w:numId="13">
    <w:abstractNumId w:val="15"/>
  </w:num>
  <w:num w:numId="14">
    <w:abstractNumId w:val="5"/>
  </w:num>
  <w:num w:numId="15">
    <w:abstractNumId w:val="14"/>
  </w:num>
  <w:num w:numId="16">
    <w:abstractNumId w:val="15"/>
  </w:num>
  <w:num w:numId="17">
    <w:abstractNumId w:val="11"/>
  </w:num>
  <w:num w:numId="18">
    <w:abstractNumId w:val="7"/>
  </w:num>
  <w:num w:numId="19">
    <w:abstractNumId w:val="8"/>
  </w:num>
  <w:num w:numId="20">
    <w:abstractNumId w:val="15"/>
  </w:num>
  <w:num w:numId="21">
    <w:abstractNumId w:val="20"/>
  </w:num>
  <w:num w:numId="22">
    <w:abstractNumId w:val="15"/>
  </w:num>
  <w:num w:numId="23">
    <w:abstractNumId w:val="15"/>
  </w:num>
  <w:num w:numId="24">
    <w:abstractNumId w:val="21"/>
  </w:num>
  <w:num w:numId="25">
    <w:abstractNumId w:val="15"/>
  </w:num>
  <w:num w:numId="26">
    <w:abstractNumId w:val="14"/>
  </w:num>
  <w:num w:numId="27">
    <w:abstractNumId w:val="19"/>
  </w:num>
  <w:num w:numId="28">
    <w:abstractNumId w:val="17"/>
  </w:num>
  <w:num w:numId="29">
    <w:abstractNumId w:val="2"/>
  </w:num>
  <w:num w:numId="30">
    <w:abstractNumId w:val="15"/>
  </w:num>
  <w:num w:numId="31">
    <w:abstractNumId w:val="5"/>
  </w:num>
  <w:num w:numId="32">
    <w:abstractNumId w:val="15"/>
  </w:num>
  <w:num w:numId="33">
    <w:abstractNumId w:val="11"/>
  </w:num>
  <w:num w:numId="34">
    <w:abstractNumId w:val="12"/>
  </w:num>
  <w:num w:numId="35">
    <w:abstractNumId w:val="9"/>
  </w:num>
  <w:num w:numId="36">
    <w:abstractNumId w:val="14"/>
  </w:num>
  <w:num w:numId="37">
    <w:abstractNumId w:val="15"/>
  </w:num>
  <w:num w:numId="38">
    <w:abstractNumId w:val="15"/>
  </w:num>
  <w:num w:numId="39">
    <w:abstractNumId w:val="10"/>
  </w:num>
  <w:num w:numId="40">
    <w:abstractNumId w:val="14"/>
  </w:num>
  <w:num w:numId="41">
    <w:abstractNumId w:val="5"/>
  </w:num>
  <w:num w:numId="42">
    <w:abstractNumId w:val="15"/>
  </w:num>
  <w:num w:numId="43">
    <w:abstractNumId w:val="1"/>
  </w:num>
  <w:num w:numId="44">
    <w:abstractNumId w:val="18"/>
  </w:num>
  <w:num w:numId="45">
    <w:abstractNumId w:val="15"/>
  </w:num>
  <w:num w:numId="46">
    <w:abstractNumId w:val="16"/>
  </w:num>
  <w:num w:numId="47">
    <w:abstractNumId w:val="12"/>
    <w:lvlOverride w:ilvl="0"/>
    <w:lvlOverride w:ilvl="1"/>
    <w:lvlOverride w:ilvl="2"/>
    <w:lvlOverride w:ilvl="3"/>
    <w:lvlOverride w:ilvl="4"/>
    <w:lvlOverride w:ilvl="5"/>
    <w:lvlOverride w:ilvl="6"/>
    <w:lvlOverride w:ilvl="7"/>
    <w:lvlOverride w:ilvl="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153"/>
    <w:rsid w:val="00097CBE"/>
    <w:rsid w:val="00097EFC"/>
    <w:rsid w:val="000A1180"/>
    <w:rsid w:val="000A18FD"/>
    <w:rsid w:val="000A1933"/>
    <w:rsid w:val="000A1E55"/>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AB1"/>
    <w:rsid w:val="001A6E82"/>
    <w:rsid w:val="001A721F"/>
    <w:rsid w:val="001B0017"/>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D02B5"/>
    <w:rsid w:val="001D0328"/>
    <w:rsid w:val="001D03BD"/>
    <w:rsid w:val="001D0EB4"/>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C93"/>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2BD2"/>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2F43"/>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7550"/>
    <w:rsid w:val="00477692"/>
    <w:rsid w:val="00477AB6"/>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0A2"/>
    <w:rsid w:val="00497183"/>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BE1"/>
    <w:rsid w:val="005C1DBB"/>
    <w:rsid w:val="005C1E6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B35"/>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279"/>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280"/>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C12"/>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3B1A"/>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4F7"/>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0F57"/>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507B"/>
    <w:rsid w:val="009553C2"/>
    <w:rsid w:val="00955D4D"/>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082"/>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4D25"/>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E9"/>
    <w:rsid w:val="00B9354C"/>
    <w:rsid w:val="00B939A3"/>
    <w:rsid w:val="00B93D2C"/>
    <w:rsid w:val="00B93E49"/>
    <w:rsid w:val="00B942FA"/>
    <w:rsid w:val="00B942FB"/>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61B3"/>
    <w:rsid w:val="00CA736A"/>
    <w:rsid w:val="00CB02ED"/>
    <w:rsid w:val="00CB077B"/>
    <w:rsid w:val="00CB1AF8"/>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BB8"/>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9DB"/>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09C"/>
    <w:rsid w:val="00D6321D"/>
    <w:rsid w:val="00D6354E"/>
    <w:rsid w:val="00D636D8"/>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3E5"/>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612"/>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4AB"/>
    <w:rsid w:val="00E91855"/>
    <w:rsid w:val="00E91B44"/>
    <w:rsid w:val="00E92AB6"/>
    <w:rsid w:val="00E92AFF"/>
    <w:rsid w:val="00E9325B"/>
    <w:rsid w:val="00E94596"/>
    <w:rsid w:val="00E94774"/>
    <w:rsid w:val="00E95130"/>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1C77"/>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130E"/>
    <w:rsid w:val="00F91817"/>
    <w:rsid w:val="00F9193B"/>
    <w:rsid w:val="00F91ABD"/>
    <w:rsid w:val="00F91BD4"/>
    <w:rsid w:val="00F92241"/>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F1736"/>
    <w:rsid w:val="00FF1FD7"/>
    <w:rsid w:val="00FF2038"/>
    <w:rsid w:val="00FF2862"/>
    <w:rsid w:val="00FF2DF8"/>
    <w:rsid w:val="00FF2E6B"/>
    <w:rsid w:val="00FF2FF3"/>
    <w:rsid w:val="00FF3205"/>
    <w:rsid w:val="00FF36CC"/>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3744112">
      <w:bodyDiv w:val="1"/>
      <w:marLeft w:val="0"/>
      <w:marRight w:val="0"/>
      <w:marTop w:val="0"/>
      <w:marBottom w:val="0"/>
      <w:divBdr>
        <w:top w:val="none" w:sz="0" w:space="0" w:color="auto"/>
        <w:left w:val="none" w:sz="0" w:space="0" w:color="auto"/>
        <w:bottom w:val="none" w:sz="0" w:space="0" w:color="auto"/>
        <w:right w:val="none" w:sz="0" w:space="0" w:color="auto"/>
      </w:divBdr>
      <w:divsChild>
        <w:div w:id="100148483">
          <w:marLeft w:val="446"/>
          <w:marRight w:val="0"/>
          <w:marTop w:val="0"/>
          <w:marBottom w:val="0"/>
          <w:divBdr>
            <w:top w:val="none" w:sz="0" w:space="0" w:color="auto"/>
            <w:left w:val="none" w:sz="0" w:space="0" w:color="auto"/>
            <w:bottom w:val="none" w:sz="0" w:space="0" w:color="auto"/>
            <w:right w:val="none" w:sz="0" w:space="0" w:color="auto"/>
          </w:divBdr>
        </w:div>
      </w:divsChild>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56518905">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nsgprw1.celca.caisse-epargne.fr/app/bci/INF/DMA_INF_N020_18.pdf" TargetMode="External"/><Relationship Id="rId18" Type="http://schemas.openxmlformats.org/officeDocument/2006/relationships/hyperlink" Target="https://cvc-front-itce.damdy.com/celca/media/permalink/NXvden4TM1iFqFf9VyQYOQ=="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nsgprw1.celca.caisse-epargne.fr/app/bci/INF/DMA_INF_N006_18.pdf" TargetMode="External"/><Relationship Id="rId17" Type="http://schemas.openxmlformats.org/officeDocument/2006/relationships/hyperlink" Target="http://www.caisse-epargne.fr" TargetMode="External"/><Relationship Id="rId2" Type="http://schemas.openxmlformats.org/officeDocument/2006/relationships/numbering" Target="numbering.xml"/><Relationship Id="rId16" Type="http://schemas.openxmlformats.org/officeDocument/2006/relationships/hyperlink" Target="http://wnsgprw1.celca.caisse-epargne.fr/app/bci/INF/DMA_INF_15_058.pdf" TargetMode="External"/><Relationship Id="rId20" Type="http://schemas.openxmlformats.org/officeDocument/2006/relationships/hyperlink" Target="http://commerciaux.celca.caisse-epargne.fr/global-bdd/pilotage/pilotag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global-bdd/actions-commerciales/heure-du-jeudi/archives-heures-du-jeudi-par-annee/archives-hdj-2018/archives-2017-copy/" TargetMode="External"/><Relationship Id="rId5" Type="http://schemas.openxmlformats.org/officeDocument/2006/relationships/settings" Target="settings.xml"/><Relationship Id="rId15" Type="http://schemas.openxmlformats.org/officeDocument/2006/relationships/hyperlink" Target="http://wnsgprw1.celca.caisse-epargne.fr/app/bci/INF/DMA_INF_N044_18.pdf" TargetMode="External"/><Relationship Id="rId23" Type="http://schemas.openxmlformats.org/officeDocument/2006/relationships/theme" Target="theme/theme1.xml"/><Relationship Id="rId10" Type="http://schemas.openxmlformats.org/officeDocument/2006/relationships/hyperlink" Target="http://whizzyou.assurances.caisse-epargne.fr/128/videos/dossier_2.mp4" TargetMode="External"/><Relationship Id="rId19" Type="http://schemas.openxmlformats.org/officeDocument/2006/relationships/hyperlink" Target="http://commerciaux.celca.caisse-epargne.fr/download/1176/documents-hors-arbo-2/8739/suivi-lea-sem23.xls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commerciaux.celca.caisse-epargne.fr/particuliers/epargne-2/tsr-fcp-emprunt/les-echeances/les-echeances/" TargetMode="Externa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09F3E-6592-41E0-8A98-E77748025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1456</Words>
  <Characters>8009</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9447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A5701248</cp:lastModifiedBy>
  <cp:revision>2</cp:revision>
  <dcterms:created xsi:type="dcterms:W3CDTF">2018-06-22T13:30:00Z</dcterms:created>
  <dcterms:modified xsi:type="dcterms:W3CDTF">2018-06-22T13:30:00Z</dcterms:modified>
</cp:coreProperties>
</file>