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68C487" w14:textId="77777777" w:rsidR="006F6037" w:rsidRDefault="006F6037" w:rsidP="006F6037">
      <w:pPr>
        <w:rPr>
          <w:noProof/>
          <w:color w:val="FF0000"/>
          <w:sz w:val="36"/>
          <w:szCs w:val="36"/>
          <w:lang w:eastAsia="fr-FR"/>
        </w:rPr>
      </w:pPr>
      <w:bookmarkStart w:id="0" w:name="_GoBack"/>
      <w:bookmarkEnd w:id="0"/>
      <w:r w:rsidRPr="006F6037">
        <w:rPr>
          <w:noProof/>
          <w:color w:val="FF0000"/>
          <w:sz w:val="36"/>
          <w:szCs w:val="36"/>
          <w:lang w:eastAsia="fr-FR"/>
        </w:rPr>
        <w:drawing>
          <wp:inline distT="0" distB="0" distL="0" distR="0" wp14:anchorId="576B9010" wp14:editId="5482A4B5">
            <wp:extent cx="8620125" cy="1124585"/>
            <wp:effectExtent l="0" t="0" r="9525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12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834F3" w14:textId="77777777" w:rsidR="00033A59" w:rsidRDefault="00033A59" w:rsidP="006F6037">
      <w:pPr>
        <w:rPr>
          <w:noProof/>
          <w:color w:val="FF0000"/>
          <w:sz w:val="36"/>
          <w:szCs w:val="36"/>
          <w:lang w:eastAsia="fr-FR"/>
        </w:rPr>
      </w:pPr>
    </w:p>
    <w:p w14:paraId="4D243A2C" w14:textId="77777777" w:rsidR="003F2618" w:rsidRDefault="00033A59" w:rsidP="00033A59">
      <w:pPr>
        <w:ind w:left="2124"/>
        <w:jc w:val="both"/>
        <w:rPr>
          <w:color w:val="FF0000"/>
          <w:sz w:val="36"/>
          <w:szCs w:val="36"/>
        </w:rPr>
      </w:pPr>
      <w:r w:rsidRPr="00033A59">
        <w:rPr>
          <w:noProof/>
          <w:color w:val="FF0000"/>
          <w:sz w:val="36"/>
          <w:szCs w:val="36"/>
          <w:lang w:eastAsia="fr-FR"/>
        </w:rPr>
        <w:drawing>
          <wp:anchor distT="0" distB="0" distL="114300" distR="114300" simplePos="0" relativeHeight="251658240" behindDoc="0" locked="0" layoutInCell="1" allowOverlap="1" wp14:anchorId="32F58700" wp14:editId="1048DD46">
            <wp:simplePos x="0" y="0"/>
            <wp:positionH relativeFrom="column">
              <wp:posOffset>4445</wp:posOffset>
            </wp:positionH>
            <wp:positionV relativeFrom="paragraph">
              <wp:posOffset>-635</wp:posOffset>
            </wp:positionV>
            <wp:extent cx="3486150" cy="2181225"/>
            <wp:effectExtent l="0" t="0" r="0" b="9525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D89968" w14:textId="77777777" w:rsidR="003F2618" w:rsidRDefault="003F2618" w:rsidP="00033A59">
      <w:pPr>
        <w:rPr>
          <w:color w:val="FF0000"/>
          <w:sz w:val="36"/>
          <w:szCs w:val="36"/>
        </w:rPr>
      </w:pPr>
    </w:p>
    <w:p w14:paraId="6D81E213" w14:textId="77777777" w:rsidR="00033A59" w:rsidRDefault="00033A59" w:rsidP="00033A59">
      <w:p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ab/>
      </w:r>
      <w:r>
        <w:rPr>
          <w:color w:val="FF0000"/>
          <w:sz w:val="36"/>
          <w:szCs w:val="36"/>
        </w:rPr>
        <w:tab/>
      </w:r>
      <w:r>
        <w:rPr>
          <w:color w:val="FF0000"/>
          <w:sz w:val="36"/>
          <w:szCs w:val="36"/>
        </w:rPr>
        <w:tab/>
        <w:t>FAQ – PCI DSS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9781"/>
      </w:tblGrid>
      <w:tr w:rsidR="00940B4D" w14:paraId="6A65EAD9" w14:textId="77777777" w:rsidTr="00694BD9">
        <w:trPr>
          <w:trHeight w:val="3221"/>
        </w:trPr>
        <w:tc>
          <w:tcPr>
            <w:tcW w:w="2972" w:type="dxa"/>
            <w:tcBorders>
              <w:left w:val="nil"/>
              <w:right w:val="nil"/>
            </w:tcBorders>
          </w:tcPr>
          <w:p w14:paraId="2ACAF50F" w14:textId="77777777" w:rsidR="00940B4D" w:rsidRPr="004A41CB" w:rsidRDefault="00CB1727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CE116A">
              <w:rPr>
                <w:b/>
                <w:color w:val="000000"/>
              </w:rPr>
              <w:t>Qu’est-ce que l</w:t>
            </w:r>
            <w:r w:rsidR="004A41CB" w:rsidRPr="00CE116A">
              <w:rPr>
                <w:b/>
                <w:color w:val="000000"/>
              </w:rPr>
              <w:t>a norme</w:t>
            </w:r>
            <w:r w:rsidRPr="00CE116A">
              <w:rPr>
                <w:b/>
                <w:color w:val="000000"/>
              </w:rPr>
              <w:t xml:space="preserve"> PCI DSS ?</w:t>
            </w: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4727F81F" w14:textId="77777777" w:rsidR="004A41CB" w:rsidRDefault="004A41CB" w:rsidP="004A41CB">
            <w:pPr>
              <w:jc w:val="both"/>
            </w:pPr>
            <w:r w:rsidRPr="004A41CB">
              <w:t>La norme de sécurité de l’industrie des cartes de paiement (</w:t>
            </w:r>
            <w:r w:rsidRPr="004A41CB">
              <w:rPr>
                <w:b/>
              </w:rPr>
              <w:t>P</w:t>
            </w:r>
            <w:r w:rsidRPr="004A41CB">
              <w:t xml:space="preserve">ayment </w:t>
            </w:r>
            <w:r w:rsidRPr="004A41CB">
              <w:rPr>
                <w:b/>
              </w:rPr>
              <w:t>C</w:t>
            </w:r>
            <w:r w:rsidRPr="004A41CB">
              <w:t xml:space="preserve">ard </w:t>
            </w:r>
            <w:r w:rsidRPr="004A41CB">
              <w:rPr>
                <w:b/>
              </w:rPr>
              <w:t>I</w:t>
            </w:r>
            <w:r w:rsidRPr="004A41CB">
              <w:t xml:space="preserve">ndustry </w:t>
            </w:r>
            <w:r w:rsidRPr="004A41CB">
              <w:rPr>
                <w:b/>
              </w:rPr>
              <w:t>D</w:t>
            </w:r>
            <w:r w:rsidRPr="004A41CB">
              <w:t xml:space="preserve">ata </w:t>
            </w:r>
            <w:r w:rsidRPr="004A41CB">
              <w:rPr>
                <w:b/>
              </w:rPr>
              <w:t>S</w:t>
            </w:r>
            <w:r w:rsidRPr="004A41CB">
              <w:t xml:space="preserve">ecurity </w:t>
            </w:r>
            <w:r w:rsidRPr="004A41CB">
              <w:rPr>
                <w:b/>
              </w:rPr>
              <w:t>S</w:t>
            </w:r>
            <w:r w:rsidRPr="004A41CB">
              <w:t xml:space="preserve">tandard ou </w:t>
            </w:r>
            <w:r w:rsidRPr="004A41CB">
              <w:rPr>
                <w:b/>
              </w:rPr>
              <w:t>PCI DSS</w:t>
            </w:r>
            <w:r w:rsidRPr="004A41CB">
              <w:t xml:space="preserve">) est un </w:t>
            </w:r>
            <w:r w:rsidRPr="004A41CB">
              <w:rPr>
                <w:b/>
              </w:rPr>
              <w:t>standard de sécurité des données</w:t>
            </w:r>
            <w:r w:rsidRPr="004A41CB">
              <w:t xml:space="preserve"> qui s'applique aux différents acteurs de la chaîne monétique.</w:t>
            </w:r>
          </w:p>
          <w:p w14:paraId="63669587" w14:textId="77777777" w:rsidR="004A41CB" w:rsidRDefault="004A41CB" w:rsidP="004A41CB">
            <w:pPr>
              <w:jc w:val="both"/>
            </w:pPr>
            <w:r w:rsidRPr="004A41CB">
              <w:t>La norme PCI DSS est établie par les cinq principaux réseaux cartes (Visa, MasterCard, American Express, Discover Card et JCB) et est gérée par le Cons</w:t>
            </w:r>
            <w:r>
              <w:t>eil des normes de sécurité PCI</w:t>
            </w:r>
            <w:r w:rsidRPr="004A41CB">
              <w:t xml:space="preserve">. </w:t>
            </w:r>
            <w:r w:rsidR="00CE116A" w:rsidRPr="00CE116A">
              <w:t xml:space="preserve">Actuellement, </w:t>
            </w:r>
            <w:r w:rsidR="00CE116A" w:rsidRPr="00CE116A">
              <w:rPr>
                <w:b/>
              </w:rPr>
              <w:t>seuls Visa et MasterCard demandent aux commerçants et fournisseurs de services d’être en conformité avec la norme</w:t>
            </w:r>
            <w:r w:rsidR="00CE116A" w:rsidRPr="00CE116A">
              <w:t xml:space="preserve">. </w:t>
            </w:r>
            <w:r w:rsidRPr="004A41CB">
              <w:t>Ce standard a été créé afin d’augmenter le contrôle des informations du titulaire de la carte dans le but de réduire l'utilisation frauduleuse des instruments de paiement.</w:t>
            </w:r>
          </w:p>
          <w:p w14:paraId="718334D5" w14:textId="77777777" w:rsidR="00940B4D" w:rsidRDefault="00133112" w:rsidP="00133112">
            <w:pPr>
              <w:jc w:val="both"/>
            </w:pPr>
            <w:r>
              <w:t>Les</w:t>
            </w:r>
            <w:r w:rsidR="00F264AA">
              <w:t xml:space="preserve"> commerçants et leurs acquéreurs</w:t>
            </w:r>
            <w:r>
              <w:t xml:space="preserve"> se doivent de respecter certaines obligations, visant à </w:t>
            </w:r>
            <w:r w:rsidRPr="00133112">
              <w:rPr>
                <w:b/>
              </w:rPr>
              <w:t>éviter toute compromission de données liées aux cartes bancaires</w:t>
            </w:r>
            <w:r>
              <w:t>.</w:t>
            </w:r>
          </w:p>
          <w:p w14:paraId="518EB295" w14:textId="77777777" w:rsidR="001B3E2F" w:rsidRDefault="001B3E2F" w:rsidP="00133112">
            <w:pPr>
              <w:jc w:val="both"/>
            </w:pPr>
          </w:p>
        </w:tc>
      </w:tr>
      <w:tr w:rsidR="00940B4D" w14:paraId="502D19B1" w14:textId="77777777" w:rsidTr="00694BD9">
        <w:trPr>
          <w:trHeight w:val="8779"/>
        </w:trPr>
        <w:tc>
          <w:tcPr>
            <w:tcW w:w="2972" w:type="dxa"/>
            <w:tcBorders>
              <w:left w:val="nil"/>
              <w:right w:val="nil"/>
            </w:tcBorders>
          </w:tcPr>
          <w:p w14:paraId="62EF762C" w14:textId="77777777" w:rsidR="00940B4D" w:rsidRPr="004A41CB" w:rsidRDefault="00CB1727" w:rsidP="00694BD9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4A41CB">
              <w:rPr>
                <w:b/>
                <w:color w:val="000000"/>
              </w:rPr>
              <w:lastRenderedPageBreak/>
              <w:t>Quels sont les périmètres ?</w:t>
            </w:r>
          </w:p>
          <w:p w14:paraId="1795730B" w14:textId="77777777" w:rsidR="008648E5" w:rsidRPr="00CB1727" w:rsidRDefault="008648E5" w:rsidP="00812594">
            <w:pPr>
              <w:spacing w:before="100" w:beforeAutospacing="1" w:after="100" w:afterAutospacing="1"/>
              <w:rPr>
                <w:b/>
                <w:color w:val="000000"/>
              </w:rPr>
            </w:pP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5B6B268A" w14:textId="77777777" w:rsidR="00855681" w:rsidRDefault="00133112" w:rsidP="00133112">
            <w:pPr>
              <w:jc w:val="both"/>
            </w:pPr>
            <w:r>
              <w:t>Pour finaliser un paiement, le</w:t>
            </w:r>
            <w:r w:rsidR="00855681">
              <w:t xml:space="preserve">s clients </w:t>
            </w:r>
            <w:r>
              <w:t xml:space="preserve">finaux de nos commerçants </w:t>
            </w:r>
            <w:r w:rsidR="00855681">
              <w:t xml:space="preserve">communiquent des éléments de leur carte bancaire (numéro, date de fin de validité et cryptogramme visuel) qui peuvent transiter par </w:t>
            </w:r>
            <w:r>
              <w:t>le</w:t>
            </w:r>
            <w:r w:rsidR="00855681">
              <w:t xml:space="preserve"> système informatique </w:t>
            </w:r>
            <w:r>
              <w:t xml:space="preserve">des commerçants </w:t>
            </w:r>
            <w:r w:rsidR="00855681">
              <w:t xml:space="preserve">ou celui de </w:t>
            </w:r>
            <w:r>
              <w:t>leurs</w:t>
            </w:r>
            <w:r w:rsidR="00855681">
              <w:t xml:space="preserve"> prestataires. Si ces données sont compromises (par exemple cas de piratage), cela peut entrainer des préjudices financiers dus à la fraude et à l’obligation de faire mener une enquête par un expert certifié en matière de compromission de données PCI-DSS.</w:t>
            </w:r>
          </w:p>
          <w:p w14:paraId="38B26927" w14:textId="77777777" w:rsidR="00855681" w:rsidRDefault="00855681" w:rsidP="00133112">
            <w:pPr>
              <w:jc w:val="both"/>
            </w:pPr>
            <w:r>
              <w:t xml:space="preserve">Les risques encourus sont importants en termes financiers, d’image et de chiffre d’affaires pour </w:t>
            </w:r>
            <w:r w:rsidR="00133112">
              <w:t>l’</w:t>
            </w:r>
            <w:r>
              <w:t>activité</w:t>
            </w:r>
            <w:r w:rsidR="00133112">
              <w:t xml:space="preserve"> du commerçant</w:t>
            </w:r>
            <w:r>
              <w:t>.</w:t>
            </w:r>
          </w:p>
          <w:p w14:paraId="2F78E206" w14:textId="77777777" w:rsidR="001B3E2F" w:rsidRDefault="001B3E2F" w:rsidP="00133112">
            <w:pPr>
              <w:jc w:val="both"/>
            </w:pPr>
          </w:p>
          <w:p w14:paraId="4B83C663" w14:textId="77777777" w:rsidR="00855681" w:rsidRDefault="00855681" w:rsidP="00133112">
            <w:pPr>
              <w:jc w:val="both"/>
            </w:pPr>
            <w:r>
              <w:t xml:space="preserve">Si </w:t>
            </w:r>
            <w:r w:rsidR="00133112">
              <w:t>ce dernier a</w:t>
            </w:r>
            <w:r>
              <w:t xml:space="preserve"> recours à un prestataire de service ayant accès aux données cartes, celui-ci doit obligatoirement être certifié conforme aux exigences de sécurité PCI-DSS.</w:t>
            </w:r>
          </w:p>
          <w:p w14:paraId="195EA560" w14:textId="77777777" w:rsidR="00283E19" w:rsidRDefault="00283E19" w:rsidP="00855681"/>
          <w:p w14:paraId="5EFB0C72" w14:textId="77777777" w:rsidR="00C15DF7" w:rsidRDefault="00C15DF7" w:rsidP="00C15DF7">
            <w:pPr>
              <w:jc w:val="both"/>
            </w:pPr>
            <w:r>
              <w:t xml:space="preserve">Tous les commerçants ne présentent pas le même profil vis-à-vis du standard, et ne font donc pas face aux mêmes obligations. </w:t>
            </w:r>
            <w:r w:rsidRPr="00C15DF7">
              <w:rPr>
                <w:b/>
              </w:rPr>
              <w:t>PCI DSS distingue quatre catégories</w:t>
            </w:r>
            <w:r>
              <w:t>, dont la plus élevée regroupe les marchands effectuant plus de six millions de transactions annuelles sur un réseau.</w:t>
            </w:r>
          </w:p>
          <w:p w14:paraId="60195092" w14:textId="77777777" w:rsidR="00C15DF7" w:rsidRDefault="00C15DF7" w:rsidP="00C15DF7">
            <w:pPr>
              <w:jc w:val="both"/>
            </w:pPr>
          </w:p>
          <w:p w14:paraId="4634E51A" w14:textId="77777777" w:rsidR="00C15DF7" w:rsidRPr="00C15DF7" w:rsidRDefault="00C15DF7" w:rsidP="00C15DF7">
            <w:pPr>
              <w:jc w:val="both"/>
              <w:rPr>
                <w:b/>
              </w:rPr>
            </w:pPr>
            <w:r>
              <w:t xml:space="preserve">Ces sociétés doivent impérativement obtenir une certification PCI DSS, délivrée à l’issue d’un audit au cours duquel l’intégralité des points de contrôle est vérifiée. </w:t>
            </w:r>
            <w:r w:rsidRPr="00C15DF7">
              <w:rPr>
                <w:b/>
              </w:rPr>
              <w:t>Les petits commerçants n’ont pas d’obligation de certification. Leur conformité est justifiée par le biais d’un processus déclaratif, matérialisé par un questionnaire d’auto-évaluation (</w:t>
            </w:r>
            <w:r w:rsidRPr="00C15DF7">
              <w:t>Self Assessment Questionnaire</w:t>
            </w:r>
            <w:r w:rsidRPr="00C15DF7">
              <w:rPr>
                <w:b/>
              </w:rPr>
              <w:t>, SAQ).</w:t>
            </w:r>
          </w:p>
          <w:p w14:paraId="7645FE25" w14:textId="77777777" w:rsidR="00C15DF7" w:rsidRDefault="00C15DF7" w:rsidP="00C15DF7">
            <w:pPr>
              <w:jc w:val="both"/>
            </w:pPr>
          </w:p>
          <w:p w14:paraId="7633BA43" w14:textId="77777777" w:rsidR="00C15DF7" w:rsidRDefault="00C15DF7" w:rsidP="00C15DF7">
            <w:pPr>
              <w:jc w:val="both"/>
            </w:pPr>
            <w:r>
              <w:t>Ce questionnaire, complété chaque année, permet d’attester que l’ensemble des points de contrôle de la norme est respecté par le commerçant.</w:t>
            </w:r>
          </w:p>
          <w:p w14:paraId="397DA10A" w14:textId="77777777" w:rsidR="00C15DF7" w:rsidRDefault="00C15DF7" w:rsidP="00133112">
            <w:pPr>
              <w:jc w:val="both"/>
            </w:pPr>
          </w:p>
          <w:p w14:paraId="2397CA7C" w14:textId="77777777" w:rsidR="00283E19" w:rsidRDefault="00283E19" w:rsidP="00133112">
            <w:pPr>
              <w:jc w:val="both"/>
            </w:pPr>
            <w:r>
              <w:t xml:space="preserve">Sont éligibles les </w:t>
            </w:r>
            <w:r w:rsidR="001B3E2F" w:rsidRPr="001B3E2F">
              <w:rPr>
                <w:b/>
              </w:rPr>
              <w:t>e-</w:t>
            </w:r>
            <w:r>
              <w:rPr>
                <w:b/>
                <w:bCs/>
              </w:rPr>
              <w:t xml:space="preserve">Commerçants </w:t>
            </w:r>
            <w:r>
              <w:t xml:space="preserve">effectuant plus de 20.000 paiements par an (dits de </w:t>
            </w:r>
            <w:r>
              <w:rPr>
                <w:b/>
                <w:bCs/>
              </w:rPr>
              <w:t xml:space="preserve">Niveau </w:t>
            </w:r>
            <w:r w:rsidR="00CE116A">
              <w:rPr>
                <w:b/>
                <w:bCs/>
              </w:rPr>
              <w:t xml:space="preserve">1 à </w:t>
            </w:r>
            <w:r>
              <w:rPr>
                <w:b/>
                <w:bCs/>
              </w:rPr>
              <w:t>3</w:t>
            </w:r>
            <w:r>
              <w:t xml:space="preserve">) et tous les </w:t>
            </w:r>
            <w:r>
              <w:rPr>
                <w:b/>
                <w:bCs/>
              </w:rPr>
              <w:t>autres Commerçants</w:t>
            </w:r>
            <w:r>
              <w:t xml:space="preserve"> </w:t>
            </w:r>
            <w:r w:rsidR="001B3E2F" w:rsidRPr="001B3E2F">
              <w:rPr>
                <w:b/>
              </w:rPr>
              <w:t>de proximité et de vente à distance</w:t>
            </w:r>
            <w:r w:rsidR="001B3E2F">
              <w:t xml:space="preserve"> </w:t>
            </w:r>
            <w:r>
              <w:t xml:space="preserve">(dits de </w:t>
            </w:r>
            <w:r>
              <w:rPr>
                <w:b/>
                <w:bCs/>
              </w:rPr>
              <w:t>Niveau 4</w:t>
            </w:r>
            <w:r>
              <w:t>) :</w:t>
            </w:r>
          </w:p>
          <w:p w14:paraId="113FC653" w14:textId="77777777" w:rsidR="00283E19" w:rsidRDefault="00283E19" w:rsidP="00283E19">
            <w:pPr>
              <w:ind w:firstLine="360"/>
            </w:pPr>
            <w:r>
              <w:t xml:space="preserve">      … Les Hôteliers </w:t>
            </w:r>
          </w:p>
          <w:p w14:paraId="56A8185F" w14:textId="77777777" w:rsidR="00283E19" w:rsidRDefault="00283E19" w:rsidP="00283E19">
            <w:pPr>
              <w:ind w:firstLine="360"/>
            </w:pPr>
            <w:r>
              <w:t xml:space="preserve">      … Les Aériens </w:t>
            </w:r>
          </w:p>
          <w:p w14:paraId="09BBD386" w14:textId="77777777" w:rsidR="00283E19" w:rsidRDefault="00283E19" w:rsidP="00283E19">
            <w:pPr>
              <w:ind w:firstLine="360"/>
            </w:pPr>
            <w:r>
              <w:t xml:space="preserve">      … Les clients ayant un contrat VAD ou E-Commerce </w:t>
            </w:r>
          </w:p>
          <w:p w14:paraId="05AE7B73" w14:textId="77777777" w:rsidR="00283E19" w:rsidRDefault="00283E19" w:rsidP="00283E19">
            <w:pPr>
              <w:ind w:firstLine="360"/>
            </w:pPr>
            <w:r>
              <w:t xml:space="preserve">      … Les clients ayant souscrit l’option PLBS </w:t>
            </w:r>
          </w:p>
          <w:p w14:paraId="11C28DFF" w14:textId="77777777" w:rsidR="00283E19" w:rsidRDefault="00283E19" w:rsidP="001B3E2F">
            <w:pPr>
              <w:ind w:firstLine="360"/>
            </w:pPr>
            <w:r>
              <w:t>      … Les clients ayant un contrat DAC, ALS, ALB</w:t>
            </w:r>
          </w:p>
          <w:p w14:paraId="6FCE3159" w14:textId="77777777" w:rsidR="00146FAE" w:rsidRDefault="00146FAE" w:rsidP="001B3E2F">
            <w:pPr>
              <w:ind w:firstLine="360"/>
            </w:pPr>
          </w:p>
          <w:p w14:paraId="544808A2" w14:textId="77777777" w:rsidR="00146FAE" w:rsidRDefault="00146FAE" w:rsidP="001B3E2F">
            <w:pPr>
              <w:ind w:firstLine="360"/>
            </w:pPr>
          </w:p>
          <w:p w14:paraId="6A801EDE" w14:textId="77777777" w:rsidR="00283E19" w:rsidRDefault="00283E19" w:rsidP="00855681"/>
        </w:tc>
      </w:tr>
      <w:tr w:rsidR="00940B4D" w14:paraId="0FD847E7" w14:textId="77777777" w:rsidTr="004A41CB">
        <w:tc>
          <w:tcPr>
            <w:tcW w:w="2972" w:type="dxa"/>
            <w:tcBorders>
              <w:left w:val="nil"/>
              <w:right w:val="nil"/>
            </w:tcBorders>
          </w:tcPr>
          <w:p w14:paraId="6D3F7C7B" w14:textId="77777777" w:rsidR="00940B4D" w:rsidRPr="004A41CB" w:rsidRDefault="00CB1727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1B3E2F">
              <w:rPr>
                <w:b/>
                <w:color w:val="000000"/>
              </w:rPr>
              <w:lastRenderedPageBreak/>
              <w:t>Quelles sont nos obligations ?</w:t>
            </w: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37976B14" w14:textId="77777777" w:rsidR="001B3E2F" w:rsidRDefault="001B3E2F" w:rsidP="00283E19">
            <w:r>
              <w:t xml:space="preserve">Nous devons </w:t>
            </w:r>
            <w:r w:rsidR="00283E19">
              <w:t xml:space="preserve">contribuer à </w:t>
            </w:r>
            <w:r w:rsidR="00283E19" w:rsidRPr="001B3E2F">
              <w:rPr>
                <w:b/>
              </w:rPr>
              <w:t>lutter contre la fraude monétique</w:t>
            </w:r>
            <w:r w:rsidR="00283E19">
              <w:t xml:space="preserve">. </w:t>
            </w:r>
          </w:p>
          <w:p w14:paraId="46F3A36D" w14:textId="77777777" w:rsidR="00283E19" w:rsidRDefault="00283E19" w:rsidP="001B3E2F">
            <w:pPr>
              <w:jc w:val="both"/>
            </w:pPr>
            <w:r>
              <w:t xml:space="preserve">Si des données sensibles venaient à être compromises, la banque acquéreur pourrait se voir appliquer des pénalités, en l’absence de sensibilisation et de conseils apportés aux clients. </w:t>
            </w:r>
          </w:p>
          <w:p w14:paraId="0BD1592E" w14:textId="77777777" w:rsidR="001B3E2F" w:rsidRDefault="001B3E2F" w:rsidP="001B3E2F">
            <w:pPr>
              <w:jc w:val="both"/>
            </w:pPr>
            <w:r>
              <w:t xml:space="preserve">Nous avons une </w:t>
            </w:r>
            <w:r w:rsidRPr="001B3E2F">
              <w:rPr>
                <w:b/>
              </w:rPr>
              <w:t>obligation d’information et de suivi de la campagne</w:t>
            </w:r>
            <w:r>
              <w:t xml:space="preserve"> de collecte PCI-DSS en tant qu’acquéreur. Il est à noter des pénalités accrus en cas de manquement à nos obligations pour les commerçants dits de </w:t>
            </w:r>
            <w:r w:rsidRPr="001B3E2F">
              <w:rPr>
                <w:b/>
              </w:rPr>
              <w:t>Niveau 1 à 3</w:t>
            </w:r>
            <w:r>
              <w:t>, non conforme</w:t>
            </w:r>
            <w:r w:rsidR="00C15DF7">
              <w:t>s</w:t>
            </w:r>
            <w:r>
              <w:t xml:space="preserve"> au-delà de 13 mois.</w:t>
            </w:r>
          </w:p>
          <w:p w14:paraId="7956DF3F" w14:textId="77777777" w:rsidR="001B3E2F" w:rsidRDefault="001B3E2F" w:rsidP="001B3E2F">
            <w:pPr>
              <w:jc w:val="both"/>
            </w:pPr>
            <w:r>
              <w:t xml:space="preserve">Dès lors </w:t>
            </w:r>
            <w:r w:rsidRPr="001B3E2F">
              <w:rPr>
                <w:b/>
              </w:rPr>
              <w:t>une attention toute particulière est à avoir quant au retour des questionnaires d’auto-évaluation de ces commerçants</w:t>
            </w:r>
            <w:r>
              <w:t>.</w:t>
            </w:r>
          </w:p>
          <w:p w14:paraId="14BF742B" w14:textId="77777777" w:rsidR="001B3E2F" w:rsidRDefault="001B3E2F" w:rsidP="001B3E2F">
            <w:pPr>
              <w:jc w:val="both"/>
            </w:pPr>
          </w:p>
        </w:tc>
      </w:tr>
      <w:tr w:rsidR="00940B4D" w14:paraId="2B53C96C" w14:textId="77777777" w:rsidTr="004A41CB">
        <w:tc>
          <w:tcPr>
            <w:tcW w:w="2972" w:type="dxa"/>
            <w:tcBorders>
              <w:left w:val="nil"/>
              <w:right w:val="nil"/>
            </w:tcBorders>
          </w:tcPr>
          <w:p w14:paraId="774B17D2" w14:textId="77777777" w:rsidR="00940B4D" w:rsidRPr="004A41CB" w:rsidRDefault="00CB1727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4A41CB">
              <w:rPr>
                <w:b/>
                <w:color w:val="000000"/>
              </w:rPr>
              <w:t>Qu’est-ce que le questionnaire d’auto-évaluation ?</w:t>
            </w: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16DDC841" w14:textId="77777777" w:rsidR="00940B4D" w:rsidRDefault="001B3E2F" w:rsidP="007901F0">
            <w:pPr>
              <w:jc w:val="both"/>
            </w:pPr>
            <w:r>
              <w:t>Le questionnaire d'auto-évaluation à la norme PCI DSS (</w:t>
            </w:r>
            <w:r w:rsidRPr="007901F0">
              <w:rPr>
                <w:b/>
              </w:rPr>
              <w:t>SAQ</w:t>
            </w:r>
            <w:r>
              <w:t>) est un outil de validation dont l'objectif est d'aider les commerçants et prestataires de services dans l'auto-évaluation de leur conformité à la norme de sécurité des données du secteur des cartes de paiement (PCI DSS). Il existe différentes versions de</w:t>
            </w:r>
            <w:r w:rsidR="007901F0">
              <w:t xml:space="preserve"> </w:t>
            </w:r>
            <w:r>
              <w:t>ces SAQ PCI DSS afin de répondre à plusieurs scénarios.</w:t>
            </w:r>
          </w:p>
          <w:p w14:paraId="55582DEB" w14:textId="77777777" w:rsidR="007901F0" w:rsidRDefault="007901F0" w:rsidP="007901F0">
            <w:pPr>
              <w:jc w:val="both"/>
            </w:pPr>
          </w:p>
          <w:p w14:paraId="32E67513" w14:textId="77777777" w:rsidR="007901F0" w:rsidRDefault="007901F0" w:rsidP="007901F0">
            <w:pPr>
              <w:jc w:val="both"/>
            </w:pPr>
            <w:r>
              <w:rPr>
                <w:noProof/>
                <w:lang w:eastAsia="fr-FR"/>
              </w:rPr>
              <w:drawing>
                <wp:inline distT="0" distB="0" distL="0" distR="0" wp14:anchorId="565D8AD7" wp14:editId="5DA42DB9">
                  <wp:extent cx="3916907" cy="1842018"/>
                  <wp:effectExtent l="0" t="0" r="762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27248" t="40957" r="28691" b="22188"/>
                          <a:stretch/>
                        </pic:blipFill>
                        <pic:spPr bwMode="auto">
                          <a:xfrm>
                            <a:off x="0" y="0"/>
                            <a:ext cx="3917556" cy="18423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E263889" w14:textId="77777777" w:rsidR="007901F0" w:rsidRDefault="007901F0" w:rsidP="007901F0">
            <w:pPr>
              <w:jc w:val="both"/>
            </w:pPr>
          </w:p>
        </w:tc>
      </w:tr>
      <w:tr w:rsidR="00940B4D" w14:paraId="7ED840D6" w14:textId="77777777" w:rsidTr="004A41CB">
        <w:tc>
          <w:tcPr>
            <w:tcW w:w="2972" w:type="dxa"/>
            <w:tcBorders>
              <w:left w:val="nil"/>
              <w:right w:val="nil"/>
            </w:tcBorders>
          </w:tcPr>
          <w:p w14:paraId="4862EC0E" w14:textId="77777777" w:rsidR="00940B4D" w:rsidRPr="00C15DF7" w:rsidRDefault="00CB1727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C15DF7">
              <w:rPr>
                <w:b/>
                <w:color w:val="000000"/>
              </w:rPr>
              <w:t>Sur quels critères sont classées les entreprises ?</w:t>
            </w: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1606BB4A" w14:textId="77777777" w:rsidR="00940B4D" w:rsidRDefault="00F414B8">
            <w:r>
              <w:t>Les commerçants sont classés en différents niveaux et en fonction de différents critères :</w:t>
            </w:r>
          </w:p>
          <w:p w14:paraId="1B4BD66F" w14:textId="77777777" w:rsidR="00F414B8" w:rsidRDefault="00F414B8">
            <w:r>
              <w:t>Niveau 1 : &gt;</w:t>
            </w:r>
            <w:r w:rsidR="00554F83">
              <w:t xml:space="preserve"> </w:t>
            </w:r>
            <w:r>
              <w:t>6 millions de transactions/an</w:t>
            </w:r>
          </w:p>
          <w:p w14:paraId="476E1DEA" w14:textId="77777777" w:rsidR="00F414B8" w:rsidRDefault="00F414B8">
            <w:r>
              <w:t>Niveau 2 : &gt;</w:t>
            </w:r>
            <w:r w:rsidR="00554F83">
              <w:t xml:space="preserve"> </w:t>
            </w:r>
            <w:r>
              <w:t>1 million de transactions/an</w:t>
            </w:r>
          </w:p>
          <w:p w14:paraId="667E7FAF" w14:textId="77777777" w:rsidR="00F414B8" w:rsidRDefault="00F414B8">
            <w:r>
              <w:t>Niveau 3</w:t>
            </w:r>
            <w:r w:rsidR="00554F83">
              <w:t> : Paiement non externalisé – Vente à Distance &gt; 20000 transactions/an</w:t>
            </w:r>
          </w:p>
          <w:p w14:paraId="1DF54913" w14:textId="77777777" w:rsidR="00554F83" w:rsidRDefault="00554F83">
            <w:r>
              <w:t xml:space="preserve">Niveau 3 : paiement externalisé à un PSP (Prestataire de Services de Paiement) certifié PCI-DSS – </w:t>
            </w:r>
          </w:p>
          <w:p w14:paraId="660111FA" w14:textId="77777777" w:rsidR="00554F83" w:rsidRDefault="00554F83">
            <w:r>
              <w:t>Vente à Distance &lt; 20000 transactions/an</w:t>
            </w:r>
          </w:p>
          <w:p w14:paraId="521B86E0" w14:textId="77777777" w:rsidR="00554F83" w:rsidRDefault="00554F83">
            <w:r>
              <w:t>Niveau 4 : Vente à Distance</w:t>
            </w:r>
          </w:p>
          <w:p w14:paraId="05121E2A" w14:textId="77777777" w:rsidR="00554F83" w:rsidRDefault="00554F83">
            <w:r>
              <w:t>Niveau 4 : face à Face – Secteur hôtellerie</w:t>
            </w:r>
          </w:p>
          <w:p w14:paraId="231BDC1E" w14:textId="77777777" w:rsidR="00554F83" w:rsidRDefault="00554F83" w:rsidP="00694BD9">
            <w:pPr>
              <w:spacing w:line="360" w:lineRule="auto"/>
            </w:pPr>
            <w:r>
              <w:t>Niveau 4 : Secteur aviation &gt; 50000 transactions/an</w:t>
            </w:r>
          </w:p>
        </w:tc>
      </w:tr>
      <w:tr w:rsidR="00940B4D" w14:paraId="521D7A94" w14:textId="77777777" w:rsidTr="004A41CB">
        <w:tc>
          <w:tcPr>
            <w:tcW w:w="2972" w:type="dxa"/>
            <w:tcBorders>
              <w:left w:val="nil"/>
              <w:right w:val="nil"/>
            </w:tcBorders>
          </w:tcPr>
          <w:p w14:paraId="493C5F0F" w14:textId="77777777" w:rsidR="00940B4D" w:rsidRPr="004A41CB" w:rsidRDefault="00CB1727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4A41CB">
              <w:rPr>
                <w:b/>
                <w:color w:val="000000"/>
              </w:rPr>
              <w:lastRenderedPageBreak/>
              <w:t>Rôle du réseau commercial ?</w:t>
            </w: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2C178C1B" w14:textId="77777777" w:rsidR="007901F0" w:rsidRDefault="007901F0" w:rsidP="007901F0">
            <w:r>
              <w:t>Le chargé d’affaires doit inviter le client à réaliser sa démarche déclarative de conformité aux normes PCI-DSS. Les failles de sécurité et autres problèmes portant sur les données de carte de paiement les exposent à de lourdes conséquences, notamment :</w:t>
            </w:r>
          </w:p>
          <w:p w14:paraId="1E66B07E" w14:textId="77777777" w:rsidR="007901F0" w:rsidRDefault="007901F0" w:rsidP="00C15DF7">
            <w:pPr>
              <w:pStyle w:val="Paragraphedeliste"/>
              <w:numPr>
                <w:ilvl w:val="0"/>
                <w:numId w:val="3"/>
              </w:numPr>
            </w:pPr>
            <w:r>
              <w:t>Obligations de notification réglementaire</w:t>
            </w:r>
          </w:p>
          <w:p w14:paraId="648D8C97" w14:textId="77777777" w:rsidR="007901F0" w:rsidRDefault="007901F0" w:rsidP="00C15DF7">
            <w:pPr>
              <w:pStyle w:val="Paragraphedeliste"/>
              <w:numPr>
                <w:ilvl w:val="0"/>
                <w:numId w:val="3"/>
              </w:numPr>
            </w:pPr>
            <w:r>
              <w:t>Perte de réputation</w:t>
            </w:r>
          </w:p>
          <w:p w14:paraId="25576D40" w14:textId="77777777" w:rsidR="007901F0" w:rsidRDefault="007901F0" w:rsidP="00C15DF7">
            <w:pPr>
              <w:pStyle w:val="Paragraphedeliste"/>
              <w:numPr>
                <w:ilvl w:val="0"/>
                <w:numId w:val="3"/>
              </w:numPr>
            </w:pPr>
            <w:r>
              <w:t>Perte de clients</w:t>
            </w:r>
          </w:p>
          <w:p w14:paraId="2606F569" w14:textId="77777777" w:rsidR="007901F0" w:rsidRDefault="007901F0" w:rsidP="00C15DF7">
            <w:pPr>
              <w:pStyle w:val="Paragraphedeliste"/>
              <w:numPr>
                <w:ilvl w:val="0"/>
                <w:numId w:val="3"/>
              </w:numPr>
            </w:pPr>
            <w:r>
              <w:t>Responsabilités financières potentielles (par exemple, frais réglementaires, amendes et autres) ;</w:t>
            </w:r>
          </w:p>
          <w:p w14:paraId="740189B8" w14:textId="77777777" w:rsidR="00940B4D" w:rsidRDefault="007901F0" w:rsidP="00C15DF7">
            <w:pPr>
              <w:pStyle w:val="Paragraphedeliste"/>
              <w:numPr>
                <w:ilvl w:val="0"/>
                <w:numId w:val="3"/>
              </w:numPr>
            </w:pPr>
            <w:r>
              <w:t>Litiges.</w:t>
            </w:r>
          </w:p>
          <w:p w14:paraId="7A0D4A1B" w14:textId="77777777" w:rsidR="007901F0" w:rsidRDefault="007901F0" w:rsidP="007901F0">
            <w:pPr>
              <w:jc w:val="both"/>
            </w:pPr>
            <w:r>
              <w:t>Le conseiller ne doit pas compléter le questionnaire en lieu et place du commerçant. Il peut l’inviter à contacter l’assistanc</w:t>
            </w:r>
            <w:r w:rsidR="00FF0107">
              <w:t>e téléphonique Natixis Payment : 09 69 36 02 99</w:t>
            </w:r>
            <w:r>
              <w:t xml:space="preserve">, ou avoir recours à des prestataires certifiés PCI-DSS. </w:t>
            </w:r>
          </w:p>
          <w:p w14:paraId="6AE0EE29" w14:textId="77777777" w:rsidR="007901F0" w:rsidRDefault="007901F0" w:rsidP="007901F0"/>
        </w:tc>
      </w:tr>
      <w:tr w:rsidR="00940B4D" w14:paraId="7E9F6A41" w14:textId="77777777" w:rsidTr="00C15DF7">
        <w:tc>
          <w:tcPr>
            <w:tcW w:w="2972" w:type="dxa"/>
            <w:tcBorders>
              <w:left w:val="nil"/>
              <w:bottom w:val="single" w:sz="4" w:space="0" w:color="auto"/>
              <w:right w:val="nil"/>
            </w:tcBorders>
          </w:tcPr>
          <w:p w14:paraId="4FF457F5" w14:textId="77777777" w:rsidR="00940B4D" w:rsidRPr="004A41CB" w:rsidRDefault="00CB1727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C15DF7">
              <w:rPr>
                <w:b/>
                <w:color w:val="000000"/>
              </w:rPr>
              <w:t>Courrier clients et mot de passe ?</w:t>
            </w:r>
          </w:p>
        </w:tc>
        <w:tc>
          <w:tcPr>
            <w:tcW w:w="9781" w:type="dxa"/>
            <w:tcBorders>
              <w:left w:val="nil"/>
              <w:bottom w:val="single" w:sz="4" w:space="0" w:color="auto"/>
              <w:right w:val="nil"/>
            </w:tcBorders>
          </w:tcPr>
          <w:p w14:paraId="6BDF23D3" w14:textId="77777777" w:rsidR="00940B4D" w:rsidRDefault="000A710B">
            <w:r>
              <w:t>Natixi</w:t>
            </w:r>
            <w:r w:rsidR="00395A23">
              <w:t>s P</w:t>
            </w:r>
            <w:r>
              <w:t>ayment, via le site PCI-DSS relance chaque année les nouveaux commerçants par courrier afin qu’ils s’enrôlent sur le site et qu’ils répondent à un questionnaire.</w:t>
            </w:r>
          </w:p>
          <w:p w14:paraId="6A6E3CFA" w14:textId="77777777" w:rsidR="000A710B" w:rsidRDefault="000A710B">
            <w:r>
              <w:t>Natixis transmet de façon sécurisée l’identifiant puis le mot de passe.</w:t>
            </w:r>
          </w:p>
          <w:p w14:paraId="22262F3E" w14:textId="77777777" w:rsidR="000A710B" w:rsidRDefault="000A710B">
            <w:r>
              <w:t>L’identifiant communiqué est invariant et il est mentionné sur la plupart des courriers et mails.</w:t>
            </w:r>
          </w:p>
          <w:p w14:paraId="2DEF30FF" w14:textId="77777777" w:rsidR="000A710B" w:rsidRDefault="000A710B">
            <w:r>
              <w:t>Le mot de passe est provisoire et il est à changer à la première connexion du client.</w:t>
            </w:r>
          </w:p>
          <w:p w14:paraId="4C376773" w14:textId="77777777" w:rsidR="000A710B" w:rsidRDefault="000A710B" w:rsidP="000A710B">
            <w:pPr>
              <w:pStyle w:val="Paragraphedeliste"/>
              <w:numPr>
                <w:ilvl w:val="0"/>
                <w:numId w:val="5"/>
              </w:numPr>
            </w:pPr>
            <w:r>
              <w:t>Si un client déjà enrôlé sur le site perd ou oublie son identifiant ou son mot de passe, il peut en redemander un via le site de façon sécurisé ou via l’assistance.</w:t>
            </w:r>
          </w:p>
          <w:p w14:paraId="04888531" w14:textId="77777777" w:rsidR="000A710B" w:rsidRDefault="000A710B" w:rsidP="000A710B">
            <w:pPr>
              <w:pStyle w:val="Paragraphedeliste"/>
              <w:numPr>
                <w:ilvl w:val="0"/>
                <w:numId w:val="5"/>
              </w:numPr>
            </w:pPr>
            <w:r>
              <w:t xml:space="preserve">Si un client pas encore enrôlé a perdu son identifiant ou son mot de passe provisoire avant enrôlement, seul un référent de son Etablissement et/ou l’assistance peuvent </w:t>
            </w:r>
            <w:r w:rsidR="00CE5457">
              <w:t>déclencher</w:t>
            </w:r>
            <w:r>
              <w:t xml:space="preserve"> un nouvel envoi par mail.</w:t>
            </w:r>
          </w:p>
          <w:p w14:paraId="046A572F" w14:textId="77777777" w:rsidR="000A710B" w:rsidRDefault="000A710B"/>
        </w:tc>
      </w:tr>
      <w:tr w:rsidR="00940B4D" w14:paraId="5BDC00E1" w14:textId="77777777" w:rsidTr="00C15DF7">
        <w:tc>
          <w:tcPr>
            <w:tcW w:w="2972" w:type="dxa"/>
            <w:tcBorders>
              <w:left w:val="nil"/>
              <w:right w:val="nil"/>
            </w:tcBorders>
          </w:tcPr>
          <w:p w14:paraId="44BC4B0E" w14:textId="77777777" w:rsidR="00940B4D" w:rsidRPr="004A41CB" w:rsidRDefault="00CB1727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4A41CB">
              <w:rPr>
                <w:b/>
                <w:color w:val="000000"/>
              </w:rPr>
              <w:t>Qui complète le questionnaire ?</w:t>
            </w: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06983347" w14:textId="77777777" w:rsidR="00940B4D" w:rsidRDefault="00C15DF7">
            <w:r>
              <w:t xml:space="preserve">Le </w:t>
            </w:r>
            <w:r w:rsidR="007C1DDF">
              <w:t>Représentant légal</w:t>
            </w:r>
            <w:r>
              <w:t xml:space="preserve"> ou son Correspondant PCI-DSS complète le questionnaire d’auto-évaluation.</w:t>
            </w:r>
          </w:p>
          <w:p w14:paraId="17F3E072" w14:textId="77777777" w:rsidR="00C15DF7" w:rsidRDefault="00C15DF7">
            <w:r>
              <w:t>La banque n’intervient pas dans la démarche.</w:t>
            </w:r>
          </w:p>
          <w:p w14:paraId="01F62AFE" w14:textId="77777777" w:rsidR="007C1DDF" w:rsidRDefault="007C1DDF"/>
        </w:tc>
      </w:tr>
      <w:tr w:rsidR="00940B4D" w14:paraId="12DE77C1" w14:textId="77777777" w:rsidTr="00C15DF7">
        <w:tc>
          <w:tcPr>
            <w:tcW w:w="2972" w:type="dxa"/>
            <w:tcBorders>
              <w:left w:val="nil"/>
              <w:right w:val="nil"/>
            </w:tcBorders>
          </w:tcPr>
          <w:p w14:paraId="221A90D5" w14:textId="77777777" w:rsidR="00940B4D" w:rsidRPr="004A41CB" w:rsidRDefault="00CB1727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4A41CB">
              <w:rPr>
                <w:b/>
                <w:color w:val="000000"/>
              </w:rPr>
              <w:t>Qui fait quoi ?</w:t>
            </w: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703304BB" w14:textId="77777777" w:rsidR="00283E19" w:rsidRDefault="00C15DF7">
            <w:r>
              <w:t>La banque informe les clients concernés par la démarche.</w:t>
            </w:r>
          </w:p>
          <w:p w14:paraId="70497377" w14:textId="77777777" w:rsidR="00C15DF7" w:rsidRDefault="00C15DF7" w:rsidP="00C15DF7">
            <w:pPr>
              <w:jc w:val="both"/>
            </w:pPr>
            <w:r>
              <w:t>La Direction Solutions Clients CEGEE communique à Natixis Payments les coordonnées de nos commerçants à chaque campagne pour permettre à Natixis Payments de recueillir les questionnaires de la part de nos clients et réaliser la cartographie PCI-DSS de notre fonds de commerce.</w:t>
            </w:r>
          </w:p>
          <w:p w14:paraId="4CDF8E0C" w14:textId="77777777" w:rsidR="00C15DF7" w:rsidRDefault="00C15DF7" w:rsidP="00C15DF7">
            <w:pPr>
              <w:jc w:val="both"/>
            </w:pPr>
            <w:r>
              <w:t>La ligne commerciale doit être en mesure de renseigner le client qui viendrait à s’interroger sur la démarche.</w:t>
            </w:r>
          </w:p>
          <w:p w14:paraId="375938E7" w14:textId="77777777" w:rsidR="00694BD9" w:rsidRDefault="00694BD9" w:rsidP="00C15DF7">
            <w:pPr>
              <w:jc w:val="both"/>
            </w:pPr>
          </w:p>
          <w:p w14:paraId="74E8C7E3" w14:textId="77777777" w:rsidR="00694BD9" w:rsidRDefault="00694BD9" w:rsidP="00C15DF7">
            <w:pPr>
              <w:jc w:val="both"/>
            </w:pPr>
          </w:p>
          <w:p w14:paraId="214944BB" w14:textId="77777777" w:rsidR="00C15DF7" w:rsidRDefault="00C15DF7" w:rsidP="00C15DF7">
            <w:pPr>
              <w:jc w:val="both"/>
            </w:pPr>
          </w:p>
        </w:tc>
      </w:tr>
      <w:tr w:rsidR="00940B4D" w14:paraId="2928D303" w14:textId="77777777" w:rsidTr="00C15DF7">
        <w:tc>
          <w:tcPr>
            <w:tcW w:w="2972" w:type="dxa"/>
            <w:tcBorders>
              <w:left w:val="nil"/>
              <w:right w:val="nil"/>
            </w:tcBorders>
          </w:tcPr>
          <w:p w14:paraId="7BA4D4F7" w14:textId="77777777" w:rsidR="00B07DED" w:rsidRDefault="00B07DED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B07DED">
              <w:rPr>
                <w:b/>
                <w:color w:val="000000"/>
              </w:rPr>
              <w:lastRenderedPageBreak/>
              <w:t xml:space="preserve">Le commerçant a-t-il l’obligation de compléter le questionnaire ? </w:t>
            </w:r>
          </w:p>
          <w:p w14:paraId="7D8B0E39" w14:textId="77777777" w:rsidR="00B07DED" w:rsidRDefault="00B07DED" w:rsidP="00812594">
            <w:pPr>
              <w:pStyle w:val="Paragraphedeliste"/>
              <w:spacing w:before="100" w:beforeAutospacing="1" w:after="100" w:afterAutospacing="1"/>
              <w:rPr>
                <w:b/>
                <w:color w:val="000000"/>
              </w:rPr>
            </w:pPr>
          </w:p>
          <w:p w14:paraId="5AADA2B5" w14:textId="77777777" w:rsidR="00CB1727" w:rsidRPr="00A03EA4" w:rsidRDefault="00B07DED" w:rsidP="00812594">
            <w:pPr>
              <w:pStyle w:val="Paragraphedeliste"/>
              <w:spacing w:before="100" w:beforeAutospacing="1" w:after="100" w:afterAutospacing="1"/>
              <w:rPr>
                <w:b/>
                <w:color w:val="000000"/>
              </w:rPr>
            </w:pPr>
            <w:r w:rsidRPr="00B07DED">
              <w:rPr>
                <w:b/>
                <w:color w:val="000000"/>
              </w:rPr>
              <w:t>S’il ne le fait pas ou le fait mal à quoi s’expose-t-il ?</w:t>
            </w: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5247D949" w14:textId="77777777" w:rsidR="00B07DED" w:rsidRDefault="00B07DED" w:rsidP="00A03EA4">
            <w:pPr>
              <w:jc w:val="both"/>
            </w:pPr>
            <w:r>
              <w:t>S’agissant d’une démarche réglementaire, le commerçant doit compléter le questionnaire.</w:t>
            </w:r>
          </w:p>
          <w:p w14:paraId="2967B610" w14:textId="77777777" w:rsidR="00940B4D" w:rsidRDefault="00A03EA4" w:rsidP="00A03EA4">
            <w:pPr>
              <w:jc w:val="both"/>
            </w:pPr>
            <w:r>
              <w:t xml:space="preserve">La complétude du questionnaire est </w:t>
            </w:r>
            <w:r w:rsidR="00B07DED">
              <w:t>de sa responsabilité. Les banques se doivent de l’en informer.</w:t>
            </w:r>
          </w:p>
          <w:p w14:paraId="0AC056E9" w14:textId="77777777" w:rsidR="00A03EA4" w:rsidRDefault="00A03EA4" w:rsidP="00A03EA4">
            <w:pPr>
              <w:jc w:val="both"/>
            </w:pPr>
            <w:r>
              <w:t>Ses réponses doivent permettre d’attester son respect des normes PCI-DSS.</w:t>
            </w:r>
          </w:p>
          <w:p w14:paraId="0FD2ECFB" w14:textId="77777777" w:rsidR="00A03EA4" w:rsidRDefault="00A03EA4" w:rsidP="00A03EA4">
            <w:pPr>
              <w:jc w:val="both"/>
            </w:pPr>
            <w:r>
              <w:t>Nous n’avons pas à nous substituer au client dans la formulation de ses réponses au questionnaire d’auto-évaluation.</w:t>
            </w:r>
          </w:p>
          <w:p w14:paraId="29DA25D6" w14:textId="77777777" w:rsidR="00B07DED" w:rsidRDefault="00B07DED" w:rsidP="00B07DED">
            <w:pPr>
              <w:jc w:val="both"/>
            </w:pPr>
            <w:r>
              <w:t xml:space="preserve">Le </w:t>
            </w:r>
            <w:r w:rsidRPr="00B07DED">
              <w:t xml:space="preserve">respect de PCI DSS aide </w:t>
            </w:r>
            <w:r>
              <w:t xml:space="preserve">le commerçant à </w:t>
            </w:r>
            <w:r w:rsidRPr="00B07DED">
              <w:t>s</w:t>
            </w:r>
            <w:r>
              <w:t>e</w:t>
            </w:r>
            <w:r w:rsidRPr="00B07DED">
              <w:t xml:space="preserve"> conformer aux lois relatives à la sécurité et à la confidentialité des données</w:t>
            </w:r>
            <w:r>
              <w:t xml:space="preserve">. La démarche </w:t>
            </w:r>
            <w:r w:rsidRPr="00B07DED">
              <w:t xml:space="preserve">PCI DSS </w:t>
            </w:r>
            <w:r>
              <w:t>permet d’instaurer</w:t>
            </w:r>
            <w:r w:rsidRPr="00B07DED">
              <w:t xml:space="preserve"> de bonnes pratiques en matière de sécurité des données.</w:t>
            </w:r>
            <w:r>
              <w:t xml:space="preserve"> </w:t>
            </w:r>
            <w:r w:rsidRPr="00B07DED">
              <w:t>L</w:t>
            </w:r>
            <w:r>
              <w:t xml:space="preserve">e questionnaire </w:t>
            </w:r>
            <w:r w:rsidRPr="00B07DED">
              <w:t xml:space="preserve">constitue la feuille de route à suivre pour assurer </w:t>
            </w:r>
            <w:r>
              <w:t>sa</w:t>
            </w:r>
            <w:r w:rsidRPr="00B07DED">
              <w:t xml:space="preserve"> conformité à la norme</w:t>
            </w:r>
            <w:r>
              <w:t>.</w:t>
            </w:r>
          </w:p>
          <w:p w14:paraId="30EA559D" w14:textId="77777777" w:rsidR="00D32056" w:rsidRDefault="00D32056" w:rsidP="00D32056">
            <w:pPr>
              <w:jc w:val="both"/>
            </w:pPr>
          </w:p>
          <w:p w14:paraId="28E33DD4" w14:textId="77777777" w:rsidR="00D32056" w:rsidRDefault="00D32056" w:rsidP="00D32056">
            <w:pPr>
              <w:jc w:val="both"/>
            </w:pPr>
            <w:r>
              <w:t>La violation de données de cartes bancaires affecte la confiance des consommateurs et peut engendrer une perte d’activité. Tout commerçant allant à l’encontre de PCI DSS pourrait faire face à de sérieuses conséquences, y compris des amendes, procès et dommages à leur réputation. Les implications peuvent être considérables et comprennent :</w:t>
            </w:r>
          </w:p>
          <w:p w14:paraId="30C7C708" w14:textId="77777777" w:rsidR="00D32056" w:rsidRDefault="00D32056" w:rsidP="00D32056">
            <w:pPr>
              <w:pStyle w:val="Paragraphedeliste"/>
              <w:numPr>
                <w:ilvl w:val="0"/>
                <w:numId w:val="6"/>
              </w:numPr>
              <w:jc w:val="both"/>
            </w:pPr>
            <w:r>
              <w:t>Les pertes dues aux fraudes</w:t>
            </w:r>
          </w:p>
          <w:p w14:paraId="7B2B4FA6" w14:textId="77777777" w:rsidR="00D32056" w:rsidRDefault="00D32056" w:rsidP="00D32056">
            <w:pPr>
              <w:pStyle w:val="Paragraphedeliste"/>
              <w:numPr>
                <w:ilvl w:val="0"/>
                <w:numId w:val="6"/>
              </w:numPr>
              <w:jc w:val="both"/>
            </w:pPr>
            <w:r>
              <w:t>La perte de la confiance des consommateurs</w:t>
            </w:r>
          </w:p>
          <w:p w14:paraId="479B9A07" w14:textId="77777777" w:rsidR="00D32056" w:rsidRDefault="00D32056" w:rsidP="00D32056">
            <w:pPr>
              <w:pStyle w:val="Paragraphedeliste"/>
              <w:numPr>
                <w:ilvl w:val="0"/>
                <w:numId w:val="6"/>
              </w:numPr>
              <w:jc w:val="both"/>
            </w:pPr>
            <w:r>
              <w:t>La diminution des ventes</w:t>
            </w:r>
          </w:p>
          <w:p w14:paraId="3770C8CC" w14:textId="77777777" w:rsidR="00D32056" w:rsidRDefault="00D32056" w:rsidP="00D32056">
            <w:pPr>
              <w:pStyle w:val="Paragraphedeliste"/>
              <w:numPr>
                <w:ilvl w:val="0"/>
                <w:numId w:val="6"/>
              </w:numPr>
              <w:jc w:val="both"/>
            </w:pPr>
            <w:r>
              <w:t>Le coût de réémission de cartes de paiement</w:t>
            </w:r>
          </w:p>
          <w:p w14:paraId="7CD4142B" w14:textId="77777777" w:rsidR="00D32056" w:rsidRDefault="00D32056" w:rsidP="00D32056">
            <w:pPr>
              <w:pStyle w:val="Paragraphedeliste"/>
              <w:numPr>
                <w:ilvl w:val="0"/>
                <w:numId w:val="6"/>
              </w:numPr>
              <w:jc w:val="both"/>
            </w:pPr>
            <w:r>
              <w:t>Les coûts ultérieurs de conformité plus importants</w:t>
            </w:r>
          </w:p>
          <w:p w14:paraId="6F16C28F" w14:textId="77777777" w:rsidR="00D32056" w:rsidRDefault="00D32056" w:rsidP="00D32056">
            <w:pPr>
              <w:pStyle w:val="Paragraphedeliste"/>
              <w:numPr>
                <w:ilvl w:val="0"/>
                <w:numId w:val="6"/>
              </w:numPr>
              <w:jc w:val="both"/>
            </w:pPr>
            <w:r>
              <w:t>Les frais légaux, règlements et jugements</w:t>
            </w:r>
          </w:p>
          <w:p w14:paraId="5732DB6A" w14:textId="77777777" w:rsidR="00D32056" w:rsidRDefault="00D32056" w:rsidP="00D32056">
            <w:pPr>
              <w:pStyle w:val="Paragraphedeliste"/>
              <w:numPr>
                <w:ilvl w:val="0"/>
                <w:numId w:val="6"/>
              </w:numPr>
              <w:jc w:val="both"/>
            </w:pPr>
            <w:r>
              <w:t>Les amendes et sanctions</w:t>
            </w:r>
          </w:p>
          <w:p w14:paraId="551847E6" w14:textId="77777777" w:rsidR="00D32056" w:rsidRDefault="00D32056" w:rsidP="00D32056">
            <w:pPr>
              <w:pStyle w:val="Paragraphedeliste"/>
              <w:numPr>
                <w:ilvl w:val="0"/>
                <w:numId w:val="6"/>
              </w:numPr>
              <w:jc w:val="both"/>
            </w:pPr>
            <w:r>
              <w:t>La résiliation de la capacité à accepter les cartes de paiement</w:t>
            </w:r>
          </w:p>
          <w:p w14:paraId="1F8B2CF5" w14:textId="77777777" w:rsidR="00010B65" w:rsidRDefault="00D32056" w:rsidP="00D32056">
            <w:pPr>
              <w:pStyle w:val="Paragraphedeliste"/>
              <w:numPr>
                <w:ilvl w:val="0"/>
                <w:numId w:val="6"/>
              </w:numPr>
              <w:jc w:val="both"/>
            </w:pPr>
            <w:r>
              <w:t>Les emplois perdus</w:t>
            </w:r>
          </w:p>
          <w:p w14:paraId="394863C8" w14:textId="77777777" w:rsidR="00D32056" w:rsidRDefault="00D32056" w:rsidP="00D32056">
            <w:pPr>
              <w:pStyle w:val="Paragraphedeliste"/>
              <w:jc w:val="both"/>
            </w:pPr>
          </w:p>
        </w:tc>
      </w:tr>
      <w:tr w:rsidR="00CB1727" w14:paraId="44DDC03E" w14:textId="77777777" w:rsidTr="00C15DF7">
        <w:tc>
          <w:tcPr>
            <w:tcW w:w="2972" w:type="dxa"/>
            <w:tcBorders>
              <w:left w:val="nil"/>
              <w:right w:val="nil"/>
            </w:tcBorders>
          </w:tcPr>
          <w:p w14:paraId="1E33EE63" w14:textId="77777777" w:rsidR="00CB1727" w:rsidRPr="00A03EA4" w:rsidRDefault="00CB1727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A03EA4">
              <w:rPr>
                <w:b/>
                <w:color w:val="000000"/>
              </w:rPr>
              <w:t>Qui assure le suivi ?</w:t>
            </w: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494D0CB4" w14:textId="77777777" w:rsidR="00CB1727" w:rsidRDefault="00A03EA4" w:rsidP="00A03EA4">
            <w:pPr>
              <w:jc w:val="both"/>
            </w:pPr>
            <w:r>
              <w:t>La Direction Solutions Clients CEGEE accède à la plate-forme PCI-DSS mise à disposition par Natixis Payments de nos clients. Elle réalise le suivi de chaque campagne annuelle et veille particulièrement aux retours des SAQ des commerçants dits de Niveau 1 à 3.</w:t>
            </w:r>
          </w:p>
          <w:p w14:paraId="2BED2CD5" w14:textId="77777777" w:rsidR="00A03EA4" w:rsidRDefault="00A03EA4" w:rsidP="00A03EA4">
            <w:pPr>
              <w:jc w:val="both"/>
            </w:pPr>
          </w:p>
        </w:tc>
      </w:tr>
      <w:tr w:rsidR="007C1DDF" w14:paraId="23BDAF0F" w14:textId="77777777" w:rsidTr="00C15DF7">
        <w:tc>
          <w:tcPr>
            <w:tcW w:w="2972" w:type="dxa"/>
            <w:tcBorders>
              <w:left w:val="nil"/>
              <w:right w:val="nil"/>
            </w:tcBorders>
          </w:tcPr>
          <w:p w14:paraId="0A24F4B3" w14:textId="77777777" w:rsidR="007C1DDF" w:rsidRPr="004A41CB" w:rsidRDefault="007C1DDF" w:rsidP="00812594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b/>
                <w:color w:val="000000"/>
              </w:rPr>
            </w:pPr>
            <w:r w:rsidRPr="004A41CB">
              <w:rPr>
                <w:b/>
                <w:color w:val="000000"/>
              </w:rPr>
              <w:t xml:space="preserve">Pourquoi solliciter </w:t>
            </w:r>
            <w:r w:rsidR="004A41CB">
              <w:rPr>
                <w:b/>
                <w:color w:val="000000"/>
              </w:rPr>
              <w:t xml:space="preserve">les clients </w:t>
            </w:r>
            <w:r w:rsidRPr="004A41CB">
              <w:rPr>
                <w:b/>
                <w:color w:val="000000"/>
              </w:rPr>
              <w:t>tous les ans ?</w:t>
            </w:r>
          </w:p>
        </w:tc>
        <w:tc>
          <w:tcPr>
            <w:tcW w:w="9781" w:type="dxa"/>
            <w:tcBorders>
              <w:left w:val="nil"/>
              <w:right w:val="nil"/>
            </w:tcBorders>
          </w:tcPr>
          <w:p w14:paraId="46CC3944" w14:textId="77777777" w:rsidR="007C1DDF" w:rsidRDefault="00C15DF7" w:rsidP="00C110FD">
            <w:pPr>
              <w:jc w:val="both"/>
            </w:pPr>
            <w:r>
              <w:t>Il s’agit d’une o</w:t>
            </w:r>
            <w:r w:rsidR="007C1DDF">
              <w:t>bligation réglementaire</w:t>
            </w:r>
            <w:r>
              <w:t>, à laquelle les commerçants et les acquéreurs sont contraints tous les ans.</w:t>
            </w:r>
            <w:r w:rsidR="007C1DDF">
              <w:t xml:space="preserve"> </w:t>
            </w:r>
          </w:p>
        </w:tc>
      </w:tr>
    </w:tbl>
    <w:p w14:paraId="3EF1A59F" w14:textId="77777777" w:rsidR="00626207" w:rsidRDefault="00626207" w:rsidP="00D32056"/>
    <w:sectPr w:rsidR="00626207" w:rsidSect="00D32056">
      <w:footerReference w:type="default" r:id="rId13"/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A90E77" w14:textId="77777777" w:rsidR="0058448D" w:rsidRDefault="0058448D" w:rsidP="00940B4D">
      <w:pPr>
        <w:spacing w:after="0" w:line="240" w:lineRule="auto"/>
      </w:pPr>
      <w:r>
        <w:separator/>
      </w:r>
    </w:p>
  </w:endnote>
  <w:endnote w:type="continuationSeparator" w:id="0">
    <w:p w14:paraId="65F3A436" w14:textId="77777777" w:rsidR="0058448D" w:rsidRDefault="0058448D" w:rsidP="00940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74CD6E" w14:textId="77777777" w:rsidR="00FF2CA1" w:rsidRDefault="00146FAE">
    <w:pPr>
      <w:pStyle w:val="Pieddepage"/>
    </w:pPr>
    <w:r>
      <w:t>FAQ – PCI DSS</w:t>
    </w:r>
    <w:r>
      <w:ptab w:relativeTo="margin" w:alignment="center" w:leader="none"/>
    </w:r>
    <w:r>
      <w:rPr>
        <w:noProof/>
        <w:lang w:eastAsia="fr-FR"/>
      </w:rPr>
      <w:drawing>
        <wp:inline distT="0" distB="0" distL="0" distR="0" wp14:anchorId="4633D516" wp14:editId="4D828AE0">
          <wp:extent cx="1752600" cy="392931"/>
          <wp:effectExtent l="0" t="0" r="0" b="7620"/>
          <wp:docPr id="27" name="Imag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 26"/>
                  <pic:cNvPicPr>
                    <a:picLocks noChangeAspect="1"/>
                  </pic:cNvPicPr>
                </pic:nvPicPr>
                <pic:blipFill rotWithShape="1">
                  <a:blip r:embed="rId1"/>
                  <a:srcRect l="670" t="6381" r="2901" b="7144"/>
                  <a:stretch/>
                </pic:blipFill>
                <pic:spPr>
                  <a:xfrm>
                    <a:off x="0" y="0"/>
                    <a:ext cx="1832171" cy="4107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272088">
      <w:rPr>
        <w:b/>
        <w:bCs/>
        <w:noProof/>
      </w:rPr>
      <w:t>2</w:t>
    </w:r>
    <w:r>
      <w:rPr>
        <w:b/>
        <w:bCs/>
      </w:rPr>
      <w:fldChar w:fldCharType="end"/>
    </w:r>
    <w:r>
      <w:t xml:space="preserve"> sur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272088">
      <w:rPr>
        <w:b/>
        <w:bCs/>
        <w:noProof/>
      </w:rPr>
      <w:t>5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D4AAF5" w14:textId="77777777" w:rsidR="0058448D" w:rsidRDefault="0058448D" w:rsidP="00940B4D">
      <w:pPr>
        <w:spacing w:after="0" w:line="240" w:lineRule="auto"/>
      </w:pPr>
      <w:r>
        <w:separator/>
      </w:r>
    </w:p>
  </w:footnote>
  <w:footnote w:type="continuationSeparator" w:id="0">
    <w:p w14:paraId="25690163" w14:textId="77777777" w:rsidR="0058448D" w:rsidRDefault="0058448D" w:rsidP="00940B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1737F"/>
    <w:multiLevelType w:val="hybridMultilevel"/>
    <w:tmpl w:val="C8D4122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C1432"/>
    <w:multiLevelType w:val="hybridMultilevel"/>
    <w:tmpl w:val="F43686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26E22"/>
    <w:multiLevelType w:val="hybridMultilevel"/>
    <w:tmpl w:val="BE7E79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B2438C"/>
    <w:multiLevelType w:val="hybridMultilevel"/>
    <w:tmpl w:val="3A3CA2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2153AC"/>
    <w:multiLevelType w:val="hybridMultilevel"/>
    <w:tmpl w:val="6FE4074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B64CBE"/>
    <w:multiLevelType w:val="hybridMultilevel"/>
    <w:tmpl w:val="7CC8780C"/>
    <w:lvl w:ilvl="0" w:tplc="D7067A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B4D"/>
    <w:rsid w:val="00010B65"/>
    <w:rsid w:val="00033A59"/>
    <w:rsid w:val="000A710B"/>
    <w:rsid w:val="00133112"/>
    <w:rsid w:val="00146FAE"/>
    <w:rsid w:val="001B3E2F"/>
    <w:rsid w:val="001E31CA"/>
    <w:rsid w:val="001F4480"/>
    <w:rsid w:val="00233195"/>
    <w:rsid w:val="002368E0"/>
    <w:rsid w:val="002538A2"/>
    <w:rsid w:val="00272088"/>
    <w:rsid w:val="00283E19"/>
    <w:rsid w:val="00355785"/>
    <w:rsid w:val="00395A23"/>
    <w:rsid w:val="003F2618"/>
    <w:rsid w:val="004A41CB"/>
    <w:rsid w:val="00554F83"/>
    <w:rsid w:val="0058448D"/>
    <w:rsid w:val="00626207"/>
    <w:rsid w:val="00694BD9"/>
    <w:rsid w:val="006B053C"/>
    <w:rsid w:val="006F6037"/>
    <w:rsid w:val="007901F0"/>
    <w:rsid w:val="007C1DDF"/>
    <w:rsid w:val="00812594"/>
    <w:rsid w:val="00831E2F"/>
    <w:rsid w:val="00855681"/>
    <w:rsid w:val="008648E5"/>
    <w:rsid w:val="00940B4D"/>
    <w:rsid w:val="009C654F"/>
    <w:rsid w:val="009E3E12"/>
    <w:rsid w:val="00A01426"/>
    <w:rsid w:val="00A03EA4"/>
    <w:rsid w:val="00B07DED"/>
    <w:rsid w:val="00BA45FB"/>
    <w:rsid w:val="00C110FD"/>
    <w:rsid w:val="00C15DF7"/>
    <w:rsid w:val="00CB1727"/>
    <w:rsid w:val="00CB42AD"/>
    <w:rsid w:val="00CE116A"/>
    <w:rsid w:val="00CE5457"/>
    <w:rsid w:val="00CF70AB"/>
    <w:rsid w:val="00D32056"/>
    <w:rsid w:val="00D42A67"/>
    <w:rsid w:val="00F264AA"/>
    <w:rsid w:val="00F414B8"/>
    <w:rsid w:val="00FF0107"/>
    <w:rsid w:val="00FF2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A10136"/>
  <w15:chartTrackingRefBased/>
  <w15:docId w15:val="{3C2C7FF1-BB81-4FC7-93EC-450258ED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40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CF70A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F2C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F2CA1"/>
  </w:style>
  <w:style w:type="paragraph" w:styleId="Pieddepage">
    <w:name w:val="footer"/>
    <w:basedOn w:val="Normal"/>
    <w:link w:val="PieddepageCar"/>
    <w:uiPriority w:val="99"/>
    <w:unhideWhenUsed/>
    <w:rsid w:val="00FF2C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F2CA1"/>
  </w:style>
  <w:style w:type="character" w:styleId="Textedelespacerserv">
    <w:name w:val="Placeholder Text"/>
    <w:basedOn w:val="Policepardfaut"/>
    <w:uiPriority w:val="99"/>
    <w:semiHidden/>
    <w:rsid w:val="002368E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74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F08BC8829F314590D703EC1C666923" ma:contentTypeVersion="9" ma:contentTypeDescription="Create a new document." ma:contentTypeScope="" ma:versionID="15289593ee7c3e634593547d52851675">
  <xsd:schema xmlns:xsd="http://www.w3.org/2001/XMLSchema" xmlns:xs="http://www.w3.org/2001/XMLSchema" xmlns:p="http://schemas.microsoft.com/office/2006/metadata/properties" xmlns:ns3="df2096ab-7d57-4ad3-817e-19c322fe2331" xmlns:ns4="a6eaa20e-8785-4f6a-ad54-680d61602c43" targetNamespace="http://schemas.microsoft.com/office/2006/metadata/properties" ma:root="true" ma:fieldsID="a947f488d0e41918df71ff9b88f20d93" ns3:_="" ns4:_="">
    <xsd:import namespace="df2096ab-7d57-4ad3-817e-19c322fe2331"/>
    <xsd:import namespace="a6eaa20e-8785-4f6a-ad54-680d61602c4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2096ab-7d57-4ad3-817e-19c322fe23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aa20e-8785-4f6a-ad54-680d61602c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907B79E-548E-4EA3-A41C-14D39A91AC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2096ab-7d57-4ad3-817e-19c322fe2331"/>
    <ds:schemaRef ds:uri="a6eaa20e-8785-4f6a-ad54-680d61602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C70A12-BF15-435C-A259-9FC3E455F6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AE0FC0-E138-4798-8282-735A5CF33A9B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df2096ab-7d57-4ad3-817e-19c322fe2331"/>
    <ds:schemaRef ds:uri="a6eaa20e-8785-4f6a-ad54-680d61602c43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1347</Words>
  <Characters>7411</Characters>
  <Application>Microsoft Office Word</Application>
  <DocSecurity>4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FAQ- PCI DSS</vt:lpstr>
    </vt:vector>
  </TitlesOfParts>
  <Company>BPCEIT</Company>
  <LinksUpToDate>false</LinksUpToDate>
  <CharactersWithSpaces>8741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FAQ- PCI DSS</dc:title>
  <dc:subject/>
  <dc:creator>BOX Estelle [CEGEE]</dc:creator>
  <cp:keywords/>
  <dc:description/>
  <cp:lastModifiedBy>ZINCK Yves [CEGEE]</cp:lastModifiedBy>
  <cp:revision>2</cp:revision>
  <dcterms:created xsi:type="dcterms:W3CDTF">2020-08-21T15:51:00Z</dcterms:created>
  <dcterms:modified xsi:type="dcterms:W3CDTF">2020-08-21T15:51:00Z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estelle.box@cegee.caisse-epargne.fr</vt:lpwstr>
  </property>
  <property fmtid="{D5CDD505-2E9C-101B-9397-08002B2CF9AE}" pid="5" name="MSIP_Label_48a19f0c-bea1-442e-a475-ed109d9ec508_SetDate">
    <vt:lpwstr>2020-08-07T07:19:58.4063339Z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0x0101007CF08BC8829F314590D703EC1C666923</vt:lpwstr>
  </property>
</Properties>
</file>