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docProps/custom.xml" ContentType="application/vnd.openxmlformats-officedocument.custom-properties+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E651A92" w14:textId="3A14AB1E" w:rsidR="007742EE" w:rsidRDefault="00490E58">
      <w:pPr>
        <w:spacing w:after="149" w:line="259" w:lineRule="auto"/>
        <w:ind w:left="-19" w:right="-27" w:firstLine="0"/>
        <w:jc w:val="left"/>
      </w:pPr>
      <w:r>
        <w:rPr>
          <w:rFonts w:ascii="Calibri" w:eastAsia="Calibri" w:hAnsi="Calibri" w:cs="Calibri"/>
          <w:noProof/>
          <w:sz w:val="22"/>
        </w:rPr>
        <w:drawing>
          <wp:anchor distT="0" distB="0" distL="114300" distR="114300" simplePos="0" relativeHeight="251667456" behindDoc="0" locked="0" layoutInCell="1" allowOverlap="1" wp14:anchorId="45F57890" wp14:editId="49F649EE">
            <wp:simplePos x="0" y="0"/>
            <wp:positionH relativeFrom="margin">
              <wp:align>right</wp:align>
            </wp:positionH>
            <wp:positionV relativeFrom="paragraph">
              <wp:posOffset>-145778</wp:posOffset>
            </wp:positionV>
            <wp:extent cx="2221759" cy="814510"/>
            <wp:effectExtent l="0" t="0" r="7620" b="5080"/>
            <wp:wrapNone/>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BPCE Life-couleur-RVB.jpg"/>
                    <pic:cNvPicPr/>
                  </pic:nvPicPr>
                  <pic:blipFill rotWithShape="1">
                    <a:blip r:embed="rId8">
                      <a:extLst>
                        <a:ext uri="{28A0092B-C50C-407E-A947-70E740481C1C}">
                          <a14:useLocalDpi xmlns:a14="http://schemas.microsoft.com/office/drawing/2010/main" val="0"/>
                        </a:ext>
                      </a:extLst>
                    </a:blip>
                    <a:srcRect l="1857" t="-1795" r="-2385" b="4935"/>
                    <a:stretch/>
                  </pic:blipFill>
                  <pic:spPr bwMode="auto">
                    <a:xfrm>
                      <a:off x="0" y="0"/>
                      <a:ext cx="2221759" cy="814510"/>
                    </a:xfrm>
                    <a:prstGeom prst="rect">
                      <a:avLst/>
                    </a:prstGeom>
                    <a:ln>
                      <a:noFill/>
                    </a:ln>
                    <a:extLst>
                      <a:ext uri="{53640926-AAD7-44D8-BBD7-CCE9431645EC}">
                        <a14:shadowObscured xmlns:a14="http://schemas.microsoft.com/office/drawing/2010/main"/>
                      </a:ext>
                    </a:extLst>
                  </pic:spPr>
                </pic:pic>
              </a:graphicData>
            </a:graphic>
          </wp:anchor>
        </w:drawing>
      </w:r>
      <w:r>
        <w:rPr>
          <w:rFonts w:ascii="Calibri" w:eastAsia="Calibri" w:hAnsi="Calibri" w:cs="Calibri"/>
          <w:noProof/>
          <w:sz w:val="22"/>
        </w:rPr>
        <mc:AlternateContent>
          <mc:Choice Requires="wpg">
            <w:drawing>
              <wp:inline distT="0" distB="0" distL="0" distR="0" wp14:anchorId="28E4A9D3" wp14:editId="4B8F9EA3">
                <wp:extent cx="6866890" cy="711835"/>
                <wp:effectExtent l="0" t="0" r="0" b="0"/>
                <wp:docPr id="9793" name="Group 9793"/>
                <wp:cNvGraphicFramePr/>
                <a:graphic xmlns:a="http://schemas.openxmlformats.org/drawingml/2006/main">
                  <a:graphicData uri="http://schemas.microsoft.com/office/word/2010/wordprocessingGroup">
                    <wpg:wgp>
                      <wpg:cNvGrpSpPr/>
                      <wpg:grpSpPr>
                        <a:xfrm>
                          <a:off x="0" y="0"/>
                          <a:ext cx="6866890" cy="711835"/>
                          <a:chOff x="0" y="152705"/>
                          <a:chExt cx="6895846" cy="715411"/>
                        </a:xfrm>
                      </wpg:grpSpPr>
                      <wps:wsp>
                        <wps:cNvPr id="12" name="Shape 12"/>
                        <wps:cNvSpPr/>
                        <wps:spPr>
                          <a:xfrm>
                            <a:off x="6032373" y="152705"/>
                            <a:ext cx="0" cy="127"/>
                          </a:xfrm>
                          <a:custGeom>
                            <a:avLst/>
                            <a:gdLst/>
                            <a:ahLst/>
                            <a:cxnLst/>
                            <a:rect l="0" t="0" r="0" b="0"/>
                            <a:pathLst>
                              <a:path h="127">
                                <a:moveTo>
                                  <a:pt x="0" y="127"/>
                                </a:moveTo>
                                <a:lnTo>
                                  <a:pt x="0" y="0"/>
                                </a:lnTo>
                                <a:close/>
                              </a:path>
                            </a:pathLst>
                          </a:custGeom>
                          <a:solidFill>
                            <a:srgbClr val="231F20"/>
                          </a:solidFill>
                          <a:ln w="0" cap="flat">
                            <a:noFill/>
                            <a:miter lim="127000"/>
                          </a:ln>
                          <a:effectLst/>
                        </wps:spPr>
                        <wps:bodyPr/>
                      </wps:wsp>
                      <wps:wsp>
                        <wps:cNvPr id="41" name="Rectangle 41"/>
                        <wps:cNvSpPr/>
                        <wps:spPr>
                          <a:xfrm>
                            <a:off x="18288" y="156056"/>
                            <a:ext cx="4247624" cy="264422"/>
                          </a:xfrm>
                          <a:prstGeom prst="rect">
                            <a:avLst/>
                          </a:prstGeom>
                          <a:ln>
                            <a:noFill/>
                          </a:ln>
                        </wps:spPr>
                        <wps:txbx>
                          <w:txbxContent>
                            <w:p w14:paraId="6CAB5A51" w14:textId="77777777" w:rsidR="00490E58" w:rsidRDefault="00490E58" w:rsidP="00490E58">
                              <w:pPr>
                                <w:spacing w:after="160" w:line="259" w:lineRule="auto"/>
                                <w:ind w:left="0" w:firstLine="0"/>
                                <w:jc w:val="left"/>
                              </w:pPr>
                              <w:r>
                                <w:rPr>
                                  <w:b/>
                                  <w:sz w:val="28"/>
                                </w:rPr>
                                <w:t>Document d'Informations Spécifiques</w:t>
                              </w:r>
                            </w:p>
                          </w:txbxContent>
                        </wps:txbx>
                        <wps:bodyPr horzOverflow="overflow" vert="horz" lIns="0" tIns="0" rIns="0" bIns="0" rtlCol="0">
                          <a:noAutofit/>
                        </wps:bodyPr>
                      </wps:wsp>
                      <wps:wsp>
                        <wps:cNvPr id="42" name="Rectangle 42"/>
                        <wps:cNvSpPr/>
                        <wps:spPr>
                          <a:xfrm>
                            <a:off x="3213227" y="156056"/>
                            <a:ext cx="65888" cy="264422"/>
                          </a:xfrm>
                          <a:prstGeom prst="rect">
                            <a:avLst/>
                          </a:prstGeom>
                          <a:ln>
                            <a:noFill/>
                          </a:ln>
                        </wps:spPr>
                        <wps:txbx>
                          <w:txbxContent>
                            <w:p w14:paraId="04B4B916" w14:textId="77777777" w:rsidR="00490E58" w:rsidRDefault="00490E58" w:rsidP="00490E58">
                              <w:pPr>
                                <w:spacing w:after="160" w:line="259" w:lineRule="auto"/>
                                <w:ind w:left="0" w:firstLine="0"/>
                                <w:jc w:val="left"/>
                              </w:pPr>
                              <w:r>
                                <w:rPr>
                                  <w:b/>
                                  <w:sz w:val="28"/>
                                </w:rPr>
                                <w:t xml:space="preserve"> </w:t>
                              </w:r>
                            </w:p>
                          </w:txbxContent>
                        </wps:txbx>
                        <wps:bodyPr horzOverflow="overflow" vert="horz" lIns="0" tIns="0" rIns="0" bIns="0" rtlCol="0">
                          <a:noAutofit/>
                        </wps:bodyPr>
                      </wps:wsp>
                      <wps:wsp>
                        <wps:cNvPr id="43" name="Rectangle 43"/>
                        <wps:cNvSpPr/>
                        <wps:spPr>
                          <a:xfrm>
                            <a:off x="3261995" y="156056"/>
                            <a:ext cx="65888" cy="264422"/>
                          </a:xfrm>
                          <a:prstGeom prst="rect">
                            <a:avLst/>
                          </a:prstGeom>
                          <a:ln>
                            <a:noFill/>
                          </a:ln>
                        </wps:spPr>
                        <wps:txbx>
                          <w:txbxContent>
                            <w:p w14:paraId="242D2496" w14:textId="77777777" w:rsidR="00490E58" w:rsidRDefault="00490E58" w:rsidP="00490E58">
                              <w:pPr>
                                <w:spacing w:after="160" w:line="259" w:lineRule="auto"/>
                                <w:ind w:left="0" w:firstLine="0"/>
                                <w:jc w:val="left"/>
                              </w:pPr>
                              <w:r>
                                <w:rPr>
                                  <w:b/>
                                  <w:sz w:val="28"/>
                                </w:rPr>
                                <w:t xml:space="preserve"> </w:t>
                              </w:r>
                            </w:p>
                          </w:txbxContent>
                        </wps:txbx>
                        <wps:bodyPr horzOverflow="overflow" vert="horz" lIns="0" tIns="0" rIns="0" bIns="0" rtlCol="0">
                          <a:noAutofit/>
                        </wps:bodyPr>
                      </wps:wsp>
                      <wps:wsp>
                        <wps:cNvPr id="44" name="Rectangle 44"/>
                        <wps:cNvSpPr/>
                        <wps:spPr>
                          <a:xfrm>
                            <a:off x="12192" y="479143"/>
                            <a:ext cx="65888" cy="264422"/>
                          </a:xfrm>
                          <a:prstGeom prst="rect">
                            <a:avLst/>
                          </a:prstGeom>
                          <a:ln>
                            <a:noFill/>
                          </a:ln>
                        </wps:spPr>
                        <wps:txbx>
                          <w:txbxContent>
                            <w:p w14:paraId="72E14CAE" w14:textId="77777777" w:rsidR="00490E58" w:rsidRDefault="00490E58" w:rsidP="00490E58">
                              <w:pPr>
                                <w:spacing w:after="160" w:line="259" w:lineRule="auto"/>
                                <w:ind w:left="0" w:firstLine="0"/>
                                <w:jc w:val="left"/>
                              </w:pPr>
                              <w:r>
                                <w:rPr>
                                  <w:b/>
                                  <w:sz w:val="28"/>
                                </w:rPr>
                                <w:t xml:space="preserve"> </w:t>
                              </w:r>
                            </w:p>
                          </w:txbxContent>
                        </wps:txbx>
                        <wps:bodyPr horzOverflow="overflow" vert="horz" lIns="0" tIns="0" rIns="0" bIns="0" rtlCol="0">
                          <a:noAutofit/>
                        </wps:bodyPr>
                      </wps:wsp>
                      <wps:wsp>
                        <wps:cNvPr id="45" name="Rectangle 45"/>
                        <wps:cNvSpPr/>
                        <wps:spPr>
                          <a:xfrm>
                            <a:off x="18288" y="698614"/>
                            <a:ext cx="566575" cy="169502"/>
                          </a:xfrm>
                          <a:prstGeom prst="rect">
                            <a:avLst/>
                          </a:prstGeom>
                          <a:ln>
                            <a:noFill/>
                          </a:ln>
                        </wps:spPr>
                        <wps:txbx>
                          <w:txbxContent>
                            <w:p w14:paraId="4847A646" w14:textId="77777777" w:rsidR="00490E58" w:rsidRDefault="00490E58" w:rsidP="00490E58">
                              <w:pPr>
                                <w:spacing w:after="160" w:line="259" w:lineRule="auto"/>
                                <w:ind w:left="0" w:firstLine="0"/>
                                <w:jc w:val="left"/>
                              </w:pPr>
                              <w:r>
                                <w:rPr>
                                  <w:b/>
                                  <w:sz w:val="18"/>
                                </w:rPr>
                                <w:t>Objectif</w:t>
                              </w:r>
                            </w:p>
                          </w:txbxContent>
                        </wps:txbx>
                        <wps:bodyPr horzOverflow="overflow" vert="horz" lIns="0" tIns="0" rIns="0" bIns="0" rtlCol="0">
                          <a:noAutofit/>
                        </wps:bodyPr>
                      </wps:wsp>
                      <wps:wsp>
                        <wps:cNvPr id="46" name="Rectangle 46"/>
                        <wps:cNvSpPr/>
                        <wps:spPr>
                          <a:xfrm>
                            <a:off x="443789" y="698614"/>
                            <a:ext cx="42236" cy="169502"/>
                          </a:xfrm>
                          <a:prstGeom prst="rect">
                            <a:avLst/>
                          </a:prstGeom>
                          <a:ln>
                            <a:noFill/>
                          </a:ln>
                        </wps:spPr>
                        <wps:txbx>
                          <w:txbxContent>
                            <w:p w14:paraId="7FC29707" w14:textId="77777777" w:rsidR="00490E58" w:rsidRDefault="00490E58" w:rsidP="00490E58">
                              <w:pPr>
                                <w:spacing w:after="160" w:line="259" w:lineRule="auto"/>
                                <w:ind w:left="0" w:firstLine="0"/>
                                <w:jc w:val="left"/>
                              </w:pPr>
                              <w:r>
                                <w:rPr>
                                  <w:b/>
                                  <w:sz w:val="18"/>
                                </w:rPr>
                                <w:t xml:space="preserve"> </w:t>
                              </w:r>
                            </w:p>
                          </w:txbxContent>
                        </wps:txbx>
                        <wps:bodyPr horzOverflow="overflow" vert="horz" lIns="0" tIns="0" rIns="0" bIns="0" rtlCol="0">
                          <a:noAutofit/>
                        </wps:bodyPr>
                      </wps:wsp>
                      <wps:wsp>
                        <wps:cNvPr id="10342" name="Shape 10342"/>
                        <wps:cNvSpPr/>
                        <wps:spPr>
                          <a:xfrm>
                            <a:off x="0" y="852602"/>
                            <a:ext cx="6895846" cy="9144"/>
                          </a:xfrm>
                          <a:custGeom>
                            <a:avLst/>
                            <a:gdLst/>
                            <a:ahLst/>
                            <a:cxnLst/>
                            <a:rect l="0" t="0" r="0" b="0"/>
                            <a:pathLst>
                              <a:path w="6895846" h="9144">
                                <a:moveTo>
                                  <a:pt x="0" y="0"/>
                                </a:moveTo>
                                <a:lnTo>
                                  <a:pt x="6895846" y="0"/>
                                </a:lnTo>
                                <a:lnTo>
                                  <a:pt x="6895846" y="9144"/>
                                </a:lnTo>
                                <a:lnTo>
                                  <a:pt x="0" y="9144"/>
                                </a:lnTo>
                                <a:lnTo>
                                  <a:pt x="0" y="0"/>
                                </a:lnTo>
                              </a:path>
                            </a:pathLst>
                          </a:custGeom>
                          <a:solidFill>
                            <a:srgbClr val="000000"/>
                          </a:solidFill>
                          <a:ln w="0" cap="flat">
                            <a:noFill/>
                            <a:miter lim="127000"/>
                          </a:ln>
                          <a:effectLst/>
                        </wps:spPr>
                        <wps:bodyPr/>
                      </wps:wsp>
                    </wpg:wgp>
                  </a:graphicData>
                </a:graphic>
              </wp:inline>
            </w:drawing>
          </mc:Choice>
          <mc:Fallback>
            <w:pict>
              <v:group w14:anchorId="28E4A9D3" id="Group 9793" o:spid="_x0000_s1026" style="width:540.7pt;height:56.05pt;mso-position-horizontal-relative:char;mso-position-vertical-relative:line" coordorigin=",1527" coordsize="68958,71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">
                <v:shape id="Shape 12" o:spid="_x0000_s1027" style="position:absolute;left:60323;top:1527;width:0;height:1;visibility:visible;mso-wrap-style:square;v-text-anchor:top" coordsize="0,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" path="m,127l,,,127xe" fillcolor="#231f20" stroked="f" strokeweight="0">
                  <v:stroke miterlimit="83231f" joinstyle="miter"/>
                  <v:path arrowok="t" textboxrect="0,0,0,127"/>
                </v:shape>
                <v:rect id="Rectangle 41" o:spid="_x0000_s1028" style="position:absolute;left:182;top:1560;width:42477;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" filled="f" stroked="f">
                  <v:textbox inset="0,0,0,0">
                    <w:txbxContent>
                      <w:p w14:paraId="6CAB5A51" w14:textId="77777777" w:rsidR="00490E58" w:rsidRDefault="00490E58" w:rsidP="00490E58">
                        <w:pPr>
                          <w:spacing w:after="160" w:line="259" w:lineRule="auto"/>
                          <w:ind w:left="0" w:firstLine="0"/>
                          <w:jc w:val="left"/>
                        </w:pPr>
                        <w:r>
                          <w:rPr>
                            <w:b/>
                            <w:sz w:val="28"/>
                          </w:rPr>
                          <w:t>Document d'Informations Spécifiques</w:t>
                        </w:r>
                      </w:p>
                    </w:txbxContent>
                  </v:textbox>
                </v:rect>
                <v:rect id="Rectangle 42" o:spid="_x0000_s1029" style="position:absolute;left:32132;top:1560;width:659;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" filled="f" stroked="f">
                  <v:textbox inset="0,0,0,0">
                    <w:txbxContent>
                      <w:p w14:paraId="04B4B916" w14:textId="77777777" w:rsidR="00490E58" w:rsidRDefault="00490E58" w:rsidP="00490E58">
                        <w:pPr>
                          <w:spacing w:after="160" w:line="259" w:lineRule="auto"/>
                          <w:ind w:left="0" w:firstLine="0"/>
                          <w:jc w:val="left"/>
                        </w:pPr>
                        <w:r>
                          <w:rPr>
                            <w:b/>
                            <w:sz w:val="28"/>
                          </w:rPr>
                          <w:t xml:space="preserve"> </w:t>
                        </w:r>
                      </w:p>
                    </w:txbxContent>
                  </v:textbox>
                </v:rect>
                <v:rect id="Rectangle 43" o:spid="_x0000_s1030" style="position:absolute;left:32619;top:1560;width:659;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" filled="f" stroked="f">
                  <v:textbox inset="0,0,0,0">
                    <w:txbxContent>
                      <w:p w14:paraId="242D2496" w14:textId="77777777" w:rsidR="00490E58" w:rsidRDefault="00490E58" w:rsidP="00490E58">
                        <w:pPr>
                          <w:spacing w:after="160" w:line="259" w:lineRule="auto"/>
                          <w:ind w:left="0" w:firstLine="0"/>
                          <w:jc w:val="left"/>
                        </w:pPr>
                        <w:r>
                          <w:rPr>
                            <w:b/>
                            <w:sz w:val="28"/>
                          </w:rPr>
                          <w:t xml:space="preserve"> </w:t>
                        </w:r>
                      </w:p>
                    </w:txbxContent>
                  </v:textbox>
                </v:rect>
                <v:rect id="Rectangle 44" o:spid="_x0000_s1031" style="position:absolute;left:121;top:4791;width:659;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" filled="f" stroked="f">
                  <v:textbox inset="0,0,0,0">
                    <w:txbxContent>
                      <w:p w14:paraId="72E14CAE" w14:textId="77777777" w:rsidR="00490E58" w:rsidRDefault="00490E58" w:rsidP="00490E58">
                        <w:pPr>
                          <w:spacing w:after="160" w:line="259" w:lineRule="auto"/>
                          <w:ind w:left="0" w:firstLine="0"/>
                          <w:jc w:val="left"/>
                        </w:pPr>
                        <w:r>
                          <w:rPr>
                            <w:b/>
                            <w:sz w:val="28"/>
                          </w:rPr>
                          <w:t xml:space="preserve"> </w:t>
                        </w:r>
                      </w:p>
                    </w:txbxContent>
                  </v:textbox>
                </v:rect>
                <v:rect id="Rectangle 45" o:spid="_x0000_s1032" style="position:absolute;left:182;top:6986;width:5666;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" filled="f" stroked="f">
                  <v:textbox inset="0,0,0,0">
                    <w:txbxContent>
                      <w:p w14:paraId="4847A646" w14:textId="77777777" w:rsidR="00490E58" w:rsidRDefault="00490E58" w:rsidP="00490E58">
                        <w:pPr>
                          <w:spacing w:after="160" w:line="259" w:lineRule="auto"/>
                          <w:ind w:left="0" w:firstLine="0"/>
                          <w:jc w:val="left"/>
                        </w:pPr>
                        <w:r>
                          <w:rPr>
                            <w:b/>
                            <w:sz w:val="18"/>
                          </w:rPr>
                          <w:t>Objectif</w:t>
                        </w:r>
                      </w:p>
                    </w:txbxContent>
                  </v:textbox>
                </v:rect>
                <v:rect id="Rectangle 46" o:spid="_x0000_s1033" style="position:absolute;left:4437;top:6986;width:423;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" filled="f" stroked="f">
                  <v:textbox inset="0,0,0,0">
                    <w:txbxContent>
                      <w:p w14:paraId="7FC29707" w14:textId="77777777" w:rsidR="00490E58" w:rsidRDefault="00490E58" w:rsidP="00490E58">
                        <w:pPr>
                          <w:spacing w:after="160" w:line="259" w:lineRule="auto"/>
                          <w:ind w:left="0" w:firstLine="0"/>
                          <w:jc w:val="left"/>
                        </w:pPr>
                        <w:r>
                          <w:rPr>
                            <w:b/>
                            <w:sz w:val="18"/>
                          </w:rPr>
                          <w:t xml:space="preserve"> </w:t>
                        </w:r>
                      </w:p>
                    </w:txbxContent>
                  </v:textbox>
                </v:rect>
                <v:shape id="Shape 10342" o:spid="_x0000_s1034" style="position:absolute;top:8526;width:68958;height:91;visibility:visible;mso-wrap-style:square;v-text-anchor:top" coordsize="689584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" path="m,l6895846,r,9144l,9144,,e" fillcolor="black" stroked="f" strokeweight="0">
                  <v:stroke miterlimit="83231f" joinstyle="miter"/>
                  <v:path arrowok="t" textboxrect="0,0,6895846,9144"/>
                </v:shape>
                <w10:anchorlock/>
              </v:group>
            </w:pict>
          </mc:Fallback>
        </mc:AlternateContent>
      </w:r>
    </w:p>
    <w:p w14:paraId="77B90F5A" w14:textId="77777777" w:rsidR="007742EE" w:rsidRPr="00086553" w:rsidRDefault="004F09E1" w:rsidP="00086553">
      <w:pPr>
        <w:spacing w:after="69"/>
        <w:ind w:left="5" w:right="11" w:hanging="11"/>
      </w:pPr>
      <w:r w:rsidRPr="00086553">
        <w:t>Le présent document contient des informations essentielles sur l'option d'investissement. Il ne s’agit pas d’un document à caractère commercial. Ces informations vous sont fournies conformément à une obligation légale, afin de vous aider à comprendre en quoi consiste cette option d’investissement et quels risques, coûts, gains et pertes potentiels y sont associés et de vous aider à le comparer à d’autres options d'investissement.</w:t>
      </w:r>
      <w:r w:rsidRPr="00086553">
        <w:rPr>
          <w:rFonts w:ascii="Calibri" w:eastAsia="Calibri" w:hAnsi="Calibri" w:cs="Calibri"/>
          <w:sz w:val="22"/>
        </w:rPr>
        <w:t xml:space="preserve"> </w:t>
      </w:r>
    </w:p>
    <w:p w14:paraId="118EF85E" w14:textId="5802C20C" w:rsidR="007742EE" w:rsidRDefault="004F09E1">
      <w:pPr>
        <w:spacing w:after="0" w:line="259" w:lineRule="auto"/>
        <w:ind w:left="5"/>
        <w:jc w:val="left"/>
        <w:rPr>
          <w:rFonts w:ascii="Calibri" w:eastAsia="Calibri" w:hAnsi="Calibri" w:cs="Calibri"/>
          <w:sz w:val="22"/>
        </w:rPr>
      </w:pPr>
      <w:r>
        <w:rPr>
          <w:b/>
          <w:sz w:val="18"/>
        </w:rPr>
        <w:t xml:space="preserve">Option d'investissement </w:t>
      </w:r>
      <w:r>
        <w:rPr>
          <w:rFonts w:ascii="Calibri" w:eastAsia="Calibri" w:hAnsi="Calibri" w:cs="Calibri"/>
          <w:sz w:val="22"/>
        </w:rPr>
        <w:t xml:space="preserve"> </w:t>
      </w:r>
    </w:p>
    <w:p w14:paraId="7CDB1EB2" w14:textId="77777777" w:rsidR="006E7CCB" w:rsidRDefault="006E7CCB">
      <w:pPr>
        <w:spacing w:after="0" w:line="259" w:lineRule="auto"/>
        <w:ind w:left="5"/>
        <w:jc w:val="left"/>
      </w:pPr>
    </w:p>
    <w:tbl>
      <w:tblPr>
        <w:tblStyle w:val="TableGrid"/>
        <w:tblW w:w="5000" w:type="pct"/>
        <w:tblInd w:w="0" w:type="dxa"/>
        <w:tblBorders>
          <w:bottom w:val="single" w:sz="4" w:space="0" w:color="auto"/>
        </w:tblBorders>
        <w:shd w:val="clear" w:color="auto" w:fill="FF3300"/>
        <w:tblCellMar>
          <w:top w:w="39" w:type="dxa"/>
          <w:right w:w="115" w:type="dxa"/>
        </w:tblCellMar>
        <w:tblLook w:val="04A0" w:firstRow="1" w:lastRow="0" w:firstColumn="1" w:lastColumn="0" w:noHBand="0" w:noVBand="1"/>
      </w:tblPr>
      <w:tblGrid>
        <w:gridCol w:w="2078"/>
        <w:gridCol w:w="4581"/>
        <w:gridCol w:w="1845"/>
        <w:gridCol w:w="2310"/>
      </w:tblGrid>
      <w:tr w:rsidR="007742EE" w:rsidRPr="00570908" w14:paraId="445A2729" w14:textId="77777777" w:rsidTr="008653C0">
        <w:trPr>
          <w:trHeight w:val="433"/>
        </w:trPr>
        <w:tc>
          <w:tcPr>
            <w:tcW w:w="961" w:type="pct"/>
            <w:shd w:val="clear" w:color="auto" w:fill="FF3300"/>
          </w:tcPr>
          <w:p w14:paraId="34DAED9D" w14:textId="77777777" w:rsidR="007742EE" w:rsidRPr="00570908" w:rsidRDefault="004F09E1">
            <w:pPr>
              <w:spacing w:after="0" w:line="259" w:lineRule="auto"/>
              <w:ind w:left="108" w:firstLine="0"/>
              <w:jc w:val="left"/>
            </w:pPr>
            <w:r w:rsidRPr="00570908">
              <w:rPr>
                <w:b/>
                <w:color w:val="FFFFFF"/>
              </w:rPr>
              <w:t xml:space="preserve">Nom de l'option  d'investissement  </w:t>
            </w:r>
          </w:p>
        </w:tc>
        <w:tc>
          <w:tcPr>
            <w:tcW w:w="2118" w:type="pct"/>
            <w:shd w:val="clear" w:color="auto" w:fill="FF3300"/>
          </w:tcPr>
          <w:p w14:paraId="3365485D" w14:textId="361B2626" w:rsidR="00CF68CF" w:rsidRPr="00250DB0" w:rsidRDefault="004F09E1" w:rsidP="001C207D">
            <w:pPr>
              <w:spacing w:after="24" w:line="259" w:lineRule="auto"/>
              <w:ind w:left="118" w:firstLine="0"/>
              <w:jc w:val="left"/>
              <w:rPr>
                <w:b/>
                <w:color w:val="FFFFFF"/>
              </w:rPr>
            </w:pPr>
            <w:r w:rsidRPr="00250DB0">
              <w:rPr>
                <w:b/>
                <w:color w:val="FFFFFF"/>
              </w:rPr>
              <w:t xml:space="preserve"> Fonds d’assurance spécialisé</w:t>
            </w:r>
            <w:r w:rsidR="005A4BBD">
              <w:rPr>
                <w:b/>
                <w:color w:val="FFFFFF"/>
              </w:rPr>
              <w:t xml:space="preserve"> </w:t>
            </w:r>
          </w:p>
          <w:p w14:paraId="50A50201" w14:textId="75BE83DF" w:rsidR="007742EE" w:rsidRPr="00250DB0" w:rsidRDefault="00CF68CF" w:rsidP="001C207D">
            <w:pPr>
              <w:spacing w:after="24" w:line="259" w:lineRule="auto"/>
              <w:ind w:left="118" w:firstLine="0"/>
              <w:jc w:val="left"/>
              <w:rPr>
                <w:b/>
              </w:rPr>
            </w:pPr>
            <w:r w:rsidRPr="00250DB0">
              <w:rPr>
                <w:b/>
                <w:color w:val="FFFFFF"/>
              </w:rPr>
              <w:t xml:space="preserve"> </w:t>
            </w:r>
            <w:r w:rsidR="001C0D5D">
              <w:rPr>
                <w:b/>
                <w:color w:val="FFFFFF"/>
              </w:rPr>
              <w:t>DAT IN LIFE CEGEE STANDARD 5 ANS</w:t>
            </w:r>
            <w:r w:rsidR="003D5013">
              <w:rPr>
                <w:b/>
                <w:color w:val="FFFFFF" w:themeColor="background1"/>
              </w:rPr>
              <w:t xml:space="preserve"> </w:t>
            </w:r>
          </w:p>
        </w:tc>
        <w:tc>
          <w:tcPr>
            <w:tcW w:w="853" w:type="pct"/>
            <w:shd w:val="clear" w:color="auto" w:fill="FF3300"/>
          </w:tcPr>
          <w:p w14:paraId="654AC42A" w14:textId="77777777" w:rsidR="007742EE" w:rsidRPr="00250DB0" w:rsidRDefault="004F09E1">
            <w:pPr>
              <w:spacing w:after="0" w:line="259" w:lineRule="auto"/>
              <w:ind w:left="0" w:firstLine="0"/>
              <w:jc w:val="left"/>
              <w:rPr>
                <w:b/>
              </w:rPr>
            </w:pPr>
            <w:r w:rsidRPr="00250DB0">
              <w:rPr>
                <w:b/>
                <w:color w:val="FFFFFF"/>
              </w:rPr>
              <w:t xml:space="preserve">Nom du gestionnaire   </w:t>
            </w:r>
          </w:p>
        </w:tc>
        <w:tc>
          <w:tcPr>
            <w:tcW w:w="1068" w:type="pct"/>
            <w:shd w:val="clear" w:color="auto" w:fill="FF3300"/>
          </w:tcPr>
          <w:p w14:paraId="00547D5E" w14:textId="15323AE2" w:rsidR="00570908" w:rsidRPr="00250DB0" w:rsidRDefault="004F09E1">
            <w:pPr>
              <w:spacing w:after="0" w:line="259" w:lineRule="auto"/>
              <w:ind w:left="0" w:firstLine="0"/>
              <w:jc w:val="left"/>
              <w:rPr>
                <w:b/>
              </w:rPr>
            </w:pPr>
            <w:r w:rsidRPr="00250DB0">
              <w:rPr>
                <w:b/>
                <w:color w:val="FFFFFF"/>
              </w:rPr>
              <w:t xml:space="preserve">Sans gestionnaire financier </w:t>
            </w:r>
          </w:p>
          <w:p w14:paraId="43099EB5" w14:textId="77777777" w:rsidR="007742EE" w:rsidRPr="00250DB0" w:rsidRDefault="007742EE" w:rsidP="00570908">
            <w:pPr>
              <w:rPr>
                <w:b/>
                <w:color w:val="FF0000"/>
              </w:rPr>
            </w:pPr>
          </w:p>
        </w:tc>
      </w:tr>
      <w:tr w:rsidR="007742EE" w14:paraId="1EE87D61" w14:textId="77777777" w:rsidTr="008653C0">
        <w:trPr>
          <w:trHeight w:val="250"/>
        </w:trPr>
        <w:tc>
          <w:tcPr>
            <w:tcW w:w="961" w:type="pct"/>
            <w:shd w:val="clear" w:color="auto" w:fill="FF3300"/>
          </w:tcPr>
          <w:p w14:paraId="519D2996" w14:textId="77777777" w:rsidR="007742EE" w:rsidRPr="00570908" w:rsidRDefault="004F09E1">
            <w:pPr>
              <w:spacing w:after="0" w:line="259" w:lineRule="auto"/>
              <w:ind w:left="108" w:firstLine="0"/>
              <w:jc w:val="left"/>
            </w:pPr>
            <w:r w:rsidRPr="00570908">
              <w:rPr>
                <w:b/>
                <w:color w:val="FFFFFF"/>
              </w:rPr>
              <w:t xml:space="preserve">Site web  </w:t>
            </w:r>
          </w:p>
        </w:tc>
        <w:tc>
          <w:tcPr>
            <w:tcW w:w="2118" w:type="pct"/>
            <w:shd w:val="clear" w:color="auto" w:fill="FF3300"/>
          </w:tcPr>
          <w:p w14:paraId="1551319E" w14:textId="0BBA2A7A" w:rsidR="007742EE" w:rsidRPr="00250DB0" w:rsidRDefault="004F09E1">
            <w:pPr>
              <w:spacing w:after="0" w:line="259" w:lineRule="auto"/>
              <w:ind w:left="118" w:firstLine="0"/>
              <w:jc w:val="left"/>
              <w:rPr>
                <w:b/>
              </w:rPr>
            </w:pPr>
            <w:r w:rsidRPr="00250DB0">
              <w:rPr>
                <w:b/>
                <w:color w:val="FFFFFF"/>
              </w:rPr>
              <w:t>www.life.</w:t>
            </w:r>
            <w:r w:rsidR="00490E58" w:rsidRPr="00250DB0">
              <w:rPr>
                <w:b/>
                <w:color w:val="FFFFFF"/>
              </w:rPr>
              <w:t>groupebpce</w:t>
            </w:r>
            <w:r w:rsidRPr="00250DB0">
              <w:rPr>
                <w:b/>
                <w:color w:val="FFFFFF"/>
              </w:rPr>
              <w:t xml:space="preserve">.com </w:t>
            </w:r>
          </w:p>
        </w:tc>
        <w:tc>
          <w:tcPr>
            <w:tcW w:w="853" w:type="pct"/>
            <w:shd w:val="clear" w:color="auto" w:fill="FF3300"/>
          </w:tcPr>
          <w:p w14:paraId="66E930DF" w14:textId="77777777" w:rsidR="007742EE" w:rsidRPr="00250DB0" w:rsidRDefault="004F09E1">
            <w:pPr>
              <w:spacing w:after="0" w:line="259" w:lineRule="auto"/>
              <w:ind w:left="0" w:firstLine="0"/>
              <w:jc w:val="left"/>
              <w:rPr>
                <w:b/>
              </w:rPr>
            </w:pPr>
            <w:r w:rsidRPr="00250DB0">
              <w:rPr>
                <w:b/>
                <w:color w:val="FFFFFF"/>
              </w:rPr>
              <w:t xml:space="preserve">Dernière mise à jour    </w:t>
            </w:r>
          </w:p>
        </w:tc>
        <w:tc>
          <w:tcPr>
            <w:tcW w:w="1068" w:type="pct"/>
            <w:shd w:val="clear" w:color="auto" w:fill="FF3300"/>
          </w:tcPr>
          <w:p w14:paraId="1B04B6E0" w14:textId="4B7DA29B" w:rsidR="007742EE" w:rsidRPr="00250DB0" w:rsidRDefault="004F09E1" w:rsidP="00D60F9A">
            <w:pPr>
              <w:spacing w:after="0" w:line="259" w:lineRule="auto"/>
              <w:ind w:left="0" w:firstLine="0"/>
              <w:jc w:val="left"/>
              <w:rPr>
                <w:b/>
              </w:rPr>
            </w:pPr>
            <w:r w:rsidRPr="00250DB0">
              <w:rPr>
                <w:b/>
                <w:color w:val="FFFFFF"/>
              </w:rPr>
              <w:t xml:space="preserve">le </w:t>
            </w:r>
            <w:r w:rsidR="008A4714">
              <w:rPr>
                <w:b/>
                <w:color w:val="FFFFFF"/>
              </w:rPr>
              <w:t>30</w:t>
            </w:r>
            <w:r w:rsidR="00D60F9A">
              <w:rPr>
                <w:b/>
                <w:color w:val="FFFFFF"/>
              </w:rPr>
              <w:t>/03/2023</w:t>
            </w:r>
          </w:p>
        </w:tc>
      </w:tr>
    </w:tbl>
    <w:p w14:paraId="628AA1AF" w14:textId="6AD4D1B4" w:rsidR="0010023D" w:rsidRDefault="004F09E1" w:rsidP="00A45E8F">
      <w:pPr>
        <w:spacing w:after="120" w:line="259" w:lineRule="auto"/>
        <w:ind w:left="28" w:right="1383" w:hanging="11"/>
        <w:jc w:val="left"/>
        <w:rPr>
          <w:b/>
        </w:rPr>
      </w:pPr>
      <w:r>
        <w:rPr>
          <w:b/>
        </w:rPr>
        <w:t xml:space="preserve">Vous êtes sur le point d’acheter une option d’investissement qui n’est pas simple et qui peut être difficile à comprendre. </w:t>
      </w:r>
    </w:p>
    <w:p w14:paraId="211187EA" w14:textId="2F33A1D9" w:rsidR="0010023D" w:rsidRDefault="00A45E8F" w:rsidP="00A45E8F">
      <w:pPr>
        <w:spacing w:after="0" w:line="259" w:lineRule="auto"/>
        <w:ind w:left="28" w:right="1383" w:hanging="11"/>
        <w:jc w:val="left"/>
        <w:rPr>
          <w:b/>
        </w:rPr>
      </w:pPr>
      <w:bookmarkStart w:id="0" w:name="_Hlk84858521"/>
      <w:r w:rsidRPr="0010023D">
        <w:rPr>
          <w:b/>
          <w:sz w:val="18"/>
        </w:rPr>
        <w:t>En quoi consiste cette option d'investissement ?</w:t>
      </w: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327D2B91" wp14:editId="13AB4570">
                <wp:simplePos x="0" y="0"/>
                <wp:positionH relativeFrom="column">
                  <wp:posOffset>6350</wp:posOffset>
                </wp:positionH>
                <wp:positionV relativeFrom="paragraph">
                  <wp:posOffset>166370</wp:posOffset>
                </wp:positionV>
                <wp:extent cx="6866890" cy="5080"/>
                <wp:effectExtent l="0" t="0" r="0" b="0"/>
                <wp:wrapSquare wrapText="bothSides"/>
                <wp:docPr id="9794" name="Group 9794"/>
                <wp:cNvGraphicFramePr/>
                <a:graphic xmlns:a="http://schemas.openxmlformats.org/drawingml/2006/main">
                  <a:graphicData uri="http://schemas.microsoft.com/office/word/2010/wordprocessingGroup">
                    <wpg:wgp>
                      <wpg:cNvGrpSpPr/>
                      <wpg:grpSpPr>
                        <a:xfrm>
                          <a:off x="0" y="0"/>
                          <a:ext cx="6866890" cy="5080"/>
                          <a:chOff x="0" y="0"/>
                          <a:chExt cx="6895846" cy="6096"/>
                        </a:xfrm>
                      </wpg:grpSpPr>
                      <wps:wsp>
                        <wps:cNvPr id="10348" name="Shape 10348"/>
                        <wps:cNvSpPr/>
                        <wps:spPr>
                          <a:xfrm>
                            <a:off x="0" y="0"/>
                            <a:ext cx="6895846" cy="9144"/>
                          </a:xfrm>
                          <a:custGeom>
                            <a:avLst/>
                            <a:gdLst/>
                            <a:ahLst/>
                            <a:cxnLst/>
                            <a:rect l="0" t="0" r="0" b="0"/>
                            <a:pathLst>
                              <a:path w="6895846" h="9144">
                                <a:moveTo>
                                  <a:pt x="0" y="0"/>
                                </a:moveTo>
                                <a:lnTo>
                                  <a:pt x="6895846" y="0"/>
                                </a:lnTo>
                                <a:lnTo>
                                  <a:pt x="689584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777D6722" id="Group 9794" o:spid="_x0000_s1026" style="position:absolute;margin-left:.5pt;margin-top:13.1pt;width:540.7pt;height:.4pt;z-index:251658240" coordsize="6895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">
                <v:shape id="Shape 10348" o:spid="_x0000_s1027" style="position:absolute;width:68958;height:91;visibility:visible;mso-wrap-style:square;v-text-anchor:top" coordsize="689584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" path="m,l6895846,r,9144l,9144,,e" fillcolor="black" stroked="f" strokeweight="0">
                  <v:stroke miterlimit="83231f" joinstyle="miter"/>
                  <v:path arrowok="t" textboxrect="0,0,6895846,9144"/>
                </v:shape>
                <w10:wrap type="square"/>
              </v:group>
            </w:pict>
          </mc:Fallback>
        </mc:AlternateContent>
      </w:r>
    </w:p>
    <w:bookmarkEnd w:id="0"/>
    <w:p w14:paraId="2B498956" w14:textId="5A33353E" w:rsidR="007742EE" w:rsidRDefault="007742EE" w:rsidP="0010023D">
      <w:pPr>
        <w:spacing w:after="30" w:line="259" w:lineRule="auto"/>
        <w:ind w:left="26" w:right="1386"/>
        <w:jc w:val="left"/>
      </w:pPr>
    </w:p>
    <w:p w14:paraId="3F2661A3" w14:textId="77777777" w:rsidR="007742EE" w:rsidRDefault="004F09E1">
      <w:pPr>
        <w:spacing w:after="127" w:line="259" w:lineRule="auto"/>
        <w:ind w:left="26" w:right="1386"/>
        <w:jc w:val="left"/>
      </w:pPr>
      <w:r>
        <w:rPr>
          <w:b/>
        </w:rPr>
        <w:t xml:space="preserve">Investisseurs de détail visés </w:t>
      </w:r>
    </w:p>
    <w:p w14:paraId="41890818" w14:textId="1C4CE7C6" w:rsidR="0010023D" w:rsidRPr="00086553" w:rsidRDefault="004F09E1" w:rsidP="0010023D">
      <w:pPr>
        <w:spacing w:after="31" w:line="240" w:lineRule="auto"/>
        <w:ind w:left="5" w:right="249" w:hanging="11"/>
        <w:jc w:val="left"/>
      </w:pPr>
      <w:r w:rsidRPr="00086553">
        <w:t xml:space="preserve">Souscripteurs d’un contrat d’assurance-vie ou de capitalisation auprès </w:t>
      </w:r>
      <w:r w:rsidR="00490E58">
        <w:t>BPCE Life</w:t>
      </w:r>
      <w:r w:rsidRPr="00086553">
        <w:t xml:space="preserve"> déclarant une fortune en valeurs mobilière nette de dettes de toute nature de 250.000€. Le montant investi au sein du Fonds d’Assurance Spécialisé devra être supérieur à 125.000€.</w:t>
      </w:r>
    </w:p>
    <w:p w14:paraId="6DAFF195" w14:textId="77777777" w:rsidR="0010023D" w:rsidRDefault="0010023D" w:rsidP="00A45E8F">
      <w:pPr>
        <w:spacing w:after="30" w:line="259" w:lineRule="auto"/>
        <w:ind w:left="26" w:right="1386"/>
        <w:jc w:val="left"/>
      </w:pPr>
    </w:p>
    <w:p w14:paraId="3E7C894D" w14:textId="27AA1349" w:rsidR="007742EE" w:rsidRDefault="004F09E1">
      <w:pPr>
        <w:spacing w:after="31" w:line="374" w:lineRule="auto"/>
        <w:ind w:left="5" w:right="247"/>
        <w:jc w:val="left"/>
      </w:pPr>
      <w:r>
        <w:rPr>
          <w:b/>
        </w:rPr>
        <w:t xml:space="preserve">Objectifs </w:t>
      </w:r>
    </w:p>
    <w:p w14:paraId="5EA6E5F4" w14:textId="67AFBF8D" w:rsidR="00D60F9A" w:rsidRDefault="004F09E1" w:rsidP="008B27A7">
      <w:pPr>
        <w:spacing w:after="0" w:line="240" w:lineRule="auto"/>
        <w:ind w:left="5" w:right="11" w:hanging="11"/>
      </w:pPr>
      <w:r>
        <w:t>Le</w:t>
      </w:r>
      <w:r w:rsidR="008B27A7">
        <w:t xml:space="preserve"> Dépôt à terme est investi p</w:t>
      </w:r>
      <w:r w:rsidR="001C0D5D">
        <w:t>our une durée maximum de 5 an</w:t>
      </w:r>
      <w:r w:rsidR="007123EA">
        <w:t>s</w:t>
      </w:r>
      <w:r w:rsidR="008B27A7">
        <w:t>. Le</w:t>
      </w:r>
      <w:r>
        <w:t xml:space="preserve"> taux de </w:t>
      </w:r>
      <w:r w:rsidR="001F1EB2">
        <w:t>rémunération</w:t>
      </w:r>
      <w:r w:rsidR="008B27A7">
        <w:t xml:space="preserve"> </w:t>
      </w:r>
      <w:r w:rsidR="0014683D">
        <w:t xml:space="preserve">actuariel </w:t>
      </w:r>
      <w:r w:rsidR="00D60F9A">
        <w:t xml:space="preserve">annuel </w:t>
      </w:r>
      <w:r w:rsidR="0014683D">
        <w:t xml:space="preserve">brut </w:t>
      </w:r>
      <w:r w:rsidR="001F1EB2">
        <w:t xml:space="preserve">est </w:t>
      </w:r>
      <w:r w:rsidR="008B27A7">
        <w:t xml:space="preserve">fixé à </w:t>
      </w:r>
      <w:r w:rsidR="001C0D5D">
        <w:rPr>
          <w:color w:val="auto"/>
        </w:rPr>
        <w:t>3,40</w:t>
      </w:r>
      <w:r w:rsidR="00E535CE" w:rsidRPr="00D4208B">
        <w:rPr>
          <w:color w:val="auto"/>
        </w:rPr>
        <w:t>%</w:t>
      </w:r>
      <w:r w:rsidR="001C32A1" w:rsidRPr="00D4208B">
        <w:rPr>
          <w:color w:val="auto"/>
        </w:rPr>
        <w:t xml:space="preserve"> </w:t>
      </w:r>
      <w:r w:rsidR="0014683D">
        <w:t>à l’échéance</w:t>
      </w:r>
      <w:r w:rsidR="00D60F9A">
        <w:t>.</w:t>
      </w:r>
    </w:p>
    <w:p w14:paraId="1285274E" w14:textId="77777777" w:rsidR="001C0D5D" w:rsidRDefault="001C0D5D" w:rsidP="001C0D5D">
      <w:pPr>
        <w:spacing w:after="0" w:line="240" w:lineRule="auto"/>
        <w:ind w:left="5" w:right="11" w:hanging="11"/>
      </w:pPr>
      <w:r>
        <w:t>Etant précisé que des pénalités de sortie anticipée seront appliquées, telles que mentionnées ci-dessous :</w:t>
      </w:r>
    </w:p>
    <w:p w14:paraId="19418E71" w14:textId="0EDD763D" w:rsidR="001C0D5D" w:rsidRPr="00123D25" w:rsidRDefault="001C0D5D" w:rsidP="001C0D5D">
      <w:pPr>
        <w:pStyle w:val="Paragraphedeliste"/>
        <w:numPr>
          <w:ilvl w:val="0"/>
          <w:numId w:val="4"/>
        </w:numPr>
        <w:spacing w:after="0" w:line="240" w:lineRule="auto"/>
        <w:ind w:right="11"/>
        <w:rPr>
          <w:color w:val="auto"/>
        </w:rPr>
      </w:pPr>
      <w:r>
        <w:t>Si la durée de détention est strictement i</w:t>
      </w:r>
      <w:r w:rsidR="00B23234">
        <w:t>nférieure à 1 an, à hauteur de 1</w:t>
      </w:r>
      <w:r>
        <w:t xml:space="preserve">5% </w:t>
      </w:r>
      <w:r w:rsidRPr="00123D25">
        <w:rPr>
          <w:color w:val="auto"/>
        </w:rPr>
        <w:t>du taux de rendement annuel brut,</w:t>
      </w:r>
    </w:p>
    <w:p w14:paraId="030233E3" w14:textId="5AD00D5D" w:rsidR="001C0D5D" w:rsidRPr="00123D25" w:rsidRDefault="001C0D5D" w:rsidP="001C0D5D">
      <w:pPr>
        <w:pStyle w:val="Paragraphedeliste"/>
        <w:numPr>
          <w:ilvl w:val="0"/>
          <w:numId w:val="4"/>
        </w:numPr>
        <w:spacing w:after="0" w:line="240" w:lineRule="auto"/>
        <w:ind w:right="11"/>
        <w:rPr>
          <w:color w:val="auto"/>
        </w:rPr>
      </w:pPr>
      <w:r w:rsidRPr="00123D25">
        <w:rPr>
          <w:color w:val="auto"/>
        </w:rPr>
        <w:t>Si la durée de détention est comprise e</w:t>
      </w:r>
      <w:r w:rsidR="00B23234" w:rsidRPr="00123D25">
        <w:rPr>
          <w:color w:val="auto"/>
        </w:rPr>
        <w:t>ntre 1 et 2 ans, à hauteur de 10</w:t>
      </w:r>
      <w:r w:rsidRPr="00123D25">
        <w:rPr>
          <w:color w:val="auto"/>
        </w:rPr>
        <w:t>% du taux de rendement annuel brut,</w:t>
      </w:r>
    </w:p>
    <w:p w14:paraId="56D6D7B5" w14:textId="6508BE8C" w:rsidR="00FF10CF" w:rsidRPr="00123D25" w:rsidRDefault="001C0D5D" w:rsidP="001C0D5D">
      <w:pPr>
        <w:pStyle w:val="Paragraphedeliste"/>
        <w:numPr>
          <w:ilvl w:val="0"/>
          <w:numId w:val="4"/>
        </w:numPr>
        <w:spacing w:after="0" w:line="240" w:lineRule="auto"/>
        <w:ind w:right="11"/>
        <w:rPr>
          <w:color w:val="auto"/>
        </w:rPr>
      </w:pPr>
      <w:r w:rsidRPr="00123D25">
        <w:rPr>
          <w:color w:val="auto"/>
        </w:rPr>
        <w:t>Si la durée de détention est comprise e</w:t>
      </w:r>
      <w:r w:rsidR="00B23234" w:rsidRPr="00123D25">
        <w:rPr>
          <w:color w:val="auto"/>
        </w:rPr>
        <w:t>ntre 2 et 3 ans, à hauteur de 5</w:t>
      </w:r>
      <w:r w:rsidRPr="00123D25">
        <w:rPr>
          <w:color w:val="auto"/>
        </w:rPr>
        <w:t>% du taux de rendement annuel brut,</w:t>
      </w:r>
    </w:p>
    <w:p w14:paraId="068D2CBD" w14:textId="64B191E8" w:rsidR="001C0D5D" w:rsidRPr="00123D25" w:rsidRDefault="00FF10CF" w:rsidP="00FF10CF">
      <w:pPr>
        <w:pStyle w:val="Paragraphedeliste"/>
        <w:numPr>
          <w:ilvl w:val="0"/>
          <w:numId w:val="4"/>
        </w:numPr>
        <w:spacing w:after="0" w:line="240" w:lineRule="auto"/>
        <w:ind w:right="11"/>
        <w:rPr>
          <w:color w:val="auto"/>
        </w:rPr>
      </w:pPr>
      <w:r w:rsidRPr="00123D25">
        <w:rPr>
          <w:color w:val="auto"/>
        </w:rPr>
        <w:t>Si la durée de détention est comprise entre 3 et 4</w:t>
      </w:r>
      <w:r w:rsidR="00B23234" w:rsidRPr="00123D25">
        <w:rPr>
          <w:color w:val="auto"/>
        </w:rPr>
        <w:t xml:space="preserve"> ans, à hauteur de 0</w:t>
      </w:r>
      <w:r w:rsidRPr="00123D25">
        <w:rPr>
          <w:color w:val="auto"/>
        </w:rPr>
        <w:t xml:space="preserve">% du taux de rendement annuel brut, </w:t>
      </w:r>
      <w:r w:rsidR="001C0D5D" w:rsidRPr="00123D25">
        <w:rPr>
          <w:color w:val="auto"/>
        </w:rPr>
        <w:t xml:space="preserve"> </w:t>
      </w:r>
    </w:p>
    <w:p w14:paraId="70F9F4A6" w14:textId="6E7B3768" w:rsidR="001C0D5D" w:rsidRPr="00123D25" w:rsidRDefault="001C0D5D" w:rsidP="001C0D5D">
      <w:pPr>
        <w:pStyle w:val="Paragraphedeliste"/>
        <w:numPr>
          <w:ilvl w:val="0"/>
          <w:numId w:val="4"/>
        </w:numPr>
        <w:spacing w:after="0" w:line="240" w:lineRule="auto"/>
        <w:ind w:right="11"/>
        <w:rPr>
          <w:color w:val="auto"/>
        </w:rPr>
      </w:pPr>
      <w:r w:rsidRPr="00123D25">
        <w:rPr>
          <w:color w:val="auto"/>
        </w:rPr>
        <w:t>SI la durée de détention e</w:t>
      </w:r>
      <w:r w:rsidR="00FF10CF" w:rsidRPr="00123D25">
        <w:rPr>
          <w:color w:val="auto"/>
        </w:rPr>
        <w:t>st comprise entre 4 et 5</w:t>
      </w:r>
      <w:r w:rsidR="00B23234" w:rsidRPr="00123D25">
        <w:rPr>
          <w:color w:val="auto"/>
        </w:rPr>
        <w:t xml:space="preserve"> ans, à hauteur de 0</w:t>
      </w:r>
      <w:r w:rsidRPr="00123D25">
        <w:rPr>
          <w:color w:val="auto"/>
        </w:rPr>
        <w:t>% du taux de rendement annuel brut.</w:t>
      </w:r>
    </w:p>
    <w:p w14:paraId="209F3086" w14:textId="7A22F8F2" w:rsidR="00AF5AC6" w:rsidRDefault="008B27A7" w:rsidP="008B27A7">
      <w:pPr>
        <w:spacing w:after="0" w:line="240" w:lineRule="auto"/>
        <w:ind w:left="0" w:right="11" w:firstLine="0"/>
      </w:pPr>
      <w:r>
        <w:t xml:space="preserve"> </w:t>
      </w:r>
    </w:p>
    <w:p w14:paraId="540FEC46" w14:textId="57E7E5AF" w:rsidR="00A45E8F" w:rsidRDefault="00A45E8F" w:rsidP="00A45E8F">
      <w:pPr>
        <w:spacing w:after="30" w:line="259" w:lineRule="auto"/>
        <w:ind w:left="26" w:right="1386"/>
        <w:jc w:val="left"/>
        <w:rPr>
          <w:b/>
        </w:rPr>
      </w:pPr>
      <w:bookmarkStart w:id="1" w:name="_Hlk84858602"/>
      <w:r w:rsidRPr="00A45E8F">
        <w:rPr>
          <w:b/>
          <w:sz w:val="18"/>
        </w:rPr>
        <w:t xml:space="preserve">Quels sont les risques et qu’est-ce que cela pourrait me rapporter </w:t>
      </w:r>
      <w:r w:rsidRPr="0010023D">
        <w:rPr>
          <w:b/>
          <w:sz w:val="18"/>
        </w:rPr>
        <w:t>?</w:t>
      </w:r>
      <w:r>
        <w:rPr>
          <w:rFonts w:ascii="Calibri" w:eastAsia="Calibri" w:hAnsi="Calibri" w:cs="Calibri"/>
          <w:noProof/>
          <w:sz w:val="22"/>
        </w:rPr>
        <mc:AlternateContent>
          <mc:Choice Requires="wpg">
            <w:drawing>
              <wp:anchor distT="0" distB="0" distL="114300" distR="114300" simplePos="0" relativeHeight="251661312" behindDoc="0" locked="0" layoutInCell="1" allowOverlap="1" wp14:anchorId="01E825B5" wp14:editId="41FB2FED">
                <wp:simplePos x="0" y="0"/>
                <wp:positionH relativeFrom="column">
                  <wp:posOffset>6350</wp:posOffset>
                </wp:positionH>
                <wp:positionV relativeFrom="paragraph">
                  <wp:posOffset>166370</wp:posOffset>
                </wp:positionV>
                <wp:extent cx="6866890" cy="5080"/>
                <wp:effectExtent l="0" t="0" r="0" b="0"/>
                <wp:wrapSquare wrapText="bothSides"/>
                <wp:docPr id="2" name="Group 9794"/>
                <wp:cNvGraphicFramePr/>
                <a:graphic xmlns:a="http://schemas.openxmlformats.org/drawingml/2006/main">
                  <a:graphicData uri="http://schemas.microsoft.com/office/word/2010/wordprocessingGroup">
                    <wpg:wgp>
                      <wpg:cNvGrpSpPr/>
                      <wpg:grpSpPr>
                        <a:xfrm>
                          <a:off x="0" y="0"/>
                          <a:ext cx="6866890" cy="5080"/>
                          <a:chOff x="0" y="0"/>
                          <a:chExt cx="6895846" cy="6096"/>
                        </a:xfrm>
                      </wpg:grpSpPr>
                      <wps:wsp>
                        <wps:cNvPr id="3" name="Shape 10348"/>
                        <wps:cNvSpPr/>
                        <wps:spPr>
                          <a:xfrm>
                            <a:off x="0" y="0"/>
                            <a:ext cx="6895846" cy="9144"/>
                          </a:xfrm>
                          <a:custGeom>
                            <a:avLst/>
                            <a:gdLst/>
                            <a:ahLst/>
                            <a:cxnLst/>
                            <a:rect l="0" t="0" r="0" b="0"/>
                            <a:pathLst>
                              <a:path w="6895846" h="9144">
                                <a:moveTo>
                                  <a:pt x="0" y="0"/>
                                </a:moveTo>
                                <a:lnTo>
                                  <a:pt x="6895846" y="0"/>
                                </a:lnTo>
                                <a:lnTo>
                                  <a:pt x="6895846" y="9144"/>
                                </a:lnTo>
                                <a:lnTo>
                                  <a:pt x="0" y="9144"/>
                                </a:lnTo>
                                <a:lnTo>
                                  <a:pt x="0" y="0"/>
                                </a:lnTo>
                              </a:path>
                            </a:pathLst>
                          </a:custGeom>
                          <a:solidFill>
                            <a:srgbClr val="000000"/>
                          </a:solidFill>
                          <a:ln w="0" cap="flat">
                            <a:noFill/>
                            <a:miter lim="127000"/>
                          </a:ln>
                          <a:effectLst/>
                        </wps:spPr>
                        <wps:bodyPr/>
                      </wps:wsp>
                    </wpg:wg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4F19D842" id="Group 9794" o:spid="_x0000_s1026" style="position:absolute;margin-left:.5pt;margin-top:13.1pt;width:540.7pt;height:.4pt;z-index:251661312" coordsize="6895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">
                <v:shape id="Shape 10348" o:spid="_x0000_s1027" style="position:absolute;width:68958;height:91;visibility:visible;mso-wrap-style:square;v-text-anchor:top" coordsize="689584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" path="m,l6895846,r,9144l,9144,,e" fillcolor="black" stroked="f" strokeweight="0">
                  <v:stroke miterlimit="83231f" joinstyle="miter"/>
                  <v:path arrowok="t" textboxrect="0,0,6895846,9144"/>
                </v:shape>
                <w10:wrap type="square"/>
              </v:group>
            </w:pict>
          </mc:Fallback>
        </mc:AlternateContent>
      </w:r>
    </w:p>
    <w:p w14:paraId="5DBF5494" w14:textId="77777777" w:rsidR="00A45E8F" w:rsidRPr="00A45E8F" w:rsidRDefault="00A45E8F" w:rsidP="00A45E8F">
      <w:pPr>
        <w:spacing w:after="30" w:line="259" w:lineRule="auto"/>
        <w:ind w:left="26" w:right="1386"/>
        <w:jc w:val="left"/>
      </w:pPr>
    </w:p>
    <w:bookmarkEnd w:id="1"/>
    <w:p w14:paraId="65D8A3F5" w14:textId="7663624E" w:rsidR="007742EE" w:rsidRDefault="004F09E1">
      <w:pPr>
        <w:spacing w:after="197" w:line="259" w:lineRule="auto"/>
        <w:ind w:left="26" w:right="1386"/>
        <w:jc w:val="left"/>
      </w:pPr>
      <w:r>
        <w:rPr>
          <w:b/>
        </w:rPr>
        <w:t xml:space="preserve">Indicateur de risque </w:t>
      </w:r>
    </w:p>
    <w:tbl>
      <w:tblPr>
        <w:tblStyle w:val="TableGrid"/>
        <w:tblpPr w:vertAnchor="text" w:tblpX="4716" w:tblpY="-87"/>
        <w:tblOverlap w:val="never"/>
        <w:tblW w:w="2492" w:type="dxa"/>
        <w:tblInd w:w="0" w:type="dxa"/>
        <w:tblCellMar>
          <w:top w:w="69" w:type="dxa"/>
          <w:left w:w="70" w:type="dxa"/>
          <w:right w:w="10" w:type="dxa"/>
        </w:tblCellMar>
        <w:tblLook w:val="04A0" w:firstRow="1" w:lastRow="0" w:firstColumn="1" w:lastColumn="0" w:noHBand="0" w:noVBand="1"/>
      </w:tblPr>
      <w:tblGrid>
        <w:gridCol w:w="219"/>
        <w:gridCol w:w="158"/>
        <w:gridCol w:w="223"/>
        <w:gridCol w:w="154"/>
        <w:gridCol w:w="226"/>
        <w:gridCol w:w="156"/>
        <w:gridCol w:w="221"/>
        <w:gridCol w:w="156"/>
        <w:gridCol w:w="223"/>
        <w:gridCol w:w="156"/>
        <w:gridCol w:w="221"/>
        <w:gridCol w:w="156"/>
        <w:gridCol w:w="223"/>
      </w:tblGrid>
      <w:tr w:rsidR="007742EE" w14:paraId="1D594C2B" w14:textId="77777777" w:rsidTr="00570908">
        <w:trPr>
          <w:trHeight w:val="347"/>
        </w:trPr>
        <w:tc>
          <w:tcPr>
            <w:tcW w:w="220" w:type="dxa"/>
            <w:tcBorders>
              <w:top w:val="single" w:sz="6" w:space="0" w:color="000000"/>
              <w:left w:val="single" w:sz="6" w:space="0" w:color="000000"/>
              <w:bottom w:val="single" w:sz="6" w:space="0" w:color="000000"/>
              <w:right w:val="single" w:sz="6" w:space="0" w:color="000000"/>
            </w:tcBorders>
            <w:shd w:val="clear" w:color="auto" w:fill="FF0000"/>
          </w:tcPr>
          <w:p w14:paraId="4316C96B" w14:textId="77777777" w:rsidR="007742EE" w:rsidRDefault="004F09E1">
            <w:pPr>
              <w:spacing w:after="0" w:line="259" w:lineRule="auto"/>
              <w:ind w:left="0" w:firstLine="0"/>
              <w:jc w:val="left"/>
            </w:pPr>
            <w:r>
              <w:rPr>
                <w:color w:val="FFFFFF"/>
              </w:rPr>
              <w:t>1</w:t>
            </w:r>
            <w:r>
              <w:rPr>
                <w:rFonts w:ascii="Calibri" w:eastAsia="Calibri" w:hAnsi="Calibri" w:cs="Calibri"/>
                <w:sz w:val="22"/>
              </w:rPr>
              <w:t xml:space="preserve"> </w:t>
            </w:r>
          </w:p>
        </w:tc>
        <w:tc>
          <w:tcPr>
            <w:tcW w:w="158" w:type="dxa"/>
            <w:tcBorders>
              <w:top w:val="nil"/>
              <w:left w:val="single" w:sz="6" w:space="0" w:color="000000"/>
              <w:bottom w:val="nil"/>
              <w:right w:val="single" w:sz="6" w:space="0" w:color="000000"/>
            </w:tcBorders>
          </w:tcPr>
          <w:p w14:paraId="5C39D86C" w14:textId="77777777" w:rsidR="007742EE" w:rsidRDefault="004F09E1">
            <w:pPr>
              <w:spacing w:after="0" w:line="259" w:lineRule="auto"/>
              <w:ind w:left="4" w:firstLine="0"/>
              <w:jc w:val="left"/>
            </w:pPr>
            <w:r>
              <w:rPr>
                <w:rFonts w:ascii="Calibri" w:eastAsia="Calibri" w:hAnsi="Calibri" w:cs="Calibri"/>
                <w:sz w:val="22"/>
              </w:rPr>
              <w:t xml:space="preserve"> </w:t>
            </w:r>
          </w:p>
        </w:tc>
        <w:tc>
          <w:tcPr>
            <w:tcW w:w="223" w:type="dxa"/>
            <w:tcBorders>
              <w:top w:val="single" w:sz="6" w:space="0" w:color="000000"/>
              <w:left w:val="single" w:sz="6" w:space="0" w:color="000000"/>
              <w:bottom w:val="single" w:sz="6" w:space="0" w:color="000000"/>
              <w:right w:val="single" w:sz="6" w:space="0" w:color="000000"/>
            </w:tcBorders>
          </w:tcPr>
          <w:p w14:paraId="32309D2C" w14:textId="77777777" w:rsidR="007742EE" w:rsidRDefault="004F09E1">
            <w:pPr>
              <w:spacing w:after="0" w:line="259" w:lineRule="auto"/>
              <w:ind w:left="2" w:firstLine="0"/>
              <w:jc w:val="left"/>
            </w:pPr>
            <w:r>
              <w:t>2</w:t>
            </w:r>
            <w:r>
              <w:rPr>
                <w:rFonts w:ascii="Calibri" w:eastAsia="Calibri" w:hAnsi="Calibri" w:cs="Calibri"/>
                <w:sz w:val="22"/>
              </w:rPr>
              <w:t xml:space="preserve"> </w:t>
            </w:r>
          </w:p>
        </w:tc>
        <w:tc>
          <w:tcPr>
            <w:tcW w:w="154" w:type="dxa"/>
            <w:tcBorders>
              <w:top w:val="nil"/>
              <w:left w:val="single" w:sz="6" w:space="0" w:color="000000"/>
              <w:bottom w:val="nil"/>
              <w:right w:val="single" w:sz="6" w:space="0" w:color="000000"/>
            </w:tcBorders>
          </w:tcPr>
          <w:p w14:paraId="0E0A7715" w14:textId="77777777" w:rsidR="007742EE" w:rsidRDefault="004F09E1">
            <w:pPr>
              <w:spacing w:after="0" w:line="259" w:lineRule="auto"/>
              <w:ind w:left="2" w:firstLine="0"/>
              <w:jc w:val="left"/>
            </w:pPr>
            <w:r>
              <w:rPr>
                <w:rFonts w:ascii="Calibri" w:eastAsia="Calibri" w:hAnsi="Calibri" w:cs="Calibri"/>
                <w:sz w:val="22"/>
              </w:rPr>
              <w:t xml:space="preserve"> </w:t>
            </w:r>
          </w:p>
        </w:tc>
        <w:tc>
          <w:tcPr>
            <w:tcW w:w="226" w:type="dxa"/>
            <w:tcBorders>
              <w:top w:val="single" w:sz="6" w:space="0" w:color="000000"/>
              <w:left w:val="single" w:sz="6" w:space="0" w:color="000000"/>
              <w:bottom w:val="single" w:sz="6" w:space="0" w:color="000000"/>
              <w:right w:val="single" w:sz="6" w:space="0" w:color="000000"/>
            </w:tcBorders>
          </w:tcPr>
          <w:p w14:paraId="428708CA" w14:textId="77777777" w:rsidR="007742EE" w:rsidRDefault="004F09E1">
            <w:pPr>
              <w:spacing w:after="0" w:line="259" w:lineRule="auto"/>
              <w:ind w:left="4" w:firstLine="0"/>
              <w:jc w:val="left"/>
            </w:pPr>
            <w:r>
              <w:t>3</w:t>
            </w:r>
            <w:r>
              <w:rPr>
                <w:rFonts w:ascii="Calibri" w:eastAsia="Calibri" w:hAnsi="Calibri" w:cs="Calibri"/>
                <w:sz w:val="22"/>
              </w:rPr>
              <w:t xml:space="preserve"> </w:t>
            </w:r>
          </w:p>
        </w:tc>
        <w:tc>
          <w:tcPr>
            <w:tcW w:w="156" w:type="dxa"/>
            <w:tcBorders>
              <w:top w:val="nil"/>
              <w:left w:val="single" w:sz="6" w:space="0" w:color="000000"/>
              <w:bottom w:val="nil"/>
              <w:right w:val="single" w:sz="6" w:space="0" w:color="000000"/>
            </w:tcBorders>
          </w:tcPr>
          <w:p w14:paraId="51691502" w14:textId="77777777" w:rsidR="007742EE" w:rsidRDefault="004F09E1">
            <w:pPr>
              <w:spacing w:after="0" w:line="259" w:lineRule="auto"/>
              <w:ind w:left="2" w:firstLine="0"/>
              <w:jc w:val="left"/>
            </w:pPr>
            <w:r>
              <w:rPr>
                <w:rFonts w:ascii="Calibri" w:eastAsia="Calibri" w:hAnsi="Calibri" w:cs="Calibri"/>
                <w:sz w:val="22"/>
              </w:rPr>
              <w:t xml:space="preserve"> </w:t>
            </w:r>
          </w:p>
        </w:tc>
        <w:tc>
          <w:tcPr>
            <w:tcW w:w="221" w:type="dxa"/>
            <w:tcBorders>
              <w:top w:val="single" w:sz="6" w:space="0" w:color="000000"/>
              <w:left w:val="single" w:sz="6" w:space="0" w:color="000000"/>
              <w:bottom w:val="single" w:sz="6" w:space="0" w:color="000000"/>
              <w:right w:val="single" w:sz="6" w:space="0" w:color="000000"/>
            </w:tcBorders>
          </w:tcPr>
          <w:p w14:paraId="4757CF95" w14:textId="77777777" w:rsidR="007742EE" w:rsidRDefault="004F09E1">
            <w:pPr>
              <w:spacing w:after="0" w:line="259" w:lineRule="auto"/>
              <w:ind w:left="2" w:firstLine="0"/>
              <w:jc w:val="left"/>
            </w:pPr>
            <w:r>
              <w:t>4</w:t>
            </w:r>
            <w:r>
              <w:rPr>
                <w:rFonts w:ascii="Calibri" w:eastAsia="Calibri" w:hAnsi="Calibri" w:cs="Calibri"/>
                <w:sz w:val="22"/>
              </w:rPr>
              <w:t xml:space="preserve"> </w:t>
            </w:r>
          </w:p>
        </w:tc>
        <w:tc>
          <w:tcPr>
            <w:tcW w:w="156" w:type="dxa"/>
            <w:tcBorders>
              <w:top w:val="nil"/>
              <w:left w:val="single" w:sz="6" w:space="0" w:color="000000"/>
              <w:bottom w:val="nil"/>
              <w:right w:val="single" w:sz="6" w:space="0" w:color="000000"/>
            </w:tcBorders>
          </w:tcPr>
          <w:p w14:paraId="0EC36983" w14:textId="77777777" w:rsidR="007742EE" w:rsidRDefault="004F09E1">
            <w:pPr>
              <w:spacing w:after="0" w:line="259" w:lineRule="auto"/>
              <w:ind w:left="4" w:firstLine="0"/>
              <w:jc w:val="left"/>
            </w:pPr>
            <w:r>
              <w:rPr>
                <w:rFonts w:ascii="Calibri" w:eastAsia="Calibri" w:hAnsi="Calibri" w:cs="Calibri"/>
                <w:sz w:val="22"/>
              </w:rPr>
              <w:t xml:space="preserve"> </w:t>
            </w:r>
          </w:p>
        </w:tc>
        <w:tc>
          <w:tcPr>
            <w:tcW w:w="223" w:type="dxa"/>
            <w:tcBorders>
              <w:top w:val="single" w:sz="6" w:space="0" w:color="000000"/>
              <w:left w:val="single" w:sz="6" w:space="0" w:color="000000"/>
              <w:bottom w:val="single" w:sz="6" w:space="0" w:color="000000"/>
              <w:right w:val="single" w:sz="6" w:space="0" w:color="000000"/>
            </w:tcBorders>
          </w:tcPr>
          <w:p w14:paraId="79B38D05" w14:textId="77777777" w:rsidR="007742EE" w:rsidRDefault="004F09E1">
            <w:pPr>
              <w:spacing w:after="0" w:line="259" w:lineRule="auto"/>
              <w:ind w:left="2" w:firstLine="0"/>
              <w:jc w:val="left"/>
            </w:pPr>
            <w:r>
              <w:t xml:space="preserve">5 </w:t>
            </w:r>
          </w:p>
        </w:tc>
        <w:tc>
          <w:tcPr>
            <w:tcW w:w="156" w:type="dxa"/>
            <w:tcBorders>
              <w:top w:val="nil"/>
              <w:left w:val="single" w:sz="6" w:space="0" w:color="000000"/>
              <w:bottom w:val="nil"/>
              <w:right w:val="single" w:sz="6" w:space="0" w:color="000000"/>
            </w:tcBorders>
          </w:tcPr>
          <w:p w14:paraId="7835EF20" w14:textId="77777777" w:rsidR="007742EE" w:rsidRDefault="004F09E1">
            <w:pPr>
              <w:spacing w:after="0" w:line="259" w:lineRule="auto"/>
              <w:ind w:left="2" w:firstLine="0"/>
              <w:jc w:val="left"/>
            </w:pPr>
            <w:r>
              <w:rPr>
                <w:rFonts w:ascii="Calibri" w:eastAsia="Calibri" w:hAnsi="Calibri" w:cs="Calibri"/>
                <w:sz w:val="22"/>
              </w:rPr>
              <w:t xml:space="preserve"> </w:t>
            </w:r>
          </w:p>
        </w:tc>
        <w:tc>
          <w:tcPr>
            <w:tcW w:w="221" w:type="dxa"/>
            <w:tcBorders>
              <w:top w:val="single" w:sz="6" w:space="0" w:color="000000"/>
              <w:left w:val="single" w:sz="6" w:space="0" w:color="000000"/>
              <w:bottom w:val="single" w:sz="6" w:space="0" w:color="000000"/>
              <w:right w:val="single" w:sz="6" w:space="0" w:color="000000"/>
            </w:tcBorders>
          </w:tcPr>
          <w:p w14:paraId="482397A2" w14:textId="77777777" w:rsidR="007742EE" w:rsidRDefault="004F09E1">
            <w:pPr>
              <w:spacing w:after="0" w:line="259" w:lineRule="auto"/>
              <w:ind w:left="2" w:firstLine="0"/>
              <w:jc w:val="left"/>
            </w:pPr>
            <w:r>
              <w:t>6</w:t>
            </w:r>
            <w:r>
              <w:rPr>
                <w:rFonts w:ascii="Calibri" w:eastAsia="Calibri" w:hAnsi="Calibri" w:cs="Calibri"/>
                <w:sz w:val="22"/>
              </w:rPr>
              <w:t xml:space="preserve"> </w:t>
            </w:r>
          </w:p>
        </w:tc>
        <w:tc>
          <w:tcPr>
            <w:tcW w:w="156" w:type="dxa"/>
            <w:tcBorders>
              <w:top w:val="nil"/>
              <w:left w:val="single" w:sz="6" w:space="0" w:color="000000"/>
              <w:bottom w:val="nil"/>
              <w:right w:val="single" w:sz="6" w:space="0" w:color="000000"/>
            </w:tcBorders>
          </w:tcPr>
          <w:p w14:paraId="187D092E" w14:textId="77777777" w:rsidR="007742EE" w:rsidRDefault="004F09E1">
            <w:pPr>
              <w:spacing w:after="0" w:line="259" w:lineRule="auto"/>
              <w:ind w:left="4" w:firstLine="0"/>
              <w:jc w:val="left"/>
            </w:pPr>
            <w:r>
              <w:rPr>
                <w:rFonts w:ascii="Calibri" w:eastAsia="Calibri" w:hAnsi="Calibri" w:cs="Calibri"/>
                <w:sz w:val="22"/>
              </w:rPr>
              <w:t xml:space="preserve"> </w:t>
            </w:r>
          </w:p>
        </w:tc>
        <w:tc>
          <w:tcPr>
            <w:tcW w:w="223" w:type="dxa"/>
            <w:tcBorders>
              <w:top w:val="single" w:sz="6" w:space="0" w:color="000000"/>
              <w:left w:val="single" w:sz="6" w:space="0" w:color="000000"/>
              <w:bottom w:val="single" w:sz="6" w:space="0" w:color="000000"/>
              <w:right w:val="single" w:sz="6" w:space="0" w:color="000000"/>
            </w:tcBorders>
          </w:tcPr>
          <w:p w14:paraId="0FD5EFB2" w14:textId="77777777" w:rsidR="007742EE" w:rsidRDefault="004F09E1">
            <w:pPr>
              <w:spacing w:after="0" w:line="259" w:lineRule="auto"/>
              <w:ind w:left="2" w:firstLine="0"/>
              <w:jc w:val="left"/>
            </w:pPr>
            <w:r>
              <w:t>7</w:t>
            </w:r>
            <w:r>
              <w:rPr>
                <w:rFonts w:ascii="Calibri" w:eastAsia="Calibri" w:hAnsi="Calibri" w:cs="Calibri"/>
                <w:sz w:val="22"/>
              </w:rPr>
              <w:t xml:space="preserve"> </w:t>
            </w:r>
          </w:p>
        </w:tc>
      </w:tr>
    </w:tbl>
    <w:p w14:paraId="05CBD28F" w14:textId="0B7B1495" w:rsidR="007742EE" w:rsidRDefault="004F09E1" w:rsidP="0010023D">
      <w:pPr>
        <w:tabs>
          <w:tab w:val="center" w:pos="1721"/>
          <w:tab w:val="left" w:pos="2977"/>
          <w:tab w:val="center" w:pos="5974"/>
          <w:tab w:val="left" w:pos="7513"/>
        </w:tabs>
        <w:spacing w:after="401"/>
        <w:ind w:left="0" w:firstLine="0"/>
        <w:jc w:val="left"/>
      </w:pPr>
      <w:r>
        <w:rPr>
          <w:rFonts w:ascii="Calibri" w:eastAsia="Calibri" w:hAnsi="Calibri" w:cs="Calibri"/>
          <w:sz w:val="22"/>
        </w:rPr>
        <w:t xml:space="preserve"> </w:t>
      </w:r>
      <w:r>
        <w:rPr>
          <w:rFonts w:ascii="Calibri" w:eastAsia="Calibri" w:hAnsi="Calibri" w:cs="Calibri"/>
          <w:sz w:val="22"/>
        </w:rPr>
        <w:tab/>
      </w:r>
      <w:r w:rsidR="0010023D">
        <w:rPr>
          <w:rFonts w:ascii="Calibri" w:eastAsia="Calibri" w:hAnsi="Calibri" w:cs="Calibri"/>
          <w:sz w:val="22"/>
        </w:rPr>
        <w:tab/>
      </w:r>
      <w:r>
        <w:t xml:space="preserve">Risque le plus faible </w:t>
      </w:r>
      <w:r w:rsidR="0010023D">
        <w:tab/>
      </w:r>
      <w:r>
        <w:t xml:space="preserve">Risque le plus élevé </w:t>
      </w:r>
    </w:p>
    <w:p w14:paraId="77596F9E" w14:textId="5753610D" w:rsidR="007742EE" w:rsidRDefault="004F09E1">
      <w:pPr>
        <w:spacing w:after="32"/>
        <w:ind w:left="5" w:right="12"/>
      </w:pPr>
      <w:r>
        <w:t>L’indicateur de risque ci-dessus part de l'hypothèse que vous conse</w:t>
      </w:r>
      <w:r w:rsidR="00EE33A7">
        <w:t xml:space="preserve">rvez l’option d’investissement </w:t>
      </w:r>
      <w:r w:rsidR="007E23E9">
        <w:rPr>
          <w:color w:val="auto"/>
        </w:rPr>
        <w:t>60 moi</w:t>
      </w:r>
      <w:r w:rsidR="009B475B">
        <w:rPr>
          <w:color w:val="auto"/>
        </w:rPr>
        <w:t>s</w:t>
      </w:r>
      <w:r w:rsidR="00606CA7">
        <w:rPr>
          <w:color w:val="auto"/>
        </w:rPr>
        <w:t>.</w:t>
      </w:r>
      <w:r>
        <w:t xml:space="preserve"> </w:t>
      </w:r>
      <w:r>
        <w:rPr>
          <w:rFonts w:ascii="Calibri" w:eastAsia="Calibri" w:hAnsi="Calibri" w:cs="Calibri"/>
          <w:sz w:val="22"/>
        </w:rPr>
        <w:t xml:space="preserve"> </w:t>
      </w:r>
    </w:p>
    <w:p w14:paraId="3D1BFF07" w14:textId="77777777" w:rsidR="007742EE" w:rsidRDefault="004F09E1">
      <w:pPr>
        <w:spacing w:after="52"/>
        <w:ind w:left="5" w:right="12"/>
      </w:pPr>
      <w:r>
        <w:t xml:space="preserve">L’indicateur synthétique de risque permet d'apprécier le niveau de risque de cette option d’investissement par rapport à d’autres. Il indique la probabilité que cette option d’investissement enregistre des pertes en cas de mouvements sur les marchés ou d'une impossibilité de notre part de vous payer. </w:t>
      </w:r>
      <w:r>
        <w:rPr>
          <w:rFonts w:ascii="Calibri" w:eastAsia="Calibri" w:hAnsi="Calibri" w:cs="Calibri"/>
          <w:sz w:val="22"/>
        </w:rPr>
        <w:t xml:space="preserve"> </w:t>
      </w:r>
    </w:p>
    <w:p w14:paraId="7613887B" w14:textId="53F812E2" w:rsidR="007742EE" w:rsidRDefault="004F09E1">
      <w:pPr>
        <w:spacing w:after="52"/>
        <w:ind w:left="5" w:right="12"/>
      </w:pPr>
      <w:r>
        <w:t xml:space="preserve">Nous avons classé cette option d’investissement dans la classe de risque 1 sur 7, qui est la classe de risque la plus basse. Le risque réel peut être différent si vous optez pour une sortie avant échéance, et vous pourriez obtenir moins en retour. Autrement dit, les pertes potentielles liées aux futurs résultats de l’option d’investissement se situent à un niveau très faible et, si la situation venait à se détériorer sur les marchés, il est très peu probable que la capacité de </w:t>
      </w:r>
      <w:r w:rsidR="00490E58">
        <w:t>BPCE Life</w:t>
      </w:r>
      <w:r>
        <w:t xml:space="preserve"> à vous payer en soit affectée.  </w:t>
      </w:r>
      <w:r>
        <w:rPr>
          <w:rFonts w:ascii="Calibri" w:eastAsia="Calibri" w:hAnsi="Calibri" w:cs="Calibri"/>
          <w:sz w:val="22"/>
        </w:rPr>
        <w:t xml:space="preserve"> </w:t>
      </w:r>
    </w:p>
    <w:p w14:paraId="3669CE48" w14:textId="4C697AE4" w:rsidR="00544010" w:rsidRDefault="004F09E1">
      <w:pPr>
        <w:ind w:left="5" w:right="12"/>
      </w:pPr>
      <w:r>
        <w:t xml:space="preserve">Si nous ne sommes pas en mesure de vous verser les sommes dues, vous pouvez perdre l'intégralité de votre investissement. Toutefois, vous bénéficiez peut-être d'un système de protection des consommateurs (voir la section "Que se passe-t-il si nous ne sommes pas en mesure d'effectuer les versements?"). L'indicateur présenté ci-dessus ne tient pas compte de cette protection. </w:t>
      </w:r>
    </w:p>
    <w:p w14:paraId="059C5E8A" w14:textId="77777777" w:rsidR="00086553" w:rsidRDefault="00086553">
      <w:pPr>
        <w:ind w:left="5" w:right="12"/>
      </w:pPr>
    </w:p>
    <w:p w14:paraId="65792B2A" w14:textId="037889B2" w:rsidR="008E433D" w:rsidRDefault="004F09E1" w:rsidP="009F4E10">
      <w:pPr>
        <w:ind w:left="5" w:right="12"/>
        <w:rPr>
          <w:b/>
        </w:rPr>
      </w:pPr>
      <w:r>
        <w:rPr>
          <w:b/>
        </w:rPr>
        <w:t xml:space="preserve">Scénarios de performance  </w:t>
      </w:r>
    </w:p>
    <w:tbl>
      <w:tblPr>
        <w:tblW w:w="5000" w:type="pct"/>
        <w:tblCellMar>
          <w:left w:w="70" w:type="dxa"/>
          <w:right w:w="70" w:type="dxa"/>
        </w:tblCellMar>
        <w:tblLook w:val="04A0" w:firstRow="1" w:lastRow="0" w:firstColumn="1" w:lastColumn="0" w:noHBand="0" w:noVBand="1"/>
      </w:tblPr>
      <w:tblGrid>
        <w:gridCol w:w="1975"/>
        <w:gridCol w:w="3817"/>
        <w:gridCol w:w="1712"/>
        <w:gridCol w:w="1561"/>
        <w:gridCol w:w="1729"/>
      </w:tblGrid>
      <w:tr w:rsidR="00583C3B" w:rsidRPr="00583C3B" w14:paraId="70F71B45" w14:textId="77777777" w:rsidTr="00383C7E">
        <w:trPr>
          <w:trHeight w:val="620"/>
        </w:trPr>
        <w:tc>
          <w:tcPr>
            <w:tcW w:w="2683" w:type="pct"/>
            <w:gridSpan w:val="2"/>
            <w:tcBorders>
              <w:top w:val="single" w:sz="8" w:space="0" w:color="000000"/>
              <w:left w:val="single" w:sz="8" w:space="0" w:color="000000"/>
              <w:bottom w:val="single" w:sz="8" w:space="0" w:color="000000"/>
              <w:right w:val="single" w:sz="8" w:space="0" w:color="000000"/>
            </w:tcBorders>
            <w:shd w:val="clear" w:color="auto" w:fill="FF0000"/>
            <w:vAlign w:val="center"/>
            <w:hideMark/>
          </w:tcPr>
          <w:p w14:paraId="0ECD656D" w14:textId="77777777" w:rsidR="00583C3B" w:rsidRPr="00583C3B" w:rsidRDefault="00583C3B" w:rsidP="00583C3B">
            <w:pPr>
              <w:spacing w:after="0" w:line="240" w:lineRule="auto"/>
              <w:ind w:left="0" w:firstLine="0"/>
              <w:jc w:val="left"/>
              <w:rPr>
                <w:rFonts w:eastAsia="Times New Roman"/>
                <w:b/>
                <w:bCs/>
                <w:color w:val="FFFFFF"/>
                <w:szCs w:val="16"/>
              </w:rPr>
            </w:pPr>
            <w:r w:rsidRPr="00583C3B">
              <w:rPr>
                <w:rFonts w:eastAsia="Times New Roman"/>
                <w:b/>
                <w:bCs/>
                <w:color w:val="FFFFFF"/>
                <w:szCs w:val="16"/>
              </w:rPr>
              <w:t>Investissement 10.000 €</w:t>
            </w:r>
          </w:p>
        </w:tc>
        <w:tc>
          <w:tcPr>
            <w:tcW w:w="793" w:type="pct"/>
            <w:tcBorders>
              <w:top w:val="single" w:sz="8" w:space="0" w:color="000000"/>
              <w:left w:val="single" w:sz="8" w:space="0" w:color="000000"/>
              <w:bottom w:val="single" w:sz="8" w:space="0" w:color="000000"/>
              <w:right w:val="single" w:sz="8" w:space="0" w:color="000000"/>
            </w:tcBorders>
            <w:shd w:val="clear" w:color="auto" w:fill="FF0000"/>
            <w:vAlign w:val="center"/>
            <w:hideMark/>
          </w:tcPr>
          <w:p w14:paraId="78B8B653" w14:textId="2297B209" w:rsidR="00583C3B" w:rsidRPr="00583C3B" w:rsidRDefault="00583C3B" w:rsidP="00583C3B">
            <w:pPr>
              <w:spacing w:after="0" w:line="240" w:lineRule="auto"/>
              <w:ind w:left="0" w:firstLine="0"/>
              <w:jc w:val="center"/>
              <w:rPr>
                <w:rFonts w:eastAsia="Times New Roman"/>
                <w:b/>
                <w:bCs/>
                <w:color w:val="FFFFFF"/>
                <w:szCs w:val="16"/>
              </w:rPr>
            </w:pPr>
            <w:r w:rsidRPr="00583C3B">
              <w:rPr>
                <w:rFonts w:eastAsia="Times New Roman"/>
                <w:b/>
                <w:bCs/>
                <w:color w:val="FFFFFF"/>
                <w:szCs w:val="16"/>
              </w:rPr>
              <w:t>1</w:t>
            </w:r>
            <w:r w:rsidR="007E23E9">
              <w:rPr>
                <w:rFonts w:eastAsia="Times New Roman"/>
                <w:b/>
                <w:bCs/>
                <w:color w:val="FFFFFF"/>
                <w:szCs w:val="16"/>
              </w:rPr>
              <w:t>2 mois</w:t>
            </w:r>
          </w:p>
        </w:tc>
        <w:tc>
          <w:tcPr>
            <w:tcW w:w="723" w:type="pct"/>
            <w:tcBorders>
              <w:top w:val="single" w:sz="8" w:space="0" w:color="000000"/>
              <w:left w:val="single" w:sz="8" w:space="0" w:color="000000"/>
              <w:bottom w:val="single" w:sz="8" w:space="0" w:color="000000"/>
              <w:right w:val="single" w:sz="8" w:space="0" w:color="000000"/>
            </w:tcBorders>
            <w:shd w:val="clear" w:color="auto" w:fill="FF0000"/>
            <w:vAlign w:val="center"/>
            <w:hideMark/>
          </w:tcPr>
          <w:p w14:paraId="6137830A" w14:textId="2B06C640" w:rsidR="00583C3B" w:rsidRPr="00583C3B" w:rsidRDefault="007E23E9" w:rsidP="00583C3B">
            <w:pPr>
              <w:spacing w:after="0" w:line="240" w:lineRule="auto"/>
              <w:ind w:left="0" w:firstLine="0"/>
              <w:jc w:val="center"/>
              <w:rPr>
                <w:rFonts w:eastAsia="Times New Roman"/>
                <w:b/>
                <w:bCs/>
                <w:color w:val="FFFFFF"/>
                <w:szCs w:val="16"/>
              </w:rPr>
            </w:pPr>
            <w:r>
              <w:rPr>
                <w:rFonts w:eastAsia="Times New Roman"/>
                <w:b/>
                <w:bCs/>
                <w:color w:val="FFFFFF"/>
                <w:szCs w:val="16"/>
              </w:rPr>
              <w:t>30 mois</w:t>
            </w:r>
          </w:p>
        </w:tc>
        <w:tc>
          <w:tcPr>
            <w:tcW w:w="801" w:type="pct"/>
            <w:tcBorders>
              <w:top w:val="single" w:sz="8" w:space="0" w:color="000000"/>
              <w:left w:val="nil"/>
              <w:right w:val="single" w:sz="8" w:space="0" w:color="000000"/>
            </w:tcBorders>
            <w:shd w:val="clear" w:color="auto" w:fill="FF0000"/>
            <w:vAlign w:val="center"/>
            <w:hideMark/>
          </w:tcPr>
          <w:p w14:paraId="29AAFE43" w14:textId="58E9AA88" w:rsidR="00583C3B" w:rsidRPr="00583C3B" w:rsidRDefault="007E23E9" w:rsidP="00583C3B">
            <w:pPr>
              <w:spacing w:after="0" w:line="240" w:lineRule="auto"/>
              <w:ind w:left="0" w:firstLine="0"/>
              <w:jc w:val="center"/>
              <w:rPr>
                <w:rFonts w:eastAsia="Times New Roman"/>
                <w:b/>
                <w:bCs/>
                <w:color w:val="FFFFFF"/>
                <w:szCs w:val="16"/>
              </w:rPr>
            </w:pPr>
            <w:r>
              <w:rPr>
                <w:rFonts w:eastAsia="Times New Roman"/>
                <w:b/>
                <w:bCs/>
                <w:color w:val="FFFFFF"/>
                <w:szCs w:val="16"/>
              </w:rPr>
              <w:t>60 moi</w:t>
            </w:r>
            <w:r w:rsidR="00583C3B">
              <w:rPr>
                <w:rFonts w:eastAsia="Times New Roman"/>
                <w:b/>
                <w:bCs/>
                <w:color w:val="FFFFFF"/>
                <w:szCs w:val="16"/>
              </w:rPr>
              <w:t>s</w:t>
            </w:r>
          </w:p>
          <w:p w14:paraId="1FE90BD6" w14:textId="77777777" w:rsidR="00583C3B" w:rsidRPr="00583C3B" w:rsidRDefault="00583C3B" w:rsidP="00583C3B">
            <w:pPr>
              <w:spacing w:after="0" w:line="240" w:lineRule="auto"/>
              <w:ind w:left="0" w:firstLine="0"/>
              <w:jc w:val="center"/>
              <w:rPr>
                <w:rFonts w:eastAsia="Times New Roman"/>
                <w:color w:val="FFFFFF"/>
                <w:sz w:val="12"/>
                <w:szCs w:val="16"/>
              </w:rPr>
            </w:pPr>
            <w:r w:rsidRPr="00583C3B">
              <w:rPr>
                <w:rFonts w:eastAsia="Times New Roman"/>
                <w:color w:val="FFFFFF"/>
                <w:sz w:val="12"/>
                <w:szCs w:val="16"/>
              </w:rPr>
              <w:t>(Période de détention</w:t>
            </w:r>
          </w:p>
          <w:p w14:paraId="4A77CCC2" w14:textId="77777777" w:rsidR="00583C3B" w:rsidRPr="00583C3B" w:rsidRDefault="00583C3B" w:rsidP="00583C3B">
            <w:pPr>
              <w:spacing w:after="0" w:line="240" w:lineRule="auto"/>
              <w:ind w:left="0"/>
              <w:jc w:val="center"/>
              <w:rPr>
                <w:rFonts w:eastAsia="Times New Roman"/>
                <w:b/>
                <w:bCs/>
                <w:color w:val="FFFFFF"/>
                <w:szCs w:val="16"/>
              </w:rPr>
            </w:pPr>
            <w:r w:rsidRPr="00583C3B">
              <w:rPr>
                <w:rFonts w:eastAsia="Times New Roman"/>
                <w:color w:val="FFFFFF"/>
                <w:sz w:val="12"/>
                <w:szCs w:val="16"/>
              </w:rPr>
              <w:t>Recommandée)</w:t>
            </w:r>
          </w:p>
        </w:tc>
      </w:tr>
      <w:tr w:rsidR="00583C3B" w:rsidRPr="00583C3B" w14:paraId="72EF4678" w14:textId="77777777" w:rsidTr="00383C7E">
        <w:trPr>
          <w:trHeight w:val="315"/>
        </w:trPr>
        <w:tc>
          <w:tcPr>
            <w:tcW w:w="915" w:type="pct"/>
            <w:vMerge w:val="restart"/>
            <w:tcBorders>
              <w:top w:val="nil"/>
              <w:left w:val="single" w:sz="8" w:space="0" w:color="000000"/>
              <w:bottom w:val="single" w:sz="8" w:space="0" w:color="000000"/>
              <w:right w:val="single" w:sz="8" w:space="0" w:color="000000"/>
            </w:tcBorders>
            <w:shd w:val="clear" w:color="auto" w:fill="auto"/>
            <w:vAlign w:val="center"/>
            <w:hideMark/>
          </w:tcPr>
          <w:p w14:paraId="52DE1C61" w14:textId="77777777" w:rsidR="00583C3B" w:rsidRPr="00583C3B" w:rsidRDefault="00583C3B" w:rsidP="00583C3B">
            <w:pPr>
              <w:spacing w:after="0" w:line="240" w:lineRule="auto"/>
              <w:ind w:left="0" w:firstLine="0"/>
              <w:jc w:val="left"/>
              <w:rPr>
                <w:rFonts w:eastAsia="Times New Roman"/>
                <w:b/>
                <w:bCs/>
                <w:szCs w:val="16"/>
              </w:rPr>
            </w:pPr>
            <w:r w:rsidRPr="00583C3B">
              <w:rPr>
                <w:rFonts w:eastAsia="Times New Roman"/>
                <w:b/>
                <w:bCs/>
                <w:szCs w:val="16"/>
              </w:rPr>
              <w:t>Scénario de tensions</w:t>
            </w:r>
          </w:p>
        </w:tc>
        <w:tc>
          <w:tcPr>
            <w:tcW w:w="1768" w:type="pct"/>
            <w:tcBorders>
              <w:top w:val="nil"/>
              <w:left w:val="nil"/>
              <w:bottom w:val="single" w:sz="8" w:space="0" w:color="000000"/>
              <w:right w:val="single" w:sz="8" w:space="0" w:color="000000"/>
            </w:tcBorders>
            <w:shd w:val="clear" w:color="auto" w:fill="auto"/>
            <w:vAlign w:val="center"/>
            <w:hideMark/>
          </w:tcPr>
          <w:p w14:paraId="2DF387E3" w14:textId="77777777" w:rsidR="00583C3B" w:rsidRPr="00583C3B" w:rsidRDefault="00583C3B" w:rsidP="00583C3B">
            <w:pPr>
              <w:spacing w:after="0" w:line="240" w:lineRule="auto"/>
              <w:ind w:left="0" w:firstLine="0"/>
              <w:jc w:val="left"/>
              <w:rPr>
                <w:rFonts w:eastAsia="Times New Roman"/>
                <w:b/>
                <w:bCs/>
                <w:szCs w:val="16"/>
              </w:rPr>
            </w:pPr>
            <w:r w:rsidRPr="00583C3B">
              <w:rPr>
                <w:rFonts w:eastAsia="Times New Roman"/>
                <w:b/>
                <w:bCs/>
                <w:szCs w:val="16"/>
              </w:rPr>
              <w:t>Ce que vous pourriez obtenir après déduction des coûts</w:t>
            </w:r>
          </w:p>
        </w:tc>
        <w:tc>
          <w:tcPr>
            <w:tcW w:w="793" w:type="pct"/>
            <w:tcBorders>
              <w:top w:val="nil"/>
              <w:left w:val="nil"/>
              <w:bottom w:val="single" w:sz="8" w:space="0" w:color="000000"/>
              <w:right w:val="single" w:sz="8" w:space="0" w:color="000000"/>
            </w:tcBorders>
            <w:shd w:val="clear" w:color="auto" w:fill="auto"/>
            <w:vAlign w:val="center"/>
            <w:hideMark/>
          </w:tcPr>
          <w:p w14:paraId="72B0D05A" w14:textId="75929485" w:rsidR="00583C3B" w:rsidRPr="00583C3B" w:rsidRDefault="001C6FBD" w:rsidP="00583C3B">
            <w:pPr>
              <w:spacing w:after="0" w:line="240" w:lineRule="auto"/>
              <w:ind w:left="0" w:firstLine="0"/>
              <w:jc w:val="center"/>
              <w:rPr>
                <w:rFonts w:eastAsia="Times New Roman"/>
                <w:szCs w:val="16"/>
              </w:rPr>
            </w:pPr>
            <w:r>
              <w:rPr>
                <w:rFonts w:eastAsia="Times New Roman"/>
                <w:szCs w:val="16"/>
              </w:rPr>
              <w:t>10 315</w:t>
            </w:r>
            <w:r w:rsidR="00583C3B" w:rsidRPr="00583C3B">
              <w:rPr>
                <w:rFonts w:eastAsia="Times New Roman"/>
                <w:szCs w:val="16"/>
              </w:rPr>
              <w:t>,00 €</w:t>
            </w:r>
          </w:p>
        </w:tc>
        <w:tc>
          <w:tcPr>
            <w:tcW w:w="723" w:type="pct"/>
            <w:tcBorders>
              <w:top w:val="nil"/>
              <w:left w:val="nil"/>
              <w:bottom w:val="single" w:sz="8" w:space="0" w:color="000000"/>
              <w:right w:val="single" w:sz="8" w:space="0" w:color="000000"/>
            </w:tcBorders>
            <w:shd w:val="clear" w:color="auto" w:fill="auto"/>
            <w:vAlign w:val="center"/>
            <w:hideMark/>
          </w:tcPr>
          <w:p w14:paraId="0435F214" w14:textId="0CA52A1F" w:rsidR="00583C3B" w:rsidRPr="00583C3B" w:rsidRDefault="008A4714" w:rsidP="00583C3B">
            <w:pPr>
              <w:spacing w:after="0" w:line="240" w:lineRule="auto"/>
              <w:ind w:left="0" w:firstLine="0"/>
              <w:jc w:val="center"/>
              <w:rPr>
                <w:rFonts w:eastAsia="Times New Roman"/>
                <w:szCs w:val="16"/>
              </w:rPr>
            </w:pPr>
            <w:r>
              <w:rPr>
                <w:rFonts w:eastAsia="Times New Roman"/>
                <w:szCs w:val="16"/>
              </w:rPr>
              <w:t>10 807</w:t>
            </w:r>
            <w:r w:rsidR="00746DFF">
              <w:rPr>
                <w:rFonts w:eastAsia="Times New Roman"/>
                <w:szCs w:val="16"/>
              </w:rPr>
              <w:t>,5</w:t>
            </w:r>
            <w:r w:rsidR="00583C3B" w:rsidRPr="00583C3B">
              <w:rPr>
                <w:rFonts w:eastAsia="Times New Roman"/>
                <w:szCs w:val="16"/>
              </w:rPr>
              <w:t>0 €</w:t>
            </w:r>
          </w:p>
        </w:tc>
        <w:tc>
          <w:tcPr>
            <w:tcW w:w="801" w:type="pct"/>
            <w:tcBorders>
              <w:top w:val="nil"/>
              <w:left w:val="nil"/>
              <w:bottom w:val="single" w:sz="8" w:space="0" w:color="000000"/>
              <w:right w:val="single" w:sz="8" w:space="0" w:color="000000"/>
            </w:tcBorders>
            <w:shd w:val="clear" w:color="auto" w:fill="auto"/>
            <w:vAlign w:val="center"/>
            <w:hideMark/>
          </w:tcPr>
          <w:p w14:paraId="2494939A" w14:textId="0E7F108C" w:rsidR="00583C3B" w:rsidRPr="00583C3B" w:rsidRDefault="00746DFF" w:rsidP="00583C3B">
            <w:pPr>
              <w:spacing w:after="0" w:line="240" w:lineRule="auto"/>
              <w:ind w:left="0" w:firstLine="0"/>
              <w:jc w:val="center"/>
              <w:rPr>
                <w:rFonts w:eastAsia="Times New Roman"/>
                <w:szCs w:val="16"/>
              </w:rPr>
            </w:pPr>
            <w:r>
              <w:rPr>
                <w:rFonts w:eastAsia="Times New Roman"/>
                <w:szCs w:val="16"/>
              </w:rPr>
              <w:t>11 7</w:t>
            </w:r>
            <w:r w:rsidR="009D0510">
              <w:rPr>
                <w:rFonts w:eastAsia="Times New Roman"/>
                <w:szCs w:val="16"/>
              </w:rPr>
              <w:t>00</w:t>
            </w:r>
            <w:r w:rsidR="00583C3B" w:rsidRPr="00583C3B">
              <w:rPr>
                <w:rFonts w:eastAsia="Times New Roman"/>
                <w:szCs w:val="16"/>
              </w:rPr>
              <w:t>,00 €</w:t>
            </w:r>
          </w:p>
        </w:tc>
      </w:tr>
      <w:tr w:rsidR="00583C3B" w:rsidRPr="00583C3B" w14:paraId="44A819BE" w14:textId="77777777" w:rsidTr="00383C7E">
        <w:trPr>
          <w:trHeight w:val="315"/>
        </w:trPr>
        <w:tc>
          <w:tcPr>
            <w:tcW w:w="915" w:type="pct"/>
            <w:vMerge/>
            <w:tcBorders>
              <w:top w:val="nil"/>
              <w:left w:val="single" w:sz="8" w:space="0" w:color="000000"/>
              <w:bottom w:val="single" w:sz="8" w:space="0" w:color="000000"/>
              <w:right w:val="single" w:sz="8" w:space="0" w:color="000000"/>
            </w:tcBorders>
            <w:vAlign w:val="center"/>
            <w:hideMark/>
          </w:tcPr>
          <w:p w14:paraId="606F6D64" w14:textId="77777777" w:rsidR="00583C3B" w:rsidRPr="00583C3B" w:rsidRDefault="00583C3B" w:rsidP="00583C3B">
            <w:pPr>
              <w:spacing w:after="0" w:line="240" w:lineRule="auto"/>
              <w:ind w:left="0" w:firstLine="0"/>
              <w:jc w:val="left"/>
              <w:rPr>
                <w:rFonts w:eastAsia="Times New Roman"/>
                <w:b/>
                <w:bCs/>
                <w:szCs w:val="16"/>
              </w:rPr>
            </w:pPr>
          </w:p>
        </w:tc>
        <w:tc>
          <w:tcPr>
            <w:tcW w:w="1768" w:type="pct"/>
            <w:tcBorders>
              <w:top w:val="nil"/>
              <w:left w:val="nil"/>
              <w:bottom w:val="single" w:sz="8" w:space="0" w:color="000000"/>
              <w:right w:val="single" w:sz="8" w:space="0" w:color="000000"/>
            </w:tcBorders>
            <w:shd w:val="clear" w:color="auto" w:fill="auto"/>
            <w:vAlign w:val="center"/>
            <w:hideMark/>
          </w:tcPr>
          <w:p w14:paraId="2DC482A6" w14:textId="77777777" w:rsidR="00583C3B" w:rsidRPr="00583C3B" w:rsidRDefault="00583C3B" w:rsidP="00583C3B">
            <w:pPr>
              <w:spacing w:after="0" w:line="240" w:lineRule="auto"/>
              <w:ind w:left="0" w:firstLine="0"/>
              <w:jc w:val="left"/>
              <w:rPr>
                <w:rFonts w:eastAsia="Times New Roman"/>
                <w:szCs w:val="16"/>
              </w:rPr>
            </w:pPr>
            <w:r w:rsidRPr="00583C3B">
              <w:rPr>
                <w:rFonts w:eastAsia="Times New Roman"/>
                <w:szCs w:val="16"/>
              </w:rPr>
              <w:t xml:space="preserve">Rendement annuel moyen </w:t>
            </w:r>
          </w:p>
        </w:tc>
        <w:tc>
          <w:tcPr>
            <w:tcW w:w="793" w:type="pct"/>
            <w:tcBorders>
              <w:top w:val="nil"/>
              <w:left w:val="nil"/>
              <w:bottom w:val="single" w:sz="8" w:space="0" w:color="000000"/>
              <w:right w:val="single" w:sz="8" w:space="0" w:color="000000"/>
            </w:tcBorders>
            <w:shd w:val="clear" w:color="auto" w:fill="auto"/>
            <w:vAlign w:val="center"/>
            <w:hideMark/>
          </w:tcPr>
          <w:p w14:paraId="66D4F4AB" w14:textId="31C5DC66" w:rsidR="00583C3B" w:rsidRPr="00583C3B" w:rsidRDefault="00746DFF" w:rsidP="00583C3B">
            <w:pPr>
              <w:spacing w:after="0" w:line="240" w:lineRule="auto"/>
              <w:ind w:left="0" w:firstLine="0"/>
              <w:jc w:val="center"/>
              <w:rPr>
                <w:rFonts w:eastAsia="Times New Roman"/>
                <w:szCs w:val="16"/>
              </w:rPr>
            </w:pPr>
            <w:r>
              <w:rPr>
                <w:rFonts w:eastAsia="Times New Roman"/>
                <w:szCs w:val="16"/>
              </w:rPr>
              <w:t>3,15</w:t>
            </w:r>
            <w:r w:rsidR="00583C3B" w:rsidRPr="00583C3B">
              <w:rPr>
                <w:rFonts w:eastAsia="Times New Roman"/>
                <w:szCs w:val="16"/>
              </w:rPr>
              <w:t>%</w:t>
            </w:r>
          </w:p>
        </w:tc>
        <w:tc>
          <w:tcPr>
            <w:tcW w:w="723" w:type="pct"/>
            <w:tcBorders>
              <w:top w:val="nil"/>
              <w:left w:val="nil"/>
              <w:bottom w:val="single" w:sz="8" w:space="0" w:color="000000"/>
              <w:right w:val="single" w:sz="8" w:space="0" w:color="000000"/>
            </w:tcBorders>
            <w:shd w:val="clear" w:color="auto" w:fill="auto"/>
            <w:vAlign w:val="center"/>
            <w:hideMark/>
          </w:tcPr>
          <w:p w14:paraId="12BB2036" w14:textId="18CF523A" w:rsidR="00583C3B" w:rsidRPr="00583C3B" w:rsidRDefault="001C6FBD" w:rsidP="008A4714">
            <w:pPr>
              <w:spacing w:after="0" w:line="240" w:lineRule="auto"/>
              <w:ind w:left="0" w:firstLine="0"/>
              <w:jc w:val="center"/>
              <w:rPr>
                <w:rFonts w:eastAsia="Times New Roman"/>
                <w:szCs w:val="16"/>
              </w:rPr>
            </w:pPr>
            <w:r>
              <w:rPr>
                <w:rFonts w:eastAsia="Times New Roman"/>
                <w:szCs w:val="16"/>
              </w:rPr>
              <w:t>3,2</w:t>
            </w:r>
            <w:r w:rsidR="008A4714">
              <w:rPr>
                <w:rFonts w:eastAsia="Times New Roman"/>
                <w:szCs w:val="16"/>
              </w:rPr>
              <w:t>3</w:t>
            </w:r>
            <w:r w:rsidR="00583C3B" w:rsidRPr="00583C3B">
              <w:rPr>
                <w:rFonts w:eastAsia="Times New Roman"/>
                <w:szCs w:val="16"/>
              </w:rPr>
              <w:t>%</w:t>
            </w:r>
          </w:p>
        </w:tc>
        <w:tc>
          <w:tcPr>
            <w:tcW w:w="801" w:type="pct"/>
            <w:tcBorders>
              <w:top w:val="nil"/>
              <w:left w:val="nil"/>
              <w:bottom w:val="single" w:sz="8" w:space="0" w:color="000000"/>
              <w:right w:val="single" w:sz="8" w:space="0" w:color="000000"/>
            </w:tcBorders>
            <w:shd w:val="clear" w:color="auto" w:fill="auto"/>
            <w:vAlign w:val="center"/>
            <w:hideMark/>
          </w:tcPr>
          <w:p w14:paraId="2FCF7429" w14:textId="27EDF716" w:rsidR="00583C3B" w:rsidRPr="00583C3B" w:rsidRDefault="00746DFF" w:rsidP="00583C3B">
            <w:pPr>
              <w:spacing w:after="0" w:line="240" w:lineRule="auto"/>
              <w:ind w:left="0" w:firstLine="0"/>
              <w:jc w:val="center"/>
              <w:rPr>
                <w:rFonts w:eastAsia="Times New Roman"/>
                <w:szCs w:val="16"/>
              </w:rPr>
            </w:pPr>
            <w:r>
              <w:rPr>
                <w:rFonts w:eastAsia="Times New Roman"/>
                <w:szCs w:val="16"/>
              </w:rPr>
              <w:t>3,4</w:t>
            </w:r>
            <w:r w:rsidR="009D0510">
              <w:rPr>
                <w:rFonts w:eastAsia="Times New Roman"/>
                <w:szCs w:val="16"/>
              </w:rPr>
              <w:t>0</w:t>
            </w:r>
            <w:r w:rsidR="00583C3B" w:rsidRPr="00583C3B">
              <w:rPr>
                <w:rFonts w:eastAsia="Times New Roman"/>
                <w:szCs w:val="16"/>
              </w:rPr>
              <w:t>%</w:t>
            </w:r>
          </w:p>
        </w:tc>
      </w:tr>
      <w:tr w:rsidR="001C6FBD" w:rsidRPr="00583C3B" w14:paraId="29B56A46" w14:textId="77777777" w:rsidTr="00383C7E">
        <w:trPr>
          <w:trHeight w:val="315"/>
        </w:trPr>
        <w:tc>
          <w:tcPr>
            <w:tcW w:w="915" w:type="pct"/>
            <w:vMerge w:val="restart"/>
            <w:tcBorders>
              <w:top w:val="nil"/>
              <w:left w:val="single" w:sz="8" w:space="0" w:color="000000"/>
              <w:bottom w:val="single" w:sz="8" w:space="0" w:color="000000"/>
              <w:right w:val="single" w:sz="8" w:space="0" w:color="000000"/>
            </w:tcBorders>
            <w:shd w:val="clear" w:color="auto" w:fill="auto"/>
            <w:vAlign w:val="center"/>
            <w:hideMark/>
          </w:tcPr>
          <w:p w14:paraId="7FF0677C" w14:textId="77777777" w:rsidR="001C6FBD" w:rsidRPr="00583C3B" w:rsidRDefault="001C6FBD" w:rsidP="001C6FBD">
            <w:pPr>
              <w:spacing w:after="0" w:line="240" w:lineRule="auto"/>
              <w:ind w:left="0" w:firstLine="0"/>
              <w:jc w:val="left"/>
              <w:rPr>
                <w:rFonts w:eastAsia="Times New Roman"/>
                <w:b/>
                <w:bCs/>
                <w:szCs w:val="16"/>
              </w:rPr>
            </w:pPr>
            <w:r w:rsidRPr="00583C3B">
              <w:rPr>
                <w:rFonts w:eastAsia="Times New Roman"/>
                <w:b/>
                <w:bCs/>
                <w:szCs w:val="16"/>
              </w:rPr>
              <w:t>Scénario défavorable</w:t>
            </w:r>
          </w:p>
        </w:tc>
        <w:tc>
          <w:tcPr>
            <w:tcW w:w="1768" w:type="pct"/>
            <w:tcBorders>
              <w:top w:val="nil"/>
              <w:left w:val="nil"/>
              <w:bottom w:val="single" w:sz="8" w:space="0" w:color="000000"/>
              <w:right w:val="single" w:sz="8" w:space="0" w:color="000000"/>
            </w:tcBorders>
            <w:shd w:val="clear" w:color="auto" w:fill="auto"/>
            <w:vAlign w:val="center"/>
            <w:hideMark/>
          </w:tcPr>
          <w:p w14:paraId="44BEFB9B" w14:textId="77777777" w:rsidR="001C6FBD" w:rsidRPr="00583C3B" w:rsidRDefault="001C6FBD" w:rsidP="001C6FBD">
            <w:pPr>
              <w:spacing w:after="0" w:line="240" w:lineRule="auto"/>
              <w:ind w:left="0" w:firstLine="0"/>
              <w:jc w:val="left"/>
              <w:rPr>
                <w:rFonts w:eastAsia="Times New Roman"/>
                <w:b/>
                <w:bCs/>
                <w:szCs w:val="16"/>
              </w:rPr>
            </w:pPr>
            <w:r w:rsidRPr="00583C3B">
              <w:rPr>
                <w:rFonts w:eastAsia="Times New Roman"/>
                <w:b/>
                <w:bCs/>
                <w:szCs w:val="16"/>
              </w:rPr>
              <w:t>Ce que vous pourriez obtenir après déduction des coûts</w:t>
            </w:r>
          </w:p>
        </w:tc>
        <w:tc>
          <w:tcPr>
            <w:tcW w:w="793" w:type="pct"/>
            <w:tcBorders>
              <w:top w:val="nil"/>
              <w:left w:val="nil"/>
              <w:bottom w:val="single" w:sz="8" w:space="0" w:color="000000"/>
              <w:right w:val="single" w:sz="8" w:space="0" w:color="000000"/>
            </w:tcBorders>
            <w:shd w:val="clear" w:color="auto" w:fill="auto"/>
            <w:vAlign w:val="center"/>
            <w:hideMark/>
          </w:tcPr>
          <w:p w14:paraId="6DC73103" w14:textId="1862E5BE" w:rsidR="001C6FBD" w:rsidRPr="00583C3B" w:rsidRDefault="001C6FBD" w:rsidP="001C6FBD">
            <w:pPr>
              <w:spacing w:after="0" w:line="240" w:lineRule="auto"/>
              <w:ind w:left="0" w:firstLine="0"/>
              <w:jc w:val="center"/>
              <w:rPr>
                <w:rFonts w:eastAsia="Times New Roman"/>
                <w:szCs w:val="16"/>
              </w:rPr>
            </w:pPr>
            <w:r>
              <w:rPr>
                <w:rFonts w:eastAsia="Times New Roman"/>
                <w:szCs w:val="16"/>
              </w:rPr>
              <w:t>10 315</w:t>
            </w:r>
            <w:r w:rsidRPr="00583C3B">
              <w:rPr>
                <w:rFonts w:eastAsia="Times New Roman"/>
                <w:szCs w:val="16"/>
              </w:rPr>
              <w:t>,00 €</w:t>
            </w:r>
          </w:p>
        </w:tc>
        <w:tc>
          <w:tcPr>
            <w:tcW w:w="723" w:type="pct"/>
            <w:tcBorders>
              <w:top w:val="nil"/>
              <w:left w:val="nil"/>
              <w:bottom w:val="single" w:sz="8" w:space="0" w:color="000000"/>
              <w:right w:val="single" w:sz="8" w:space="0" w:color="000000"/>
            </w:tcBorders>
            <w:shd w:val="clear" w:color="auto" w:fill="auto"/>
            <w:vAlign w:val="center"/>
            <w:hideMark/>
          </w:tcPr>
          <w:p w14:paraId="0DB039C7" w14:textId="7A0F0AFB" w:rsidR="001C6FBD" w:rsidRPr="00583C3B" w:rsidRDefault="008A4714" w:rsidP="001C6FBD">
            <w:pPr>
              <w:spacing w:after="0" w:line="240" w:lineRule="auto"/>
              <w:ind w:left="0" w:firstLine="0"/>
              <w:jc w:val="center"/>
              <w:rPr>
                <w:rFonts w:eastAsia="Times New Roman"/>
                <w:szCs w:val="16"/>
              </w:rPr>
            </w:pPr>
            <w:r>
              <w:rPr>
                <w:rFonts w:eastAsia="Times New Roman"/>
                <w:szCs w:val="16"/>
              </w:rPr>
              <w:t>10 807,5</w:t>
            </w:r>
            <w:r w:rsidRPr="00583C3B">
              <w:rPr>
                <w:rFonts w:eastAsia="Times New Roman"/>
                <w:szCs w:val="16"/>
              </w:rPr>
              <w:t>0 €</w:t>
            </w:r>
          </w:p>
        </w:tc>
        <w:tc>
          <w:tcPr>
            <w:tcW w:w="801" w:type="pct"/>
            <w:tcBorders>
              <w:top w:val="nil"/>
              <w:left w:val="nil"/>
              <w:bottom w:val="single" w:sz="8" w:space="0" w:color="000000"/>
              <w:right w:val="single" w:sz="8" w:space="0" w:color="000000"/>
            </w:tcBorders>
            <w:shd w:val="clear" w:color="auto" w:fill="auto"/>
            <w:vAlign w:val="center"/>
            <w:hideMark/>
          </w:tcPr>
          <w:p w14:paraId="3CA53A2B" w14:textId="1C1D7FC0" w:rsidR="001C6FBD" w:rsidRPr="00583C3B" w:rsidRDefault="001C6FBD" w:rsidP="001C6FBD">
            <w:pPr>
              <w:spacing w:after="0" w:line="240" w:lineRule="auto"/>
              <w:ind w:left="0" w:firstLine="0"/>
              <w:jc w:val="center"/>
              <w:rPr>
                <w:rFonts w:eastAsia="Times New Roman"/>
                <w:szCs w:val="16"/>
              </w:rPr>
            </w:pPr>
            <w:r>
              <w:rPr>
                <w:rFonts w:eastAsia="Times New Roman"/>
                <w:szCs w:val="16"/>
              </w:rPr>
              <w:t>11 700</w:t>
            </w:r>
            <w:r w:rsidRPr="00583C3B">
              <w:rPr>
                <w:rFonts w:eastAsia="Times New Roman"/>
                <w:szCs w:val="16"/>
              </w:rPr>
              <w:t>,00 €</w:t>
            </w:r>
          </w:p>
        </w:tc>
      </w:tr>
      <w:tr w:rsidR="001C6FBD" w:rsidRPr="00583C3B" w14:paraId="67A3632E" w14:textId="77777777" w:rsidTr="00383C7E">
        <w:trPr>
          <w:trHeight w:val="315"/>
        </w:trPr>
        <w:tc>
          <w:tcPr>
            <w:tcW w:w="915" w:type="pct"/>
            <w:vMerge/>
            <w:tcBorders>
              <w:top w:val="nil"/>
              <w:left w:val="single" w:sz="8" w:space="0" w:color="000000"/>
              <w:bottom w:val="single" w:sz="8" w:space="0" w:color="000000"/>
              <w:right w:val="single" w:sz="8" w:space="0" w:color="000000"/>
            </w:tcBorders>
            <w:vAlign w:val="center"/>
            <w:hideMark/>
          </w:tcPr>
          <w:p w14:paraId="2FBAD36D" w14:textId="77777777" w:rsidR="001C6FBD" w:rsidRPr="00583C3B" w:rsidRDefault="001C6FBD" w:rsidP="001C6FBD">
            <w:pPr>
              <w:spacing w:after="0" w:line="240" w:lineRule="auto"/>
              <w:ind w:left="0" w:firstLine="0"/>
              <w:jc w:val="left"/>
              <w:rPr>
                <w:rFonts w:eastAsia="Times New Roman"/>
                <w:b/>
                <w:bCs/>
                <w:szCs w:val="16"/>
              </w:rPr>
            </w:pPr>
          </w:p>
        </w:tc>
        <w:tc>
          <w:tcPr>
            <w:tcW w:w="1768" w:type="pct"/>
            <w:tcBorders>
              <w:top w:val="nil"/>
              <w:left w:val="nil"/>
              <w:bottom w:val="single" w:sz="8" w:space="0" w:color="000000"/>
              <w:right w:val="single" w:sz="8" w:space="0" w:color="000000"/>
            </w:tcBorders>
            <w:shd w:val="clear" w:color="auto" w:fill="auto"/>
            <w:vAlign w:val="center"/>
            <w:hideMark/>
          </w:tcPr>
          <w:p w14:paraId="2D4DC7D4" w14:textId="77777777" w:rsidR="001C6FBD" w:rsidRPr="00583C3B" w:rsidRDefault="001C6FBD" w:rsidP="001C6FBD">
            <w:pPr>
              <w:spacing w:after="0" w:line="240" w:lineRule="auto"/>
              <w:ind w:left="0" w:firstLine="0"/>
              <w:jc w:val="left"/>
              <w:rPr>
                <w:rFonts w:eastAsia="Times New Roman"/>
                <w:szCs w:val="16"/>
              </w:rPr>
            </w:pPr>
            <w:r w:rsidRPr="00583C3B">
              <w:rPr>
                <w:rFonts w:eastAsia="Times New Roman"/>
                <w:szCs w:val="16"/>
              </w:rPr>
              <w:t>Rendement annuel moyen</w:t>
            </w:r>
          </w:p>
        </w:tc>
        <w:tc>
          <w:tcPr>
            <w:tcW w:w="793" w:type="pct"/>
            <w:tcBorders>
              <w:top w:val="nil"/>
              <w:left w:val="nil"/>
              <w:bottom w:val="single" w:sz="8" w:space="0" w:color="000000"/>
              <w:right w:val="single" w:sz="8" w:space="0" w:color="000000"/>
            </w:tcBorders>
            <w:shd w:val="clear" w:color="auto" w:fill="auto"/>
            <w:vAlign w:val="center"/>
            <w:hideMark/>
          </w:tcPr>
          <w:p w14:paraId="1BF7D195" w14:textId="3B309871" w:rsidR="001C6FBD" w:rsidRPr="00583C3B" w:rsidRDefault="001C6FBD" w:rsidP="001C6FBD">
            <w:pPr>
              <w:spacing w:after="0" w:line="240" w:lineRule="auto"/>
              <w:ind w:left="0" w:firstLine="0"/>
              <w:jc w:val="center"/>
              <w:rPr>
                <w:rFonts w:eastAsia="Times New Roman"/>
                <w:szCs w:val="16"/>
              </w:rPr>
            </w:pPr>
            <w:r>
              <w:rPr>
                <w:rFonts w:eastAsia="Times New Roman"/>
                <w:szCs w:val="16"/>
              </w:rPr>
              <w:t>3,15</w:t>
            </w:r>
            <w:r w:rsidRPr="00583C3B">
              <w:rPr>
                <w:rFonts w:eastAsia="Times New Roman"/>
                <w:szCs w:val="16"/>
              </w:rPr>
              <w:t>%</w:t>
            </w:r>
          </w:p>
        </w:tc>
        <w:tc>
          <w:tcPr>
            <w:tcW w:w="723" w:type="pct"/>
            <w:tcBorders>
              <w:top w:val="nil"/>
              <w:left w:val="nil"/>
              <w:bottom w:val="single" w:sz="8" w:space="0" w:color="000000"/>
              <w:right w:val="single" w:sz="8" w:space="0" w:color="000000"/>
            </w:tcBorders>
            <w:shd w:val="clear" w:color="auto" w:fill="auto"/>
            <w:vAlign w:val="center"/>
            <w:hideMark/>
          </w:tcPr>
          <w:p w14:paraId="0D2FF223" w14:textId="59E20212" w:rsidR="001C6FBD" w:rsidRPr="00583C3B" w:rsidRDefault="001C6FBD" w:rsidP="008A4714">
            <w:pPr>
              <w:spacing w:after="0" w:line="240" w:lineRule="auto"/>
              <w:ind w:left="0" w:firstLine="0"/>
              <w:jc w:val="center"/>
              <w:rPr>
                <w:rFonts w:eastAsia="Times New Roman"/>
                <w:szCs w:val="16"/>
              </w:rPr>
            </w:pPr>
            <w:r>
              <w:rPr>
                <w:rFonts w:eastAsia="Times New Roman"/>
                <w:szCs w:val="16"/>
              </w:rPr>
              <w:t>3,2</w:t>
            </w:r>
            <w:r w:rsidR="008A4714">
              <w:rPr>
                <w:rFonts w:eastAsia="Times New Roman"/>
                <w:szCs w:val="16"/>
              </w:rPr>
              <w:t>3</w:t>
            </w:r>
            <w:r w:rsidRPr="00583C3B">
              <w:rPr>
                <w:rFonts w:eastAsia="Times New Roman"/>
                <w:szCs w:val="16"/>
              </w:rPr>
              <w:t>%</w:t>
            </w:r>
          </w:p>
        </w:tc>
        <w:tc>
          <w:tcPr>
            <w:tcW w:w="801" w:type="pct"/>
            <w:tcBorders>
              <w:top w:val="nil"/>
              <w:left w:val="nil"/>
              <w:bottom w:val="single" w:sz="8" w:space="0" w:color="000000"/>
              <w:right w:val="single" w:sz="8" w:space="0" w:color="000000"/>
            </w:tcBorders>
            <w:shd w:val="clear" w:color="auto" w:fill="auto"/>
            <w:vAlign w:val="center"/>
            <w:hideMark/>
          </w:tcPr>
          <w:p w14:paraId="0368D441" w14:textId="124F94B8" w:rsidR="001C6FBD" w:rsidRPr="00583C3B" w:rsidRDefault="001C6FBD" w:rsidP="001C6FBD">
            <w:pPr>
              <w:spacing w:after="0" w:line="240" w:lineRule="auto"/>
              <w:ind w:left="0" w:firstLine="0"/>
              <w:jc w:val="center"/>
              <w:rPr>
                <w:rFonts w:eastAsia="Times New Roman"/>
                <w:szCs w:val="16"/>
              </w:rPr>
            </w:pPr>
            <w:r>
              <w:rPr>
                <w:rFonts w:eastAsia="Times New Roman"/>
                <w:szCs w:val="16"/>
              </w:rPr>
              <w:t>3,40</w:t>
            </w:r>
            <w:r w:rsidRPr="00583C3B">
              <w:rPr>
                <w:rFonts w:eastAsia="Times New Roman"/>
                <w:szCs w:val="16"/>
              </w:rPr>
              <w:t>%</w:t>
            </w:r>
          </w:p>
        </w:tc>
      </w:tr>
      <w:tr w:rsidR="001C6FBD" w:rsidRPr="00583C3B" w14:paraId="18F0BF03" w14:textId="77777777" w:rsidTr="00383C7E">
        <w:trPr>
          <w:trHeight w:val="315"/>
        </w:trPr>
        <w:tc>
          <w:tcPr>
            <w:tcW w:w="915" w:type="pct"/>
            <w:vMerge w:val="restart"/>
            <w:tcBorders>
              <w:top w:val="nil"/>
              <w:left w:val="single" w:sz="8" w:space="0" w:color="000000"/>
              <w:bottom w:val="single" w:sz="8" w:space="0" w:color="000000"/>
              <w:right w:val="single" w:sz="8" w:space="0" w:color="000000"/>
            </w:tcBorders>
            <w:shd w:val="clear" w:color="auto" w:fill="auto"/>
            <w:vAlign w:val="center"/>
            <w:hideMark/>
          </w:tcPr>
          <w:p w14:paraId="0220C3F1" w14:textId="77777777" w:rsidR="001C6FBD" w:rsidRPr="00583C3B" w:rsidRDefault="001C6FBD" w:rsidP="001C6FBD">
            <w:pPr>
              <w:spacing w:after="0" w:line="240" w:lineRule="auto"/>
              <w:ind w:left="0" w:firstLine="0"/>
              <w:jc w:val="left"/>
              <w:rPr>
                <w:rFonts w:eastAsia="Times New Roman"/>
                <w:b/>
                <w:bCs/>
                <w:szCs w:val="16"/>
              </w:rPr>
            </w:pPr>
            <w:r w:rsidRPr="00583C3B">
              <w:rPr>
                <w:rFonts w:eastAsia="Times New Roman"/>
                <w:b/>
                <w:bCs/>
                <w:szCs w:val="16"/>
              </w:rPr>
              <w:t>Scénario intermédiaire</w:t>
            </w:r>
          </w:p>
        </w:tc>
        <w:tc>
          <w:tcPr>
            <w:tcW w:w="1768" w:type="pct"/>
            <w:tcBorders>
              <w:top w:val="nil"/>
              <w:left w:val="nil"/>
              <w:bottom w:val="single" w:sz="8" w:space="0" w:color="000000"/>
              <w:right w:val="single" w:sz="8" w:space="0" w:color="000000"/>
            </w:tcBorders>
            <w:shd w:val="clear" w:color="auto" w:fill="auto"/>
            <w:vAlign w:val="center"/>
            <w:hideMark/>
          </w:tcPr>
          <w:p w14:paraId="3E099B10" w14:textId="77777777" w:rsidR="001C6FBD" w:rsidRPr="00583C3B" w:rsidRDefault="001C6FBD" w:rsidP="001C6FBD">
            <w:pPr>
              <w:spacing w:after="0" w:line="240" w:lineRule="auto"/>
              <w:ind w:left="0" w:firstLine="0"/>
              <w:jc w:val="left"/>
              <w:rPr>
                <w:rFonts w:eastAsia="Times New Roman"/>
                <w:b/>
                <w:bCs/>
                <w:szCs w:val="16"/>
              </w:rPr>
            </w:pPr>
            <w:r w:rsidRPr="00583C3B">
              <w:rPr>
                <w:rFonts w:eastAsia="Times New Roman"/>
                <w:b/>
                <w:bCs/>
                <w:szCs w:val="16"/>
              </w:rPr>
              <w:t>Ce que vous pourriez obtenir après déduction des coûts</w:t>
            </w:r>
          </w:p>
        </w:tc>
        <w:tc>
          <w:tcPr>
            <w:tcW w:w="793" w:type="pct"/>
            <w:tcBorders>
              <w:top w:val="nil"/>
              <w:left w:val="nil"/>
              <w:bottom w:val="single" w:sz="8" w:space="0" w:color="000000"/>
              <w:right w:val="single" w:sz="8" w:space="0" w:color="000000"/>
            </w:tcBorders>
            <w:shd w:val="clear" w:color="auto" w:fill="auto"/>
            <w:vAlign w:val="center"/>
            <w:hideMark/>
          </w:tcPr>
          <w:p w14:paraId="118E9C98" w14:textId="02DD3AEF" w:rsidR="001C6FBD" w:rsidRPr="00583C3B" w:rsidRDefault="001C6FBD" w:rsidP="001C6FBD">
            <w:pPr>
              <w:spacing w:after="0" w:line="240" w:lineRule="auto"/>
              <w:ind w:left="0" w:firstLine="0"/>
              <w:jc w:val="center"/>
              <w:rPr>
                <w:rFonts w:eastAsia="Times New Roman"/>
                <w:szCs w:val="16"/>
              </w:rPr>
            </w:pPr>
            <w:r>
              <w:rPr>
                <w:rFonts w:eastAsia="Times New Roman"/>
                <w:szCs w:val="16"/>
              </w:rPr>
              <w:t>10 315</w:t>
            </w:r>
            <w:r w:rsidRPr="00583C3B">
              <w:rPr>
                <w:rFonts w:eastAsia="Times New Roman"/>
                <w:szCs w:val="16"/>
              </w:rPr>
              <w:t>,00 €</w:t>
            </w:r>
          </w:p>
        </w:tc>
        <w:tc>
          <w:tcPr>
            <w:tcW w:w="723" w:type="pct"/>
            <w:tcBorders>
              <w:top w:val="nil"/>
              <w:left w:val="nil"/>
              <w:bottom w:val="single" w:sz="8" w:space="0" w:color="000000"/>
              <w:right w:val="single" w:sz="8" w:space="0" w:color="000000"/>
            </w:tcBorders>
            <w:shd w:val="clear" w:color="auto" w:fill="auto"/>
            <w:vAlign w:val="center"/>
            <w:hideMark/>
          </w:tcPr>
          <w:p w14:paraId="271A2D4A" w14:textId="647F3BFC" w:rsidR="001C6FBD" w:rsidRPr="00583C3B" w:rsidRDefault="008A4714" w:rsidP="001C6FBD">
            <w:pPr>
              <w:spacing w:after="0" w:line="240" w:lineRule="auto"/>
              <w:ind w:left="0" w:firstLine="0"/>
              <w:jc w:val="center"/>
              <w:rPr>
                <w:rFonts w:eastAsia="Times New Roman"/>
                <w:szCs w:val="16"/>
              </w:rPr>
            </w:pPr>
            <w:r>
              <w:rPr>
                <w:rFonts w:eastAsia="Times New Roman"/>
                <w:szCs w:val="16"/>
              </w:rPr>
              <w:t>10 807,5</w:t>
            </w:r>
            <w:r w:rsidRPr="00583C3B">
              <w:rPr>
                <w:rFonts w:eastAsia="Times New Roman"/>
                <w:szCs w:val="16"/>
              </w:rPr>
              <w:t>0 €</w:t>
            </w:r>
          </w:p>
        </w:tc>
        <w:tc>
          <w:tcPr>
            <w:tcW w:w="801" w:type="pct"/>
            <w:tcBorders>
              <w:top w:val="nil"/>
              <w:left w:val="nil"/>
              <w:bottom w:val="single" w:sz="8" w:space="0" w:color="000000"/>
              <w:right w:val="single" w:sz="8" w:space="0" w:color="000000"/>
            </w:tcBorders>
            <w:shd w:val="clear" w:color="auto" w:fill="auto"/>
            <w:vAlign w:val="center"/>
            <w:hideMark/>
          </w:tcPr>
          <w:p w14:paraId="324840F5" w14:textId="0F24FB3D" w:rsidR="001C6FBD" w:rsidRPr="00583C3B" w:rsidRDefault="001C6FBD" w:rsidP="001C6FBD">
            <w:pPr>
              <w:spacing w:after="0" w:line="240" w:lineRule="auto"/>
              <w:ind w:left="0" w:firstLine="0"/>
              <w:jc w:val="center"/>
              <w:rPr>
                <w:rFonts w:eastAsia="Times New Roman"/>
                <w:szCs w:val="16"/>
              </w:rPr>
            </w:pPr>
            <w:r>
              <w:rPr>
                <w:rFonts w:eastAsia="Times New Roman"/>
                <w:szCs w:val="16"/>
              </w:rPr>
              <w:t>11 700</w:t>
            </w:r>
            <w:r w:rsidRPr="00583C3B">
              <w:rPr>
                <w:rFonts w:eastAsia="Times New Roman"/>
                <w:szCs w:val="16"/>
              </w:rPr>
              <w:t>,00 €</w:t>
            </w:r>
          </w:p>
        </w:tc>
      </w:tr>
      <w:tr w:rsidR="001C6FBD" w:rsidRPr="00583C3B" w14:paraId="77F44893" w14:textId="77777777" w:rsidTr="00383C7E">
        <w:trPr>
          <w:trHeight w:val="315"/>
        </w:trPr>
        <w:tc>
          <w:tcPr>
            <w:tcW w:w="915" w:type="pct"/>
            <w:vMerge/>
            <w:tcBorders>
              <w:top w:val="nil"/>
              <w:left w:val="single" w:sz="8" w:space="0" w:color="000000"/>
              <w:bottom w:val="single" w:sz="8" w:space="0" w:color="000000"/>
              <w:right w:val="single" w:sz="8" w:space="0" w:color="000000"/>
            </w:tcBorders>
            <w:vAlign w:val="center"/>
            <w:hideMark/>
          </w:tcPr>
          <w:p w14:paraId="66DC9EEB" w14:textId="77777777" w:rsidR="001C6FBD" w:rsidRPr="00583C3B" w:rsidRDefault="001C6FBD" w:rsidP="001C6FBD">
            <w:pPr>
              <w:spacing w:after="0" w:line="240" w:lineRule="auto"/>
              <w:ind w:left="0" w:firstLine="0"/>
              <w:jc w:val="left"/>
              <w:rPr>
                <w:rFonts w:eastAsia="Times New Roman"/>
                <w:b/>
                <w:bCs/>
                <w:szCs w:val="16"/>
              </w:rPr>
            </w:pPr>
          </w:p>
        </w:tc>
        <w:tc>
          <w:tcPr>
            <w:tcW w:w="1768" w:type="pct"/>
            <w:tcBorders>
              <w:top w:val="nil"/>
              <w:left w:val="nil"/>
              <w:bottom w:val="single" w:sz="8" w:space="0" w:color="000000"/>
              <w:right w:val="single" w:sz="8" w:space="0" w:color="000000"/>
            </w:tcBorders>
            <w:shd w:val="clear" w:color="auto" w:fill="auto"/>
            <w:vAlign w:val="center"/>
            <w:hideMark/>
          </w:tcPr>
          <w:p w14:paraId="38C98C7E" w14:textId="77777777" w:rsidR="001C6FBD" w:rsidRPr="00583C3B" w:rsidRDefault="001C6FBD" w:rsidP="001C6FBD">
            <w:pPr>
              <w:spacing w:after="0" w:line="240" w:lineRule="auto"/>
              <w:ind w:left="0" w:firstLine="0"/>
              <w:jc w:val="left"/>
              <w:rPr>
                <w:rFonts w:eastAsia="Times New Roman"/>
                <w:szCs w:val="16"/>
              </w:rPr>
            </w:pPr>
            <w:r w:rsidRPr="00583C3B">
              <w:rPr>
                <w:rFonts w:eastAsia="Times New Roman"/>
                <w:szCs w:val="16"/>
              </w:rPr>
              <w:t>Rendement annuel moyen</w:t>
            </w:r>
          </w:p>
        </w:tc>
        <w:tc>
          <w:tcPr>
            <w:tcW w:w="793" w:type="pct"/>
            <w:tcBorders>
              <w:top w:val="nil"/>
              <w:left w:val="nil"/>
              <w:bottom w:val="single" w:sz="8" w:space="0" w:color="000000"/>
              <w:right w:val="single" w:sz="8" w:space="0" w:color="000000"/>
            </w:tcBorders>
            <w:shd w:val="clear" w:color="auto" w:fill="auto"/>
            <w:vAlign w:val="center"/>
            <w:hideMark/>
          </w:tcPr>
          <w:p w14:paraId="271F7F90" w14:textId="27BADCDA" w:rsidR="001C6FBD" w:rsidRPr="00583C3B" w:rsidRDefault="001C6FBD" w:rsidP="001C6FBD">
            <w:pPr>
              <w:spacing w:after="0" w:line="240" w:lineRule="auto"/>
              <w:ind w:left="0" w:firstLine="0"/>
              <w:jc w:val="center"/>
              <w:rPr>
                <w:rFonts w:eastAsia="Times New Roman"/>
                <w:szCs w:val="16"/>
              </w:rPr>
            </w:pPr>
            <w:r>
              <w:rPr>
                <w:rFonts w:eastAsia="Times New Roman"/>
                <w:szCs w:val="16"/>
              </w:rPr>
              <w:t>3,15</w:t>
            </w:r>
            <w:r w:rsidRPr="00583C3B">
              <w:rPr>
                <w:rFonts w:eastAsia="Times New Roman"/>
                <w:szCs w:val="16"/>
              </w:rPr>
              <w:t>%</w:t>
            </w:r>
          </w:p>
        </w:tc>
        <w:tc>
          <w:tcPr>
            <w:tcW w:w="723" w:type="pct"/>
            <w:tcBorders>
              <w:top w:val="nil"/>
              <w:left w:val="nil"/>
              <w:bottom w:val="single" w:sz="8" w:space="0" w:color="000000"/>
              <w:right w:val="single" w:sz="8" w:space="0" w:color="000000"/>
            </w:tcBorders>
            <w:shd w:val="clear" w:color="auto" w:fill="auto"/>
            <w:vAlign w:val="center"/>
            <w:hideMark/>
          </w:tcPr>
          <w:p w14:paraId="7E6D7D38" w14:textId="2A9C273B" w:rsidR="001C6FBD" w:rsidRPr="00583C3B" w:rsidRDefault="001C6FBD" w:rsidP="008A4714">
            <w:pPr>
              <w:spacing w:after="0" w:line="240" w:lineRule="auto"/>
              <w:ind w:left="0" w:firstLine="0"/>
              <w:jc w:val="center"/>
              <w:rPr>
                <w:rFonts w:eastAsia="Times New Roman"/>
                <w:szCs w:val="16"/>
              </w:rPr>
            </w:pPr>
            <w:r>
              <w:rPr>
                <w:rFonts w:eastAsia="Times New Roman"/>
                <w:szCs w:val="16"/>
              </w:rPr>
              <w:t>3,2</w:t>
            </w:r>
            <w:r w:rsidR="008A4714">
              <w:rPr>
                <w:rFonts w:eastAsia="Times New Roman"/>
                <w:szCs w:val="16"/>
              </w:rPr>
              <w:t>3</w:t>
            </w:r>
            <w:r w:rsidRPr="00583C3B">
              <w:rPr>
                <w:rFonts w:eastAsia="Times New Roman"/>
                <w:szCs w:val="16"/>
              </w:rPr>
              <w:t>%</w:t>
            </w:r>
          </w:p>
        </w:tc>
        <w:tc>
          <w:tcPr>
            <w:tcW w:w="801" w:type="pct"/>
            <w:tcBorders>
              <w:top w:val="nil"/>
              <w:left w:val="nil"/>
              <w:bottom w:val="single" w:sz="8" w:space="0" w:color="000000"/>
              <w:right w:val="single" w:sz="8" w:space="0" w:color="000000"/>
            </w:tcBorders>
            <w:shd w:val="clear" w:color="auto" w:fill="auto"/>
            <w:vAlign w:val="center"/>
            <w:hideMark/>
          </w:tcPr>
          <w:p w14:paraId="4969B93E" w14:textId="6DCF364E" w:rsidR="001C6FBD" w:rsidRPr="00583C3B" w:rsidRDefault="001C6FBD" w:rsidP="001C6FBD">
            <w:pPr>
              <w:spacing w:after="0" w:line="240" w:lineRule="auto"/>
              <w:ind w:left="0" w:firstLine="0"/>
              <w:jc w:val="center"/>
              <w:rPr>
                <w:rFonts w:eastAsia="Times New Roman"/>
                <w:szCs w:val="16"/>
              </w:rPr>
            </w:pPr>
            <w:r>
              <w:rPr>
                <w:rFonts w:eastAsia="Times New Roman"/>
                <w:szCs w:val="16"/>
              </w:rPr>
              <w:t>3,40</w:t>
            </w:r>
            <w:r w:rsidRPr="00583C3B">
              <w:rPr>
                <w:rFonts w:eastAsia="Times New Roman"/>
                <w:szCs w:val="16"/>
              </w:rPr>
              <w:t>%</w:t>
            </w:r>
          </w:p>
        </w:tc>
      </w:tr>
      <w:tr w:rsidR="001C6FBD" w:rsidRPr="00583C3B" w14:paraId="53022EAC" w14:textId="77777777" w:rsidTr="00383C7E">
        <w:trPr>
          <w:trHeight w:val="315"/>
        </w:trPr>
        <w:tc>
          <w:tcPr>
            <w:tcW w:w="915" w:type="pct"/>
            <w:vMerge w:val="restart"/>
            <w:tcBorders>
              <w:top w:val="nil"/>
              <w:left w:val="single" w:sz="8" w:space="0" w:color="000000"/>
              <w:bottom w:val="single" w:sz="8" w:space="0" w:color="000000"/>
              <w:right w:val="single" w:sz="8" w:space="0" w:color="000000"/>
            </w:tcBorders>
            <w:shd w:val="clear" w:color="auto" w:fill="auto"/>
            <w:vAlign w:val="center"/>
            <w:hideMark/>
          </w:tcPr>
          <w:p w14:paraId="7191336C" w14:textId="77777777" w:rsidR="001C6FBD" w:rsidRPr="00583C3B" w:rsidRDefault="001C6FBD" w:rsidP="001C6FBD">
            <w:pPr>
              <w:spacing w:after="0" w:line="240" w:lineRule="auto"/>
              <w:ind w:left="0" w:firstLine="0"/>
              <w:jc w:val="left"/>
              <w:rPr>
                <w:rFonts w:eastAsia="Times New Roman"/>
                <w:b/>
                <w:bCs/>
                <w:szCs w:val="16"/>
              </w:rPr>
            </w:pPr>
            <w:r w:rsidRPr="00583C3B">
              <w:rPr>
                <w:rFonts w:eastAsia="Times New Roman"/>
                <w:b/>
                <w:bCs/>
                <w:szCs w:val="16"/>
              </w:rPr>
              <w:t>Scénario favorable</w:t>
            </w:r>
          </w:p>
        </w:tc>
        <w:tc>
          <w:tcPr>
            <w:tcW w:w="1768" w:type="pct"/>
            <w:tcBorders>
              <w:top w:val="nil"/>
              <w:left w:val="nil"/>
              <w:bottom w:val="single" w:sz="8" w:space="0" w:color="000000"/>
              <w:right w:val="single" w:sz="8" w:space="0" w:color="000000"/>
            </w:tcBorders>
            <w:shd w:val="clear" w:color="auto" w:fill="auto"/>
            <w:vAlign w:val="center"/>
            <w:hideMark/>
          </w:tcPr>
          <w:p w14:paraId="6A6EB888" w14:textId="77777777" w:rsidR="001C6FBD" w:rsidRPr="00583C3B" w:rsidRDefault="001C6FBD" w:rsidP="001C6FBD">
            <w:pPr>
              <w:spacing w:after="0" w:line="240" w:lineRule="auto"/>
              <w:ind w:left="0" w:firstLine="0"/>
              <w:jc w:val="left"/>
              <w:rPr>
                <w:rFonts w:eastAsia="Times New Roman"/>
                <w:b/>
                <w:bCs/>
                <w:szCs w:val="16"/>
              </w:rPr>
            </w:pPr>
            <w:r w:rsidRPr="00583C3B">
              <w:rPr>
                <w:rFonts w:eastAsia="Times New Roman"/>
                <w:b/>
                <w:bCs/>
                <w:szCs w:val="16"/>
              </w:rPr>
              <w:t>Ce que vous pourriez obtenir après déduction des coûts</w:t>
            </w:r>
          </w:p>
        </w:tc>
        <w:tc>
          <w:tcPr>
            <w:tcW w:w="793" w:type="pct"/>
            <w:tcBorders>
              <w:top w:val="nil"/>
              <w:left w:val="nil"/>
              <w:bottom w:val="single" w:sz="8" w:space="0" w:color="000000"/>
              <w:right w:val="single" w:sz="8" w:space="0" w:color="000000"/>
            </w:tcBorders>
            <w:shd w:val="clear" w:color="auto" w:fill="auto"/>
            <w:vAlign w:val="center"/>
            <w:hideMark/>
          </w:tcPr>
          <w:p w14:paraId="34AA34D0" w14:textId="1567C852" w:rsidR="001C6FBD" w:rsidRPr="00583C3B" w:rsidRDefault="001C6FBD" w:rsidP="001C6FBD">
            <w:pPr>
              <w:spacing w:after="0" w:line="240" w:lineRule="auto"/>
              <w:ind w:left="0" w:firstLine="0"/>
              <w:jc w:val="center"/>
              <w:rPr>
                <w:rFonts w:eastAsia="Times New Roman"/>
                <w:szCs w:val="16"/>
              </w:rPr>
            </w:pPr>
            <w:r>
              <w:rPr>
                <w:rFonts w:eastAsia="Times New Roman"/>
                <w:szCs w:val="16"/>
              </w:rPr>
              <w:t>10 315</w:t>
            </w:r>
            <w:r w:rsidRPr="00583C3B">
              <w:rPr>
                <w:rFonts w:eastAsia="Times New Roman"/>
                <w:szCs w:val="16"/>
              </w:rPr>
              <w:t>,00 €</w:t>
            </w:r>
          </w:p>
        </w:tc>
        <w:tc>
          <w:tcPr>
            <w:tcW w:w="723" w:type="pct"/>
            <w:tcBorders>
              <w:top w:val="nil"/>
              <w:left w:val="nil"/>
              <w:bottom w:val="single" w:sz="8" w:space="0" w:color="000000"/>
              <w:right w:val="single" w:sz="8" w:space="0" w:color="000000"/>
            </w:tcBorders>
            <w:shd w:val="clear" w:color="auto" w:fill="auto"/>
            <w:vAlign w:val="center"/>
            <w:hideMark/>
          </w:tcPr>
          <w:p w14:paraId="00B8EFA0" w14:textId="5EECF958" w:rsidR="001C6FBD" w:rsidRPr="00583C3B" w:rsidRDefault="008A4714" w:rsidP="001C6FBD">
            <w:pPr>
              <w:spacing w:after="0" w:line="240" w:lineRule="auto"/>
              <w:ind w:left="0" w:firstLine="0"/>
              <w:jc w:val="center"/>
              <w:rPr>
                <w:rFonts w:eastAsia="Times New Roman"/>
                <w:szCs w:val="16"/>
              </w:rPr>
            </w:pPr>
            <w:r>
              <w:rPr>
                <w:rFonts w:eastAsia="Times New Roman"/>
                <w:szCs w:val="16"/>
              </w:rPr>
              <w:t>10 807,5</w:t>
            </w:r>
            <w:r w:rsidRPr="00583C3B">
              <w:rPr>
                <w:rFonts w:eastAsia="Times New Roman"/>
                <w:szCs w:val="16"/>
              </w:rPr>
              <w:t>0 €</w:t>
            </w:r>
          </w:p>
        </w:tc>
        <w:tc>
          <w:tcPr>
            <w:tcW w:w="801" w:type="pct"/>
            <w:tcBorders>
              <w:top w:val="nil"/>
              <w:left w:val="nil"/>
              <w:bottom w:val="single" w:sz="8" w:space="0" w:color="000000"/>
              <w:right w:val="single" w:sz="8" w:space="0" w:color="000000"/>
            </w:tcBorders>
            <w:shd w:val="clear" w:color="auto" w:fill="auto"/>
            <w:vAlign w:val="center"/>
            <w:hideMark/>
          </w:tcPr>
          <w:p w14:paraId="51CD7B5B" w14:textId="7A9BEC9E" w:rsidR="001C6FBD" w:rsidRPr="00583C3B" w:rsidRDefault="001C6FBD" w:rsidP="001C6FBD">
            <w:pPr>
              <w:spacing w:after="0" w:line="240" w:lineRule="auto"/>
              <w:ind w:left="0" w:firstLine="0"/>
              <w:jc w:val="center"/>
              <w:rPr>
                <w:rFonts w:eastAsia="Times New Roman"/>
                <w:szCs w:val="16"/>
              </w:rPr>
            </w:pPr>
            <w:r>
              <w:rPr>
                <w:rFonts w:eastAsia="Times New Roman"/>
                <w:szCs w:val="16"/>
              </w:rPr>
              <w:t>11 700</w:t>
            </w:r>
            <w:r w:rsidRPr="00583C3B">
              <w:rPr>
                <w:rFonts w:eastAsia="Times New Roman"/>
                <w:szCs w:val="16"/>
              </w:rPr>
              <w:t>,00 €</w:t>
            </w:r>
          </w:p>
        </w:tc>
      </w:tr>
      <w:tr w:rsidR="001C6FBD" w:rsidRPr="00583C3B" w14:paraId="3050027F" w14:textId="77777777" w:rsidTr="00383C7E">
        <w:trPr>
          <w:trHeight w:val="315"/>
        </w:trPr>
        <w:tc>
          <w:tcPr>
            <w:tcW w:w="915" w:type="pct"/>
            <w:vMerge/>
            <w:tcBorders>
              <w:top w:val="nil"/>
              <w:left w:val="single" w:sz="8" w:space="0" w:color="000000"/>
              <w:bottom w:val="single" w:sz="8" w:space="0" w:color="000000"/>
              <w:right w:val="single" w:sz="8" w:space="0" w:color="000000"/>
            </w:tcBorders>
            <w:vAlign w:val="center"/>
            <w:hideMark/>
          </w:tcPr>
          <w:p w14:paraId="15C54EE9" w14:textId="77777777" w:rsidR="001C6FBD" w:rsidRPr="00583C3B" w:rsidRDefault="001C6FBD" w:rsidP="001C6FBD">
            <w:pPr>
              <w:spacing w:after="0" w:line="240" w:lineRule="auto"/>
              <w:ind w:left="0" w:firstLine="0"/>
              <w:jc w:val="left"/>
              <w:rPr>
                <w:rFonts w:eastAsia="Times New Roman"/>
                <w:b/>
                <w:bCs/>
                <w:szCs w:val="16"/>
              </w:rPr>
            </w:pPr>
          </w:p>
        </w:tc>
        <w:tc>
          <w:tcPr>
            <w:tcW w:w="1768" w:type="pct"/>
            <w:tcBorders>
              <w:top w:val="nil"/>
              <w:left w:val="nil"/>
              <w:bottom w:val="single" w:sz="8" w:space="0" w:color="000000"/>
              <w:right w:val="single" w:sz="8" w:space="0" w:color="000000"/>
            </w:tcBorders>
            <w:shd w:val="clear" w:color="auto" w:fill="auto"/>
            <w:vAlign w:val="center"/>
            <w:hideMark/>
          </w:tcPr>
          <w:p w14:paraId="4D70ECA0" w14:textId="77777777" w:rsidR="001C6FBD" w:rsidRPr="00583C3B" w:rsidRDefault="001C6FBD" w:rsidP="001C6FBD">
            <w:pPr>
              <w:spacing w:after="0" w:line="240" w:lineRule="auto"/>
              <w:ind w:left="0" w:firstLine="0"/>
              <w:jc w:val="left"/>
              <w:rPr>
                <w:rFonts w:eastAsia="Times New Roman"/>
                <w:szCs w:val="16"/>
              </w:rPr>
            </w:pPr>
            <w:r w:rsidRPr="00583C3B">
              <w:rPr>
                <w:rFonts w:eastAsia="Times New Roman"/>
                <w:szCs w:val="16"/>
              </w:rPr>
              <w:t>Rendement annuel moyen</w:t>
            </w:r>
          </w:p>
        </w:tc>
        <w:tc>
          <w:tcPr>
            <w:tcW w:w="793" w:type="pct"/>
            <w:tcBorders>
              <w:top w:val="nil"/>
              <w:left w:val="nil"/>
              <w:bottom w:val="single" w:sz="8" w:space="0" w:color="000000"/>
              <w:right w:val="single" w:sz="8" w:space="0" w:color="000000"/>
            </w:tcBorders>
            <w:shd w:val="clear" w:color="auto" w:fill="auto"/>
            <w:vAlign w:val="center"/>
            <w:hideMark/>
          </w:tcPr>
          <w:p w14:paraId="0032A7DF" w14:textId="5C8584DE" w:rsidR="001C6FBD" w:rsidRPr="00583C3B" w:rsidRDefault="001C6FBD" w:rsidP="001C6FBD">
            <w:pPr>
              <w:spacing w:after="0" w:line="240" w:lineRule="auto"/>
              <w:ind w:left="0" w:firstLine="0"/>
              <w:jc w:val="center"/>
              <w:rPr>
                <w:rFonts w:eastAsia="Times New Roman"/>
                <w:szCs w:val="16"/>
              </w:rPr>
            </w:pPr>
            <w:r>
              <w:rPr>
                <w:rFonts w:eastAsia="Times New Roman"/>
                <w:szCs w:val="16"/>
              </w:rPr>
              <w:t>3,15</w:t>
            </w:r>
            <w:r w:rsidRPr="00583C3B">
              <w:rPr>
                <w:rFonts w:eastAsia="Times New Roman"/>
                <w:szCs w:val="16"/>
              </w:rPr>
              <w:t>%</w:t>
            </w:r>
          </w:p>
        </w:tc>
        <w:tc>
          <w:tcPr>
            <w:tcW w:w="723" w:type="pct"/>
            <w:tcBorders>
              <w:top w:val="nil"/>
              <w:left w:val="nil"/>
              <w:bottom w:val="single" w:sz="8" w:space="0" w:color="000000"/>
              <w:right w:val="single" w:sz="8" w:space="0" w:color="000000"/>
            </w:tcBorders>
            <w:shd w:val="clear" w:color="auto" w:fill="auto"/>
            <w:vAlign w:val="center"/>
            <w:hideMark/>
          </w:tcPr>
          <w:p w14:paraId="325EBF26" w14:textId="7E4B7621" w:rsidR="001C6FBD" w:rsidRPr="00583C3B" w:rsidRDefault="001C6FBD" w:rsidP="008A4714">
            <w:pPr>
              <w:spacing w:after="0" w:line="240" w:lineRule="auto"/>
              <w:ind w:left="0" w:firstLine="0"/>
              <w:jc w:val="center"/>
              <w:rPr>
                <w:rFonts w:eastAsia="Times New Roman"/>
                <w:szCs w:val="16"/>
              </w:rPr>
            </w:pPr>
            <w:r>
              <w:rPr>
                <w:rFonts w:eastAsia="Times New Roman"/>
                <w:szCs w:val="16"/>
              </w:rPr>
              <w:t>3,2</w:t>
            </w:r>
            <w:r w:rsidR="008A4714">
              <w:rPr>
                <w:rFonts w:eastAsia="Times New Roman"/>
                <w:szCs w:val="16"/>
              </w:rPr>
              <w:t>3</w:t>
            </w:r>
            <w:r w:rsidRPr="00583C3B">
              <w:rPr>
                <w:rFonts w:eastAsia="Times New Roman"/>
                <w:szCs w:val="16"/>
              </w:rPr>
              <w:t>%</w:t>
            </w:r>
          </w:p>
        </w:tc>
        <w:tc>
          <w:tcPr>
            <w:tcW w:w="801" w:type="pct"/>
            <w:tcBorders>
              <w:top w:val="nil"/>
              <w:left w:val="nil"/>
              <w:bottom w:val="single" w:sz="8" w:space="0" w:color="000000"/>
              <w:right w:val="single" w:sz="8" w:space="0" w:color="000000"/>
            </w:tcBorders>
            <w:shd w:val="clear" w:color="auto" w:fill="auto"/>
            <w:vAlign w:val="center"/>
            <w:hideMark/>
          </w:tcPr>
          <w:p w14:paraId="77D7E3ED" w14:textId="625CC291" w:rsidR="001C6FBD" w:rsidRPr="00583C3B" w:rsidRDefault="001C6FBD" w:rsidP="001C6FBD">
            <w:pPr>
              <w:spacing w:after="0" w:line="240" w:lineRule="auto"/>
              <w:ind w:left="0" w:firstLine="0"/>
              <w:jc w:val="center"/>
              <w:rPr>
                <w:rFonts w:eastAsia="Times New Roman"/>
                <w:szCs w:val="16"/>
              </w:rPr>
            </w:pPr>
            <w:r>
              <w:rPr>
                <w:rFonts w:eastAsia="Times New Roman"/>
                <w:szCs w:val="16"/>
              </w:rPr>
              <w:t>3,40</w:t>
            </w:r>
            <w:r w:rsidRPr="00583C3B">
              <w:rPr>
                <w:rFonts w:eastAsia="Times New Roman"/>
                <w:szCs w:val="16"/>
              </w:rPr>
              <w:t>%</w:t>
            </w:r>
          </w:p>
        </w:tc>
      </w:tr>
    </w:tbl>
    <w:p w14:paraId="42471A80" w14:textId="77777777" w:rsidR="00A55086" w:rsidRDefault="00A55086" w:rsidP="009F4E10">
      <w:pPr>
        <w:ind w:left="5" w:right="12"/>
        <w:rPr>
          <w:b/>
        </w:rPr>
      </w:pPr>
    </w:p>
    <w:p w14:paraId="2CB6E94A" w14:textId="2CA87B7E" w:rsidR="007742EE" w:rsidRDefault="004F09E1" w:rsidP="001C0D5D">
      <w:pPr>
        <w:ind w:left="0" w:right="12" w:firstLine="0"/>
      </w:pPr>
      <w:r>
        <w:t xml:space="preserve">Le tableau ci-dessus montre les sommes que vous pourriez obtenir sur </w:t>
      </w:r>
      <w:r w:rsidR="007E23E9">
        <w:t>60 moi</w:t>
      </w:r>
      <w:r w:rsidR="009D0510">
        <w:t>s</w:t>
      </w:r>
      <w:r>
        <w:t>, en fonction de différents scénarios, en supposant que vous investissiez 10.000€.</w:t>
      </w:r>
      <w:r>
        <w:rPr>
          <w:rFonts w:ascii="Calibri" w:eastAsia="Calibri" w:hAnsi="Calibri" w:cs="Calibri"/>
          <w:sz w:val="22"/>
        </w:rPr>
        <w:t xml:space="preserve"> </w:t>
      </w:r>
    </w:p>
    <w:p w14:paraId="00208F0F" w14:textId="52A7AA5D" w:rsidR="007742EE" w:rsidRDefault="004F09E1" w:rsidP="00746DFF">
      <w:pPr>
        <w:ind w:left="0" w:right="12" w:firstLine="0"/>
      </w:pPr>
      <w:r>
        <w:lastRenderedPageBreak/>
        <w:t>Les différents scénarios montrent comment votre investissement pourrait se comporter. Vous pouvez les comparer ave</w:t>
      </w:r>
      <w:r w:rsidR="008A4714">
        <w:t>0.05</w:t>
      </w:r>
      <w:r>
        <w:t xml:space="preserve">c les scénarios d’autres options d'investissement. </w:t>
      </w:r>
      <w:r>
        <w:rPr>
          <w:rFonts w:ascii="Calibri" w:eastAsia="Calibri" w:hAnsi="Calibri" w:cs="Calibri"/>
          <w:sz w:val="22"/>
        </w:rPr>
        <w:t xml:space="preserve"> </w:t>
      </w:r>
    </w:p>
    <w:p w14:paraId="7C1CD763" w14:textId="77777777" w:rsidR="007742EE" w:rsidRDefault="004F09E1">
      <w:pPr>
        <w:spacing w:after="61"/>
        <w:ind w:left="5" w:right="12"/>
      </w:pPr>
      <w:r>
        <w:t>Les scénarios présentés sont une estimation de performances futures à partir de données du passé relatives aux variations de la valeur de cet investissement. Ils ne constituent pas un indicateur exact. Ce que vous obtiendrez dépendra de l’évolution du marché et de la durée pendant laquelle vous conserverez l’option d'investissement.</w:t>
      </w:r>
      <w:r>
        <w:rPr>
          <w:rFonts w:ascii="Calibri" w:eastAsia="Calibri" w:hAnsi="Calibri" w:cs="Calibri"/>
          <w:sz w:val="22"/>
        </w:rPr>
        <w:t xml:space="preserve"> </w:t>
      </w:r>
    </w:p>
    <w:p w14:paraId="797FDFDB" w14:textId="77777777" w:rsidR="007742EE" w:rsidRDefault="004F09E1">
      <w:pPr>
        <w:spacing w:after="68"/>
        <w:ind w:left="5" w:right="12"/>
      </w:pPr>
      <w:r>
        <w:t xml:space="preserve">Le scénario de tensions montre ce que vous pourriez obtenir dans des situations de marché extrêmes, et ne tient pas compte du cas où nous ne pourrions pas vous payer. </w:t>
      </w:r>
      <w:r>
        <w:rPr>
          <w:rFonts w:ascii="Calibri" w:eastAsia="Calibri" w:hAnsi="Calibri" w:cs="Calibri"/>
          <w:sz w:val="22"/>
        </w:rPr>
        <w:t xml:space="preserve"> </w:t>
      </w:r>
    </w:p>
    <w:p w14:paraId="39BBDC8E" w14:textId="0056498B" w:rsidR="007742EE" w:rsidRDefault="004F09E1" w:rsidP="00086553">
      <w:pPr>
        <w:spacing w:after="197"/>
        <w:ind w:left="5" w:right="12"/>
      </w:pPr>
      <w:r>
        <w:t xml:space="preserve">Les chiffres indiqués comprennent tous les coûts de l'option d'investissement elle-même, mais pas nécessairement tous les frais dus à votre conseiller ou distributeur. Ces chiffres ne tiennent pas compte de votre situation fiscale personnelle, qui peut également influer sur les montants que vous recevrez.  </w:t>
      </w:r>
    </w:p>
    <w:p w14:paraId="5C69B295" w14:textId="7F16A1B1" w:rsidR="00A45E8F" w:rsidRDefault="00A45E8F" w:rsidP="00A45E8F">
      <w:pPr>
        <w:spacing w:after="30" w:line="259" w:lineRule="auto"/>
        <w:ind w:left="26" w:right="1386"/>
        <w:jc w:val="left"/>
        <w:rPr>
          <w:b/>
        </w:rPr>
      </w:pPr>
      <w:r w:rsidRPr="00A45E8F">
        <w:rPr>
          <w:b/>
          <w:sz w:val="18"/>
        </w:rPr>
        <w:t xml:space="preserve">Que se passe-t-il si </w:t>
      </w:r>
      <w:r w:rsidR="00490E58">
        <w:rPr>
          <w:b/>
          <w:sz w:val="18"/>
        </w:rPr>
        <w:t>BPCE Life</w:t>
      </w:r>
      <w:r w:rsidRPr="00A45E8F">
        <w:rPr>
          <w:b/>
          <w:sz w:val="18"/>
        </w:rPr>
        <w:t xml:space="preserve"> n’est pas en mesure d’effectuer les versements </w:t>
      </w:r>
      <w:r w:rsidRPr="0010023D">
        <w:rPr>
          <w:b/>
          <w:sz w:val="18"/>
        </w:rPr>
        <w:t>?</w:t>
      </w:r>
      <w:r>
        <w:rPr>
          <w:rFonts w:ascii="Calibri" w:eastAsia="Calibri" w:hAnsi="Calibri" w:cs="Calibri"/>
          <w:noProof/>
          <w:sz w:val="22"/>
        </w:rPr>
        <mc:AlternateContent>
          <mc:Choice Requires="wpg">
            <w:drawing>
              <wp:anchor distT="0" distB="0" distL="114300" distR="114300" simplePos="0" relativeHeight="251663360" behindDoc="0" locked="0" layoutInCell="1" allowOverlap="1" wp14:anchorId="17109F9E" wp14:editId="73C84105">
                <wp:simplePos x="0" y="0"/>
                <wp:positionH relativeFrom="column">
                  <wp:posOffset>6350</wp:posOffset>
                </wp:positionH>
                <wp:positionV relativeFrom="paragraph">
                  <wp:posOffset>166370</wp:posOffset>
                </wp:positionV>
                <wp:extent cx="6866890" cy="5080"/>
                <wp:effectExtent l="0" t="0" r="0" b="0"/>
                <wp:wrapSquare wrapText="bothSides"/>
                <wp:docPr id="4" name="Group 9794"/>
                <wp:cNvGraphicFramePr/>
                <a:graphic xmlns:a="http://schemas.openxmlformats.org/drawingml/2006/main">
                  <a:graphicData uri="http://schemas.microsoft.com/office/word/2010/wordprocessingGroup">
                    <wpg:wgp>
                      <wpg:cNvGrpSpPr/>
                      <wpg:grpSpPr>
                        <a:xfrm>
                          <a:off x="0" y="0"/>
                          <a:ext cx="6866890" cy="5080"/>
                          <a:chOff x="0" y="0"/>
                          <a:chExt cx="6895846" cy="6096"/>
                        </a:xfrm>
                      </wpg:grpSpPr>
                      <wps:wsp>
                        <wps:cNvPr id="5" name="Shape 10348"/>
                        <wps:cNvSpPr/>
                        <wps:spPr>
                          <a:xfrm>
                            <a:off x="0" y="0"/>
                            <a:ext cx="6895846" cy="9144"/>
                          </a:xfrm>
                          <a:custGeom>
                            <a:avLst/>
                            <a:gdLst/>
                            <a:ahLst/>
                            <a:cxnLst/>
                            <a:rect l="0" t="0" r="0" b="0"/>
                            <a:pathLst>
                              <a:path w="6895846" h="9144">
                                <a:moveTo>
                                  <a:pt x="0" y="0"/>
                                </a:moveTo>
                                <a:lnTo>
                                  <a:pt x="6895846" y="0"/>
                                </a:lnTo>
                                <a:lnTo>
                                  <a:pt x="6895846" y="9144"/>
                                </a:lnTo>
                                <a:lnTo>
                                  <a:pt x="0" y="9144"/>
                                </a:lnTo>
                                <a:lnTo>
                                  <a:pt x="0" y="0"/>
                                </a:lnTo>
                              </a:path>
                            </a:pathLst>
                          </a:custGeom>
                          <a:solidFill>
                            <a:srgbClr val="000000"/>
                          </a:solidFill>
                          <a:ln w="0" cap="flat">
                            <a:noFill/>
                            <a:miter lim="127000"/>
                          </a:ln>
                          <a:effectLst/>
                        </wps:spPr>
                        <wps:bodyPr/>
                      </wps:wsp>
                    </wpg:wg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3146F46A" id="Group 9794" o:spid="_x0000_s1026" style="position:absolute;margin-left:.5pt;margin-top:13.1pt;width:540.7pt;height:.4pt;z-index:251663360" coordsize="6895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">
                <v:shape id="Shape 10348" o:spid="_x0000_s1027" style="position:absolute;width:68958;height:91;visibility:visible;mso-wrap-style:square;v-text-anchor:top" coordsize="689584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" path="m,l6895846,r,9144l,9144,,e" fillcolor="black" stroked="f" strokeweight="0">
                  <v:stroke miterlimit="83231f" joinstyle="miter"/>
                  <v:path arrowok="t" textboxrect="0,0,6895846,9144"/>
                </v:shape>
                <w10:wrap type="square"/>
              </v:group>
            </w:pict>
          </mc:Fallback>
        </mc:AlternateContent>
      </w:r>
    </w:p>
    <w:p w14:paraId="5DF4E561" w14:textId="77777777" w:rsidR="00A45E8F" w:rsidRPr="00A45E8F" w:rsidRDefault="00A45E8F" w:rsidP="00A45E8F">
      <w:pPr>
        <w:spacing w:after="30" w:line="259" w:lineRule="auto"/>
        <w:ind w:left="26" w:right="1386"/>
        <w:jc w:val="left"/>
      </w:pPr>
    </w:p>
    <w:p w14:paraId="7B10BA89" w14:textId="2179E338" w:rsidR="007742EE" w:rsidRDefault="004F09E1" w:rsidP="00086553">
      <w:pPr>
        <w:spacing w:after="197"/>
        <w:ind w:left="5" w:right="12"/>
      </w:pPr>
      <w:r>
        <w:t xml:space="preserve">Votre investissement est exposé au risque de défaut de </w:t>
      </w:r>
      <w:r w:rsidR="00490E58">
        <w:t>BPCE Life</w:t>
      </w:r>
      <w:r>
        <w:t xml:space="preserve"> ainsi que pour les liquidités au risque de défaut de la banque dépositaire des actifs sous-jacents à votre contrat d’assurance. Ces pertes ne sont pas couvertes par un système d’indemnisation. Cependant, la règlementation luxembourgeoise offre un système de protection des investisseurs caractérisé par les facteurs suivants. Les actifs liés aux contrats d'assurance-vie sont déposés auprès d’une banque dépositaire préalablement approuvée par le Commissariat aux Assurances. L’ensemble des actifs représentatifs déposés fait l’objet d’un patrimoine distinct géré séparément des actifs propres de l’assureur. En cas de défaut de ce dernier, les investisseurs disposent collectivement d’une créance privilégiée de premier rang sur ce patrimoine séparé qui leur permettra de récupérer en priorité les créances relatives à l’exécution de leurs contrats d’assurance.  </w:t>
      </w:r>
    </w:p>
    <w:p w14:paraId="7A9170E6" w14:textId="4472A785" w:rsidR="00A45E8F" w:rsidRDefault="00A45E8F" w:rsidP="00A45E8F">
      <w:pPr>
        <w:spacing w:after="30" w:line="259" w:lineRule="auto"/>
        <w:ind w:left="26" w:right="1386"/>
        <w:jc w:val="left"/>
        <w:rPr>
          <w:b/>
        </w:rPr>
      </w:pPr>
      <w:r w:rsidRPr="00A45E8F">
        <w:rPr>
          <w:b/>
          <w:sz w:val="18"/>
        </w:rPr>
        <w:t xml:space="preserve">Que va me coûter cet investissement </w:t>
      </w:r>
      <w:r w:rsidRPr="0010023D">
        <w:rPr>
          <w:b/>
          <w:sz w:val="18"/>
        </w:rPr>
        <w:t>?</w:t>
      </w:r>
      <w:r>
        <w:rPr>
          <w:rFonts w:ascii="Calibri" w:eastAsia="Calibri" w:hAnsi="Calibri" w:cs="Calibri"/>
          <w:noProof/>
          <w:sz w:val="22"/>
        </w:rPr>
        <mc:AlternateContent>
          <mc:Choice Requires="wpg">
            <w:drawing>
              <wp:anchor distT="0" distB="0" distL="114300" distR="114300" simplePos="0" relativeHeight="251665408" behindDoc="0" locked="0" layoutInCell="1" allowOverlap="1" wp14:anchorId="38A528CF" wp14:editId="331B4D6A">
                <wp:simplePos x="0" y="0"/>
                <wp:positionH relativeFrom="column">
                  <wp:posOffset>6350</wp:posOffset>
                </wp:positionH>
                <wp:positionV relativeFrom="paragraph">
                  <wp:posOffset>166370</wp:posOffset>
                </wp:positionV>
                <wp:extent cx="6866890" cy="5080"/>
                <wp:effectExtent l="0" t="0" r="0" b="0"/>
                <wp:wrapSquare wrapText="bothSides"/>
                <wp:docPr id="6" name="Group 9794"/>
                <wp:cNvGraphicFramePr/>
                <a:graphic xmlns:a="http://schemas.openxmlformats.org/drawingml/2006/main">
                  <a:graphicData uri="http://schemas.microsoft.com/office/word/2010/wordprocessingGroup">
                    <wpg:wgp>
                      <wpg:cNvGrpSpPr/>
                      <wpg:grpSpPr>
                        <a:xfrm>
                          <a:off x="0" y="0"/>
                          <a:ext cx="6866890" cy="5080"/>
                          <a:chOff x="0" y="0"/>
                          <a:chExt cx="6895846" cy="6096"/>
                        </a:xfrm>
                      </wpg:grpSpPr>
                      <wps:wsp>
                        <wps:cNvPr id="8" name="Shape 10348"/>
                        <wps:cNvSpPr/>
                        <wps:spPr>
                          <a:xfrm>
                            <a:off x="0" y="0"/>
                            <a:ext cx="6895846" cy="9144"/>
                          </a:xfrm>
                          <a:custGeom>
                            <a:avLst/>
                            <a:gdLst/>
                            <a:ahLst/>
                            <a:cxnLst/>
                            <a:rect l="0" t="0" r="0" b="0"/>
                            <a:pathLst>
                              <a:path w="6895846" h="9144">
                                <a:moveTo>
                                  <a:pt x="0" y="0"/>
                                </a:moveTo>
                                <a:lnTo>
                                  <a:pt x="6895846" y="0"/>
                                </a:lnTo>
                                <a:lnTo>
                                  <a:pt x="6895846" y="9144"/>
                                </a:lnTo>
                                <a:lnTo>
                                  <a:pt x="0" y="9144"/>
                                </a:lnTo>
                                <a:lnTo>
                                  <a:pt x="0" y="0"/>
                                </a:lnTo>
                              </a:path>
                            </a:pathLst>
                          </a:custGeom>
                          <a:solidFill>
                            <a:srgbClr val="000000"/>
                          </a:solidFill>
                          <a:ln w="0" cap="flat">
                            <a:noFill/>
                            <a:miter lim="127000"/>
                          </a:ln>
                          <a:effectLst/>
                        </wps:spPr>
                        <wps:bodyPr/>
                      </wps:wsp>
                    </wpg:wg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65349626" id="Group 9794" o:spid="_x0000_s1026" style="position:absolute;margin-left:.5pt;margin-top:13.1pt;width:540.7pt;height:.4pt;z-index:251665408" coordsize="6895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">
                <v:shape id="Shape 10348" o:spid="_x0000_s1027" style="position:absolute;width:68958;height:91;visibility:visible;mso-wrap-style:square;v-text-anchor:top" coordsize="689584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" path="m,l6895846,r,9144l,9144,,e" fillcolor="black" stroked="f" strokeweight="0">
                  <v:stroke miterlimit="83231f" joinstyle="miter"/>
                  <v:path arrowok="t" textboxrect="0,0,6895846,9144"/>
                </v:shape>
                <w10:wrap type="square"/>
              </v:group>
            </w:pict>
          </mc:Fallback>
        </mc:AlternateContent>
      </w:r>
    </w:p>
    <w:p w14:paraId="4F29C0A5" w14:textId="77777777" w:rsidR="00A45E8F" w:rsidRDefault="00A45E8F">
      <w:pPr>
        <w:spacing w:after="49"/>
        <w:ind w:left="5" w:right="12"/>
      </w:pPr>
    </w:p>
    <w:p w14:paraId="28CAF268" w14:textId="7D916DAF" w:rsidR="007742EE" w:rsidRDefault="004F09E1">
      <w:pPr>
        <w:spacing w:after="49"/>
        <w:ind w:left="5" w:right="12"/>
      </w:pPr>
      <w:r>
        <w:t>La réduction du rendement montre l'incidence des coûts totaux que vou</w:t>
      </w:r>
      <w:bookmarkStart w:id="2" w:name="_GoBack"/>
      <w:bookmarkEnd w:id="2"/>
      <w:r>
        <w:t xml:space="preserve">s payez sur le rendement que vous pourriez obtenir de votre investissement. Les coûts totaux incluent les coûts ponctuels, récurrents et accessoires. </w:t>
      </w:r>
      <w:r>
        <w:rPr>
          <w:rFonts w:ascii="Calibri" w:eastAsia="Calibri" w:hAnsi="Calibri" w:cs="Calibri"/>
          <w:sz w:val="22"/>
        </w:rPr>
        <w:t xml:space="preserve"> </w:t>
      </w:r>
    </w:p>
    <w:p w14:paraId="0CC25115" w14:textId="77777777" w:rsidR="007742EE" w:rsidRDefault="004F09E1">
      <w:pPr>
        <w:spacing w:after="84" w:line="216" w:lineRule="auto"/>
        <w:ind w:left="5"/>
        <w:jc w:val="left"/>
      </w:pPr>
      <w:r>
        <w:t xml:space="preserve">Les montants indiqués ici sont les coûts cumulés liés à l'option d'investissement elle-même, pour trois périodes de détention différentes. Ils incluent les pénalités de sortie anticipée potentielles.  Les chiffres présentés supposent que vous investissiez 10.000€. Ces chiffres sont des estimations et peuvent changer à l’avenir.  </w:t>
      </w:r>
      <w:r>
        <w:rPr>
          <w:rFonts w:ascii="Calibri" w:eastAsia="Calibri" w:hAnsi="Calibri" w:cs="Calibri"/>
          <w:sz w:val="22"/>
        </w:rPr>
        <w:t xml:space="preserve"> </w:t>
      </w:r>
    </w:p>
    <w:p w14:paraId="15AD492E" w14:textId="77777777" w:rsidR="007742EE" w:rsidRDefault="004F09E1">
      <w:pPr>
        <w:spacing w:after="67" w:line="259" w:lineRule="auto"/>
        <w:ind w:left="26" w:right="1386"/>
        <w:jc w:val="left"/>
      </w:pPr>
      <w:r>
        <w:rPr>
          <w:b/>
        </w:rPr>
        <w:t xml:space="preserve">Coûts au fil du temps </w:t>
      </w:r>
    </w:p>
    <w:p w14:paraId="33DD262E" w14:textId="02EA4843" w:rsidR="007742EE" w:rsidRDefault="004F09E1">
      <w:pPr>
        <w:ind w:left="5" w:right="12"/>
        <w:rPr>
          <w:rFonts w:ascii="Calibri" w:eastAsia="Calibri" w:hAnsi="Calibri" w:cs="Calibri"/>
          <w:sz w:val="22"/>
        </w:rPr>
      </w:pPr>
      <w:r>
        <w:t xml:space="preserve">Il se peut que la personne qui vous vend cette option d'investissement ou qui vous fournit des conseils à son sujet vous demande de payer des coûts supplémentaires. Si c'est le cas, cette personne vous informera au sujet de ces coûts et vous montrera l'incidence de l'ensemble des coûts sur votre investissement au fil du temps. </w:t>
      </w:r>
      <w:r>
        <w:rPr>
          <w:rFonts w:ascii="Calibri" w:eastAsia="Calibri" w:hAnsi="Calibri" w:cs="Calibri"/>
          <w:sz w:val="22"/>
        </w:rPr>
        <w:t xml:space="preserve"> </w:t>
      </w:r>
    </w:p>
    <w:tbl>
      <w:tblPr>
        <w:tblpPr w:leftFromText="141" w:rightFromText="141" w:vertAnchor="text" w:tblpY="79"/>
        <w:tblW w:w="5000" w:type="pct"/>
        <w:tblCellMar>
          <w:left w:w="70" w:type="dxa"/>
          <w:right w:w="70" w:type="dxa"/>
        </w:tblCellMar>
        <w:tblLook w:val="04A0" w:firstRow="1" w:lastRow="0" w:firstColumn="1" w:lastColumn="0" w:noHBand="0" w:noVBand="1"/>
      </w:tblPr>
      <w:tblGrid>
        <w:gridCol w:w="6373"/>
        <w:gridCol w:w="1556"/>
        <w:gridCol w:w="1276"/>
        <w:gridCol w:w="1589"/>
      </w:tblGrid>
      <w:tr w:rsidR="007E23E9" w:rsidRPr="007E23E9" w14:paraId="51E01F14" w14:textId="77777777" w:rsidTr="00383C7E">
        <w:trPr>
          <w:trHeight w:val="281"/>
        </w:trPr>
        <w:tc>
          <w:tcPr>
            <w:tcW w:w="2952" w:type="pct"/>
            <w:vMerge w:val="restart"/>
            <w:tcBorders>
              <w:top w:val="single" w:sz="8" w:space="0" w:color="000000"/>
              <w:left w:val="single" w:sz="8" w:space="0" w:color="000000"/>
              <w:bottom w:val="single" w:sz="8" w:space="0" w:color="000000"/>
              <w:right w:val="single" w:sz="8" w:space="0" w:color="000000"/>
            </w:tcBorders>
            <w:shd w:val="clear" w:color="auto" w:fill="FF0000"/>
            <w:vAlign w:val="center"/>
            <w:hideMark/>
          </w:tcPr>
          <w:p w14:paraId="0131FA33" w14:textId="77777777" w:rsidR="007E23E9" w:rsidRPr="007E23E9" w:rsidRDefault="007E23E9" w:rsidP="007E23E9">
            <w:pPr>
              <w:spacing w:after="0" w:line="240" w:lineRule="auto"/>
              <w:ind w:left="0" w:firstLine="0"/>
              <w:jc w:val="left"/>
              <w:rPr>
                <w:rFonts w:eastAsia="Times New Roman"/>
                <w:b/>
                <w:bCs/>
                <w:color w:val="FFFFFF"/>
                <w:szCs w:val="16"/>
              </w:rPr>
            </w:pPr>
            <w:r w:rsidRPr="007E23E9">
              <w:rPr>
                <w:rFonts w:eastAsia="Times New Roman"/>
                <w:b/>
                <w:bCs/>
                <w:color w:val="FFFFFF"/>
                <w:szCs w:val="16"/>
              </w:rPr>
              <w:t>Investissement 10.000 €</w:t>
            </w:r>
          </w:p>
        </w:tc>
        <w:tc>
          <w:tcPr>
            <w:tcW w:w="2048" w:type="pct"/>
            <w:gridSpan w:val="3"/>
            <w:tcBorders>
              <w:top w:val="single" w:sz="8" w:space="0" w:color="000000"/>
              <w:left w:val="nil"/>
              <w:bottom w:val="single" w:sz="8" w:space="0" w:color="000000"/>
              <w:right w:val="single" w:sz="8" w:space="0" w:color="000000"/>
            </w:tcBorders>
            <w:shd w:val="clear" w:color="auto" w:fill="FF0000"/>
            <w:vAlign w:val="center"/>
            <w:hideMark/>
          </w:tcPr>
          <w:p w14:paraId="75582714" w14:textId="77777777" w:rsidR="007E23E9" w:rsidRPr="007E23E9" w:rsidRDefault="007E23E9" w:rsidP="007E23E9">
            <w:pPr>
              <w:spacing w:after="0" w:line="240" w:lineRule="auto"/>
              <w:ind w:left="0" w:firstLine="0"/>
              <w:jc w:val="center"/>
              <w:rPr>
                <w:rFonts w:eastAsia="Times New Roman"/>
                <w:b/>
                <w:bCs/>
                <w:color w:val="FFFFFF"/>
                <w:szCs w:val="16"/>
              </w:rPr>
            </w:pPr>
            <w:r w:rsidRPr="007E23E9">
              <w:rPr>
                <w:rFonts w:eastAsia="Times New Roman"/>
                <w:b/>
                <w:bCs/>
                <w:color w:val="FFFFFF"/>
                <w:szCs w:val="16"/>
              </w:rPr>
              <w:t>Si vous sortez après</w:t>
            </w:r>
          </w:p>
        </w:tc>
      </w:tr>
      <w:tr w:rsidR="007E23E9" w:rsidRPr="007E23E9" w14:paraId="254E1284" w14:textId="77777777" w:rsidTr="00493074">
        <w:trPr>
          <w:trHeight w:val="246"/>
        </w:trPr>
        <w:tc>
          <w:tcPr>
            <w:tcW w:w="2952" w:type="pct"/>
            <w:vMerge/>
            <w:tcBorders>
              <w:top w:val="single" w:sz="8" w:space="0" w:color="000000"/>
              <w:left w:val="single" w:sz="8" w:space="0" w:color="000000"/>
              <w:bottom w:val="single" w:sz="8" w:space="0" w:color="000000"/>
              <w:right w:val="single" w:sz="8" w:space="0" w:color="000000"/>
            </w:tcBorders>
            <w:shd w:val="clear" w:color="auto" w:fill="FF0000"/>
            <w:vAlign w:val="center"/>
            <w:hideMark/>
          </w:tcPr>
          <w:p w14:paraId="1E152E8A" w14:textId="77777777" w:rsidR="007E23E9" w:rsidRPr="007E23E9" w:rsidRDefault="007E23E9" w:rsidP="007E23E9">
            <w:pPr>
              <w:spacing w:after="0" w:line="240" w:lineRule="auto"/>
              <w:ind w:left="0" w:firstLine="0"/>
              <w:jc w:val="left"/>
              <w:rPr>
                <w:rFonts w:eastAsia="Times New Roman"/>
                <w:b/>
                <w:bCs/>
                <w:color w:val="FFFFFF"/>
                <w:szCs w:val="16"/>
              </w:rPr>
            </w:pPr>
          </w:p>
        </w:tc>
        <w:tc>
          <w:tcPr>
            <w:tcW w:w="721" w:type="pct"/>
            <w:tcBorders>
              <w:top w:val="nil"/>
              <w:left w:val="nil"/>
              <w:bottom w:val="single" w:sz="8" w:space="0" w:color="000000"/>
              <w:right w:val="single" w:sz="8" w:space="0" w:color="000000"/>
            </w:tcBorders>
            <w:shd w:val="clear" w:color="auto" w:fill="FF0000"/>
            <w:vAlign w:val="center"/>
            <w:hideMark/>
          </w:tcPr>
          <w:p w14:paraId="2DA729AB" w14:textId="77777777" w:rsidR="007E23E9" w:rsidRPr="007E23E9" w:rsidRDefault="007E23E9" w:rsidP="007E23E9">
            <w:pPr>
              <w:spacing w:after="0" w:line="240" w:lineRule="auto"/>
              <w:ind w:left="0" w:firstLine="0"/>
              <w:jc w:val="center"/>
              <w:rPr>
                <w:rFonts w:eastAsia="Times New Roman"/>
                <w:b/>
                <w:bCs/>
                <w:color w:val="FFFFFF"/>
                <w:szCs w:val="16"/>
              </w:rPr>
            </w:pPr>
            <w:r w:rsidRPr="007E23E9">
              <w:rPr>
                <w:rFonts w:eastAsia="Times New Roman"/>
                <w:b/>
                <w:bCs/>
                <w:color w:val="FFFFFF"/>
                <w:szCs w:val="16"/>
              </w:rPr>
              <w:t>12 mois</w:t>
            </w:r>
          </w:p>
        </w:tc>
        <w:tc>
          <w:tcPr>
            <w:tcW w:w="591" w:type="pct"/>
            <w:tcBorders>
              <w:top w:val="nil"/>
              <w:left w:val="nil"/>
              <w:bottom w:val="single" w:sz="8" w:space="0" w:color="000000"/>
              <w:right w:val="single" w:sz="8" w:space="0" w:color="000000"/>
            </w:tcBorders>
            <w:shd w:val="clear" w:color="auto" w:fill="FF0000"/>
            <w:vAlign w:val="center"/>
            <w:hideMark/>
          </w:tcPr>
          <w:p w14:paraId="00F64E2E" w14:textId="34F6CF13" w:rsidR="007E23E9" w:rsidRPr="007E23E9" w:rsidRDefault="007E23E9" w:rsidP="007E23E9">
            <w:pPr>
              <w:spacing w:after="0" w:line="240" w:lineRule="auto"/>
              <w:ind w:left="0" w:firstLine="0"/>
              <w:jc w:val="center"/>
              <w:rPr>
                <w:rFonts w:eastAsia="Times New Roman"/>
                <w:b/>
                <w:bCs/>
                <w:color w:val="FFFFFF"/>
                <w:szCs w:val="16"/>
              </w:rPr>
            </w:pPr>
            <w:r>
              <w:rPr>
                <w:rFonts w:eastAsia="Times New Roman"/>
                <w:b/>
                <w:bCs/>
                <w:color w:val="FFFFFF"/>
                <w:szCs w:val="16"/>
              </w:rPr>
              <w:t>30</w:t>
            </w:r>
            <w:r w:rsidRPr="007E23E9">
              <w:rPr>
                <w:rFonts w:eastAsia="Times New Roman"/>
                <w:b/>
                <w:bCs/>
                <w:color w:val="FFFFFF"/>
                <w:szCs w:val="16"/>
              </w:rPr>
              <w:t xml:space="preserve"> mois</w:t>
            </w:r>
          </w:p>
        </w:tc>
        <w:tc>
          <w:tcPr>
            <w:tcW w:w="737" w:type="pct"/>
            <w:tcBorders>
              <w:top w:val="nil"/>
              <w:left w:val="nil"/>
              <w:bottom w:val="single" w:sz="8" w:space="0" w:color="000000"/>
              <w:right w:val="single" w:sz="8" w:space="0" w:color="000000"/>
            </w:tcBorders>
            <w:shd w:val="clear" w:color="auto" w:fill="FF0000"/>
            <w:vAlign w:val="center"/>
            <w:hideMark/>
          </w:tcPr>
          <w:p w14:paraId="5809CB5B" w14:textId="77777777" w:rsidR="007E23E9" w:rsidRDefault="007E23E9" w:rsidP="007E23E9">
            <w:pPr>
              <w:spacing w:after="0" w:line="240" w:lineRule="auto"/>
              <w:ind w:left="0" w:firstLine="0"/>
              <w:jc w:val="center"/>
              <w:rPr>
                <w:rFonts w:eastAsia="Times New Roman"/>
                <w:b/>
                <w:bCs/>
                <w:color w:val="FFFFFF"/>
                <w:szCs w:val="16"/>
              </w:rPr>
            </w:pPr>
            <w:r>
              <w:rPr>
                <w:rFonts w:eastAsia="Times New Roman"/>
                <w:b/>
                <w:bCs/>
                <w:color w:val="FFFFFF"/>
                <w:szCs w:val="16"/>
              </w:rPr>
              <w:t>60</w:t>
            </w:r>
            <w:r w:rsidRPr="007E23E9">
              <w:rPr>
                <w:rFonts w:eastAsia="Times New Roman"/>
                <w:b/>
                <w:bCs/>
                <w:color w:val="FFFFFF"/>
                <w:szCs w:val="16"/>
              </w:rPr>
              <w:t xml:space="preserve"> mois</w:t>
            </w:r>
          </w:p>
          <w:p w14:paraId="0421F203" w14:textId="0ACB3F20" w:rsidR="00493074" w:rsidRPr="007E23E9" w:rsidRDefault="00493074" w:rsidP="007E23E9">
            <w:pPr>
              <w:spacing w:after="0" w:line="240" w:lineRule="auto"/>
              <w:ind w:left="0" w:firstLine="0"/>
              <w:jc w:val="center"/>
              <w:rPr>
                <w:rFonts w:eastAsia="Times New Roman"/>
                <w:b/>
                <w:bCs/>
                <w:color w:val="FFFFFF"/>
                <w:szCs w:val="16"/>
              </w:rPr>
            </w:pPr>
            <w:r w:rsidRPr="00583C3B">
              <w:rPr>
                <w:rFonts w:eastAsia="Times New Roman"/>
                <w:color w:val="FFFFFF"/>
                <w:sz w:val="12"/>
                <w:szCs w:val="16"/>
              </w:rPr>
              <w:t>(Période de détention</w:t>
            </w:r>
            <w:r>
              <w:rPr>
                <w:rFonts w:eastAsia="Times New Roman"/>
                <w:color w:val="FFFFFF"/>
                <w:sz w:val="12"/>
                <w:szCs w:val="16"/>
              </w:rPr>
              <w:t xml:space="preserve"> r</w:t>
            </w:r>
            <w:r w:rsidRPr="00583C3B">
              <w:rPr>
                <w:rFonts w:eastAsia="Times New Roman"/>
                <w:color w:val="FFFFFF"/>
                <w:sz w:val="12"/>
                <w:szCs w:val="16"/>
              </w:rPr>
              <w:t>ecommandée)</w:t>
            </w:r>
          </w:p>
        </w:tc>
      </w:tr>
      <w:tr w:rsidR="007E23E9" w:rsidRPr="007E23E9" w14:paraId="70488E78" w14:textId="77777777" w:rsidTr="00493074">
        <w:trPr>
          <w:trHeight w:val="246"/>
        </w:trPr>
        <w:tc>
          <w:tcPr>
            <w:tcW w:w="2952" w:type="pct"/>
            <w:tcBorders>
              <w:top w:val="nil"/>
              <w:left w:val="single" w:sz="8" w:space="0" w:color="000000"/>
              <w:bottom w:val="single" w:sz="8" w:space="0" w:color="000000"/>
              <w:right w:val="single" w:sz="8" w:space="0" w:color="000000"/>
            </w:tcBorders>
            <w:shd w:val="clear" w:color="auto" w:fill="auto"/>
            <w:vAlign w:val="center"/>
            <w:hideMark/>
          </w:tcPr>
          <w:p w14:paraId="3F29247B" w14:textId="77777777" w:rsidR="007E23E9" w:rsidRPr="007E23E9" w:rsidRDefault="007E23E9" w:rsidP="007E23E9">
            <w:pPr>
              <w:spacing w:after="0" w:line="240" w:lineRule="auto"/>
              <w:ind w:left="0" w:firstLine="0"/>
              <w:jc w:val="left"/>
              <w:rPr>
                <w:rFonts w:eastAsia="Times New Roman"/>
                <w:b/>
                <w:bCs/>
                <w:szCs w:val="16"/>
              </w:rPr>
            </w:pPr>
            <w:r w:rsidRPr="007E23E9">
              <w:rPr>
                <w:rFonts w:eastAsia="Times New Roman"/>
                <w:b/>
                <w:bCs/>
                <w:szCs w:val="16"/>
              </w:rPr>
              <w:t>Coûts totaux</w:t>
            </w:r>
          </w:p>
        </w:tc>
        <w:tc>
          <w:tcPr>
            <w:tcW w:w="721" w:type="pct"/>
            <w:tcBorders>
              <w:top w:val="nil"/>
              <w:left w:val="nil"/>
              <w:bottom w:val="single" w:sz="8" w:space="0" w:color="000000"/>
              <w:right w:val="single" w:sz="8" w:space="0" w:color="000000"/>
            </w:tcBorders>
            <w:shd w:val="clear" w:color="auto" w:fill="auto"/>
            <w:vAlign w:val="center"/>
            <w:hideMark/>
          </w:tcPr>
          <w:p w14:paraId="28696B06" w14:textId="1A0B9C3E" w:rsidR="007E23E9" w:rsidRPr="007E23E9" w:rsidRDefault="007E23E9" w:rsidP="007E23E9">
            <w:pPr>
              <w:spacing w:after="0" w:line="240" w:lineRule="auto"/>
              <w:ind w:left="0" w:firstLine="0"/>
              <w:jc w:val="right"/>
              <w:rPr>
                <w:rFonts w:eastAsia="Times New Roman"/>
                <w:szCs w:val="16"/>
              </w:rPr>
            </w:pPr>
            <w:r w:rsidRPr="00840914">
              <w:rPr>
                <w:rFonts w:eastAsia="Times New Roman"/>
                <w:color w:val="auto"/>
                <w:szCs w:val="16"/>
              </w:rPr>
              <w:t xml:space="preserve"> </w:t>
            </w:r>
            <w:r w:rsidR="00512A0D">
              <w:rPr>
                <w:rFonts w:eastAsia="Times New Roman"/>
                <w:color w:val="auto"/>
                <w:szCs w:val="16"/>
              </w:rPr>
              <w:t>31,50</w:t>
            </w:r>
            <w:r w:rsidR="00840914" w:rsidRPr="00840914">
              <w:rPr>
                <w:rFonts w:eastAsia="Times New Roman"/>
                <w:color w:val="auto"/>
                <w:szCs w:val="16"/>
              </w:rPr>
              <w:t xml:space="preserve"> </w:t>
            </w:r>
            <w:r w:rsidRPr="00840914">
              <w:rPr>
                <w:rFonts w:eastAsia="Times New Roman"/>
                <w:color w:val="auto"/>
                <w:szCs w:val="16"/>
              </w:rPr>
              <w:t>€</w:t>
            </w:r>
          </w:p>
        </w:tc>
        <w:tc>
          <w:tcPr>
            <w:tcW w:w="591" w:type="pct"/>
            <w:tcBorders>
              <w:top w:val="nil"/>
              <w:left w:val="nil"/>
              <w:bottom w:val="single" w:sz="8" w:space="0" w:color="000000"/>
              <w:right w:val="single" w:sz="8" w:space="0" w:color="000000"/>
            </w:tcBorders>
            <w:shd w:val="clear" w:color="auto" w:fill="auto"/>
            <w:vAlign w:val="center"/>
            <w:hideMark/>
          </w:tcPr>
          <w:p w14:paraId="6F3B895D" w14:textId="3CBFCFA1" w:rsidR="007E23E9" w:rsidRPr="007E23E9" w:rsidRDefault="008A4714" w:rsidP="007E23E9">
            <w:pPr>
              <w:spacing w:after="0" w:line="240" w:lineRule="auto"/>
              <w:ind w:left="0" w:firstLine="0"/>
              <w:jc w:val="right"/>
              <w:rPr>
                <w:rFonts w:eastAsia="Times New Roman"/>
                <w:szCs w:val="16"/>
              </w:rPr>
            </w:pPr>
            <w:r>
              <w:rPr>
                <w:rFonts w:eastAsia="Times New Roman"/>
                <w:color w:val="auto"/>
                <w:szCs w:val="16"/>
              </w:rPr>
              <w:t>8,38</w:t>
            </w:r>
            <w:r w:rsidR="007E23E9" w:rsidRPr="00840914">
              <w:rPr>
                <w:rFonts w:eastAsia="Times New Roman"/>
                <w:color w:val="auto"/>
                <w:szCs w:val="16"/>
              </w:rPr>
              <w:t xml:space="preserve"> €</w:t>
            </w:r>
          </w:p>
        </w:tc>
        <w:tc>
          <w:tcPr>
            <w:tcW w:w="737" w:type="pct"/>
            <w:tcBorders>
              <w:top w:val="nil"/>
              <w:left w:val="nil"/>
              <w:bottom w:val="single" w:sz="8" w:space="0" w:color="000000"/>
              <w:right w:val="single" w:sz="8" w:space="0" w:color="000000"/>
            </w:tcBorders>
            <w:shd w:val="clear" w:color="auto" w:fill="auto"/>
            <w:vAlign w:val="center"/>
            <w:hideMark/>
          </w:tcPr>
          <w:p w14:paraId="5A1199DD" w14:textId="77777777" w:rsidR="007E23E9" w:rsidRPr="007E23E9" w:rsidRDefault="007E23E9" w:rsidP="007E23E9">
            <w:pPr>
              <w:spacing w:after="0" w:line="240" w:lineRule="auto"/>
              <w:ind w:left="0" w:firstLine="0"/>
              <w:jc w:val="right"/>
              <w:rPr>
                <w:rFonts w:eastAsia="Times New Roman"/>
                <w:szCs w:val="16"/>
              </w:rPr>
            </w:pPr>
            <w:r w:rsidRPr="007E23E9">
              <w:rPr>
                <w:rFonts w:eastAsia="Times New Roman"/>
                <w:szCs w:val="16"/>
              </w:rPr>
              <w:t>0 €</w:t>
            </w:r>
          </w:p>
        </w:tc>
      </w:tr>
      <w:tr w:rsidR="007E23E9" w:rsidRPr="007E23E9" w14:paraId="3B1ACFF2" w14:textId="77777777" w:rsidTr="00493074">
        <w:trPr>
          <w:trHeight w:val="246"/>
        </w:trPr>
        <w:tc>
          <w:tcPr>
            <w:tcW w:w="2952" w:type="pct"/>
            <w:tcBorders>
              <w:top w:val="nil"/>
              <w:left w:val="single" w:sz="8" w:space="0" w:color="000000"/>
              <w:bottom w:val="single" w:sz="8" w:space="0" w:color="000000"/>
              <w:right w:val="single" w:sz="8" w:space="0" w:color="000000"/>
            </w:tcBorders>
            <w:shd w:val="clear" w:color="auto" w:fill="auto"/>
            <w:vAlign w:val="center"/>
            <w:hideMark/>
          </w:tcPr>
          <w:p w14:paraId="2A8E93F8" w14:textId="77777777" w:rsidR="007E23E9" w:rsidRPr="007E23E9" w:rsidRDefault="007E23E9" w:rsidP="007E23E9">
            <w:pPr>
              <w:spacing w:after="0" w:line="240" w:lineRule="auto"/>
              <w:ind w:left="0" w:firstLine="0"/>
              <w:jc w:val="left"/>
              <w:rPr>
                <w:rFonts w:eastAsia="Times New Roman"/>
                <w:b/>
                <w:bCs/>
                <w:szCs w:val="16"/>
              </w:rPr>
            </w:pPr>
            <w:r w:rsidRPr="007E23E9">
              <w:rPr>
                <w:rFonts w:eastAsia="Times New Roman"/>
                <w:b/>
                <w:bCs/>
                <w:szCs w:val="16"/>
              </w:rPr>
              <w:t>Réduction du rendement par an</w:t>
            </w:r>
          </w:p>
        </w:tc>
        <w:tc>
          <w:tcPr>
            <w:tcW w:w="721" w:type="pct"/>
            <w:tcBorders>
              <w:top w:val="nil"/>
              <w:left w:val="nil"/>
              <w:bottom w:val="single" w:sz="8" w:space="0" w:color="000000"/>
              <w:right w:val="single" w:sz="8" w:space="0" w:color="000000"/>
            </w:tcBorders>
            <w:shd w:val="clear" w:color="auto" w:fill="auto"/>
            <w:vAlign w:val="center"/>
            <w:hideMark/>
          </w:tcPr>
          <w:p w14:paraId="3ACF6D08" w14:textId="77199BBC" w:rsidR="007E23E9" w:rsidRPr="007E23E9" w:rsidRDefault="005A73D6" w:rsidP="00FF3CD6">
            <w:pPr>
              <w:spacing w:after="0" w:line="240" w:lineRule="auto"/>
              <w:ind w:left="0" w:firstLine="0"/>
              <w:jc w:val="right"/>
              <w:rPr>
                <w:rFonts w:eastAsia="Times New Roman"/>
                <w:szCs w:val="16"/>
              </w:rPr>
            </w:pPr>
            <w:r>
              <w:rPr>
                <w:rFonts w:eastAsia="Times New Roman"/>
                <w:szCs w:val="16"/>
              </w:rPr>
              <w:t>1</w:t>
            </w:r>
            <w:r w:rsidR="00FF3CD6">
              <w:rPr>
                <w:rFonts w:eastAsia="Times New Roman"/>
                <w:szCs w:val="16"/>
              </w:rPr>
              <w:t>0</w:t>
            </w:r>
            <w:r w:rsidR="007E23E9" w:rsidRPr="007E23E9">
              <w:rPr>
                <w:rFonts w:eastAsia="Times New Roman"/>
                <w:szCs w:val="16"/>
              </w:rPr>
              <w:t>%</w:t>
            </w:r>
          </w:p>
        </w:tc>
        <w:tc>
          <w:tcPr>
            <w:tcW w:w="591" w:type="pct"/>
            <w:tcBorders>
              <w:top w:val="nil"/>
              <w:left w:val="nil"/>
              <w:bottom w:val="single" w:sz="8" w:space="0" w:color="000000"/>
              <w:right w:val="single" w:sz="8" w:space="0" w:color="000000"/>
            </w:tcBorders>
            <w:shd w:val="clear" w:color="auto" w:fill="auto"/>
            <w:vAlign w:val="center"/>
            <w:hideMark/>
          </w:tcPr>
          <w:p w14:paraId="4296A0E0" w14:textId="4BA57EA1" w:rsidR="007E23E9" w:rsidRPr="007E23E9" w:rsidRDefault="008A4714" w:rsidP="007E23E9">
            <w:pPr>
              <w:spacing w:after="0" w:line="240" w:lineRule="auto"/>
              <w:ind w:left="0" w:firstLine="0"/>
              <w:jc w:val="right"/>
              <w:rPr>
                <w:rFonts w:eastAsia="Times New Roman"/>
                <w:szCs w:val="16"/>
              </w:rPr>
            </w:pPr>
            <w:r>
              <w:rPr>
                <w:rFonts w:eastAsia="Times New Roman"/>
                <w:szCs w:val="16"/>
              </w:rPr>
              <w:t>1,04</w:t>
            </w:r>
            <w:r w:rsidR="007E23E9" w:rsidRPr="007E23E9">
              <w:rPr>
                <w:rFonts w:eastAsia="Times New Roman"/>
                <w:szCs w:val="16"/>
              </w:rPr>
              <w:t>%</w:t>
            </w:r>
          </w:p>
        </w:tc>
        <w:tc>
          <w:tcPr>
            <w:tcW w:w="737" w:type="pct"/>
            <w:tcBorders>
              <w:top w:val="nil"/>
              <w:left w:val="nil"/>
              <w:bottom w:val="single" w:sz="8" w:space="0" w:color="000000"/>
              <w:right w:val="single" w:sz="8" w:space="0" w:color="000000"/>
            </w:tcBorders>
            <w:shd w:val="clear" w:color="auto" w:fill="auto"/>
            <w:vAlign w:val="center"/>
            <w:hideMark/>
          </w:tcPr>
          <w:p w14:paraId="27A68A77" w14:textId="77777777" w:rsidR="007E23E9" w:rsidRPr="007E23E9" w:rsidRDefault="007E23E9" w:rsidP="007E23E9">
            <w:pPr>
              <w:spacing w:after="0" w:line="240" w:lineRule="auto"/>
              <w:ind w:left="0" w:firstLine="0"/>
              <w:jc w:val="right"/>
              <w:rPr>
                <w:rFonts w:eastAsia="Times New Roman"/>
                <w:szCs w:val="16"/>
              </w:rPr>
            </w:pPr>
            <w:r w:rsidRPr="007E23E9">
              <w:rPr>
                <w:rFonts w:eastAsia="Times New Roman"/>
                <w:szCs w:val="16"/>
              </w:rPr>
              <w:t>0%</w:t>
            </w:r>
          </w:p>
        </w:tc>
      </w:tr>
    </w:tbl>
    <w:p w14:paraId="534BA2EC" w14:textId="48BB68CE" w:rsidR="00606CA7" w:rsidRDefault="00606CA7" w:rsidP="00606CA7">
      <w:pPr>
        <w:spacing w:after="112" w:line="259" w:lineRule="auto"/>
        <w:ind w:left="0" w:right="1386" w:firstLine="0"/>
        <w:jc w:val="left"/>
        <w:rPr>
          <w:b/>
        </w:rPr>
      </w:pPr>
    </w:p>
    <w:p w14:paraId="3E7A7B7B" w14:textId="098BCD32" w:rsidR="007742EE" w:rsidRDefault="004F09E1" w:rsidP="00606CA7">
      <w:pPr>
        <w:spacing w:after="112" w:line="259" w:lineRule="auto"/>
        <w:ind w:left="0" w:right="1386" w:firstLine="0"/>
        <w:jc w:val="left"/>
      </w:pPr>
      <w:r>
        <w:rPr>
          <w:b/>
        </w:rPr>
        <w:t xml:space="preserve">Composition des coûts </w:t>
      </w:r>
    </w:p>
    <w:p w14:paraId="7BDFEA68" w14:textId="77777777" w:rsidR="007742EE" w:rsidRDefault="004F09E1">
      <w:pPr>
        <w:ind w:left="5" w:right="12"/>
      </w:pPr>
      <w:r>
        <w:t xml:space="preserve">Le tableau ci-dessous indique: </w:t>
      </w:r>
      <w:r>
        <w:rPr>
          <w:rFonts w:ascii="Calibri" w:eastAsia="Calibri" w:hAnsi="Calibri" w:cs="Calibri"/>
          <w:sz w:val="22"/>
        </w:rPr>
        <w:t xml:space="preserve"> </w:t>
      </w:r>
    </w:p>
    <w:p w14:paraId="583097FB" w14:textId="77777777" w:rsidR="007742EE" w:rsidRDefault="004F09E1">
      <w:pPr>
        <w:numPr>
          <w:ilvl w:val="0"/>
          <w:numId w:val="1"/>
        </w:numPr>
        <w:ind w:right="12" w:hanging="319"/>
      </w:pPr>
      <w:r>
        <w:t>L’incidence annuelle des différents types de coûts sur le rendement que vous pourriez obtenir de votre investissement à la fin de la période d'investissement recommandée;</w:t>
      </w:r>
      <w:r>
        <w:rPr>
          <w:rFonts w:ascii="Calibri" w:eastAsia="Calibri" w:hAnsi="Calibri" w:cs="Calibri"/>
          <w:sz w:val="22"/>
        </w:rPr>
        <w:t xml:space="preserve"> </w:t>
      </w:r>
    </w:p>
    <w:p w14:paraId="5B43704B" w14:textId="77777777" w:rsidR="007742EE" w:rsidRDefault="004F09E1">
      <w:pPr>
        <w:numPr>
          <w:ilvl w:val="0"/>
          <w:numId w:val="1"/>
        </w:numPr>
        <w:ind w:right="12" w:hanging="319"/>
      </w:pPr>
      <w:r>
        <w:t>La signification des différentes catégories de coûts.</w:t>
      </w:r>
      <w:r>
        <w:rPr>
          <w:rFonts w:ascii="Calibri" w:eastAsia="Calibri" w:hAnsi="Calibri" w:cs="Calibri"/>
          <w:sz w:val="22"/>
        </w:rPr>
        <w:t xml:space="preserve"> </w:t>
      </w:r>
    </w:p>
    <w:p w14:paraId="1C72FEDA" w14:textId="58B07416" w:rsidR="00490E58" w:rsidRDefault="004F09E1" w:rsidP="00490E58">
      <w:pPr>
        <w:ind w:left="5" w:right="12"/>
      </w:pPr>
      <w:r>
        <w:t xml:space="preserve">Les lignes présentant les coûts accessoires, indiquant 0,00%, sont sans objet concernant la présente option d'investissement. </w:t>
      </w:r>
    </w:p>
    <w:p w14:paraId="04625440" w14:textId="77777777" w:rsidR="00606CA7" w:rsidRDefault="00606CA7" w:rsidP="00490E58">
      <w:pPr>
        <w:ind w:left="5" w:right="12"/>
      </w:pPr>
    </w:p>
    <w:tbl>
      <w:tblPr>
        <w:tblpPr w:leftFromText="141" w:rightFromText="141" w:vertAnchor="text" w:horzAnchor="margin" w:tblpY="18"/>
        <w:tblW w:w="5000" w:type="pct"/>
        <w:tblCellMar>
          <w:left w:w="70" w:type="dxa"/>
          <w:right w:w="70" w:type="dxa"/>
        </w:tblCellMar>
        <w:tblLook w:val="04A0" w:firstRow="1" w:lastRow="0" w:firstColumn="1" w:lastColumn="0" w:noHBand="0" w:noVBand="1"/>
      </w:tblPr>
      <w:tblGrid>
        <w:gridCol w:w="1833"/>
        <w:gridCol w:w="3117"/>
        <w:gridCol w:w="708"/>
        <w:gridCol w:w="5136"/>
      </w:tblGrid>
      <w:tr w:rsidR="00606CA7" w:rsidRPr="00AC16F4" w14:paraId="73389908" w14:textId="77777777" w:rsidTr="008C53F6">
        <w:trPr>
          <w:trHeight w:val="196"/>
        </w:trPr>
        <w:tc>
          <w:tcPr>
            <w:tcW w:w="5000" w:type="pct"/>
            <w:gridSpan w:val="4"/>
            <w:tcBorders>
              <w:top w:val="single" w:sz="8" w:space="0" w:color="auto"/>
              <w:left w:val="single" w:sz="8" w:space="0" w:color="auto"/>
              <w:bottom w:val="single" w:sz="8" w:space="0" w:color="auto"/>
              <w:right w:val="single" w:sz="8" w:space="0" w:color="000000"/>
            </w:tcBorders>
            <w:shd w:val="clear" w:color="auto" w:fill="FF0000"/>
            <w:vAlign w:val="center"/>
            <w:hideMark/>
          </w:tcPr>
          <w:p w14:paraId="4DD4AE89" w14:textId="77777777" w:rsidR="00606CA7" w:rsidRPr="00AC16F4" w:rsidRDefault="00606CA7" w:rsidP="00606CA7">
            <w:pPr>
              <w:spacing w:after="0" w:line="240" w:lineRule="auto"/>
              <w:ind w:left="0" w:firstLineChars="100" w:firstLine="160"/>
              <w:jc w:val="left"/>
              <w:rPr>
                <w:rFonts w:eastAsia="Times New Roman"/>
                <w:b/>
                <w:bCs/>
                <w:color w:val="FFFFFF"/>
                <w:szCs w:val="16"/>
              </w:rPr>
            </w:pPr>
            <w:r w:rsidRPr="00AC16F4">
              <w:rPr>
                <w:rFonts w:eastAsia="Times New Roman"/>
                <w:b/>
                <w:bCs/>
                <w:color w:val="FFFFFF"/>
                <w:szCs w:val="16"/>
              </w:rPr>
              <w:t>Ce tableau montre l'incidence sur le rendement par an</w:t>
            </w:r>
          </w:p>
        </w:tc>
      </w:tr>
      <w:tr w:rsidR="00606CA7" w:rsidRPr="00AC16F4" w14:paraId="230227DB" w14:textId="77777777" w:rsidTr="008C53F6">
        <w:trPr>
          <w:trHeight w:val="569"/>
        </w:trPr>
        <w:tc>
          <w:tcPr>
            <w:tcW w:w="849" w:type="pct"/>
            <w:vMerge w:val="restart"/>
            <w:tcBorders>
              <w:top w:val="nil"/>
              <w:left w:val="single" w:sz="8" w:space="0" w:color="000000"/>
              <w:bottom w:val="single" w:sz="8" w:space="0" w:color="000000"/>
              <w:right w:val="single" w:sz="8" w:space="0" w:color="000000"/>
            </w:tcBorders>
            <w:shd w:val="clear" w:color="auto" w:fill="auto"/>
            <w:vAlign w:val="center"/>
            <w:hideMark/>
          </w:tcPr>
          <w:p w14:paraId="5D53AAE3" w14:textId="77777777" w:rsidR="00606CA7" w:rsidRPr="00AC16F4" w:rsidRDefault="00606CA7" w:rsidP="00606CA7">
            <w:pPr>
              <w:spacing w:after="0" w:line="240" w:lineRule="auto"/>
              <w:ind w:left="0" w:firstLineChars="100" w:firstLine="160"/>
              <w:jc w:val="left"/>
              <w:rPr>
                <w:rFonts w:eastAsia="Times New Roman"/>
                <w:b/>
                <w:bCs/>
                <w:szCs w:val="16"/>
              </w:rPr>
            </w:pPr>
            <w:r w:rsidRPr="00AC16F4">
              <w:rPr>
                <w:rFonts w:eastAsia="Times New Roman"/>
                <w:b/>
                <w:bCs/>
                <w:szCs w:val="16"/>
              </w:rPr>
              <w:t>Coûts ponctuels</w:t>
            </w:r>
          </w:p>
        </w:tc>
        <w:tc>
          <w:tcPr>
            <w:tcW w:w="1444" w:type="pct"/>
            <w:tcBorders>
              <w:top w:val="nil"/>
              <w:left w:val="nil"/>
              <w:bottom w:val="single" w:sz="8" w:space="0" w:color="000000"/>
              <w:right w:val="single" w:sz="8" w:space="0" w:color="000000"/>
            </w:tcBorders>
            <w:shd w:val="clear" w:color="auto" w:fill="auto"/>
            <w:vAlign w:val="center"/>
            <w:hideMark/>
          </w:tcPr>
          <w:p w14:paraId="6DCF9E5A" w14:textId="77777777" w:rsidR="00606CA7" w:rsidRPr="00AC16F4" w:rsidRDefault="00606CA7" w:rsidP="00606CA7">
            <w:pPr>
              <w:spacing w:after="0" w:line="240" w:lineRule="auto"/>
              <w:ind w:left="0" w:firstLineChars="100" w:firstLine="160"/>
              <w:jc w:val="left"/>
              <w:rPr>
                <w:rFonts w:eastAsia="Times New Roman"/>
                <w:b/>
                <w:bCs/>
                <w:szCs w:val="16"/>
              </w:rPr>
            </w:pPr>
            <w:r w:rsidRPr="00AC16F4">
              <w:rPr>
                <w:rFonts w:eastAsia="Times New Roman"/>
                <w:b/>
                <w:bCs/>
                <w:szCs w:val="16"/>
              </w:rPr>
              <w:t>Coûts d'entrée</w:t>
            </w:r>
          </w:p>
        </w:tc>
        <w:tc>
          <w:tcPr>
            <w:tcW w:w="328" w:type="pct"/>
            <w:tcBorders>
              <w:top w:val="nil"/>
              <w:left w:val="nil"/>
              <w:bottom w:val="single" w:sz="8" w:space="0" w:color="000000"/>
              <w:right w:val="single" w:sz="8" w:space="0" w:color="000000"/>
            </w:tcBorders>
            <w:shd w:val="clear" w:color="auto" w:fill="auto"/>
            <w:vAlign w:val="center"/>
            <w:hideMark/>
          </w:tcPr>
          <w:p w14:paraId="50FAE55F" w14:textId="77777777" w:rsidR="00606CA7" w:rsidRPr="00AC16F4" w:rsidRDefault="00606CA7" w:rsidP="00606CA7">
            <w:pPr>
              <w:spacing w:after="0" w:line="240" w:lineRule="auto"/>
              <w:ind w:left="0" w:firstLine="0"/>
              <w:jc w:val="center"/>
              <w:rPr>
                <w:rFonts w:eastAsia="Times New Roman"/>
                <w:szCs w:val="16"/>
              </w:rPr>
            </w:pPr>
            <w:r w:rsidRPr="00AC16F4">
              <w:rPr>
                <w:rFonts w:eastAsia="Times New Roman"/>
                <w:szCs w:val="16"/>
              </w:rPr>
              <w:t>0,00%</w:t>
            </w:r>
          </w:p>
        </w:tc>
        <w:tc>
          <w:tcPr>
            <w:tcW w:w="2379" w:type="pct"/>
            <w:tcBorders>
              <w:top w:val="nil"/>
              <w:left w:val="nil"/>
              <w:bottom w:val="single" w:sz="8" w:space="0" w:color="000000"/>
              <w:right w:val="single" w:sz="8" w:space="0" w:color="000000"/>
            </w:tcBorders>
            <w:shd w:val="clear" w:color="auto" w:fill="auto"/>
            <w:vAlign w:val="center"/>
            <w:hideMark/>
          </w:tcPr>
          <w:p w14:paraId="443E3EF5" w14:textId="77777777" w:rsidR="00606CA7" w:rsidRPr="00AC16F4" w:rsidRDefault="00606CA7" w:rsidP="00606CA7">
            <w:pPr>
              <w:spacing w:after="0" w:line="240" w:lineRule="auto"/>
              <w:ind w:left="0" w:firstLineChars="100" w:firstLine="160"/>
              <w:jc w:val="left"/>
              <w:rPr>
                <w:rFonts w:eastAsia="Times New Roman"/>
                <w:szCs w:val="16"/>
              </w:rPr>
            </w:pPr>
            <w:r w:rsidRPr="00AC16F4">
              <w:rPr>
                <w:rFonts w:eastAsia="Times New Roman"/>
                <w:szCs w:val="16"/>
              </w:rPr>
              <w:t xml:space="preserve">L’incidence des coûts que vous payez lors de l’entrée dans votre investissement. Il s’agit du montant maximal que vous pourriez payer ; il se pourrait que vous payiez moins. </w:t>
            </w:r>
          </w:p>
        </w:tc>
      </w:tr>
      <w:tr w:rsidR="00606CA7" w:rsidRPr="00AC16F4" w14:paraId="608F0EBC" w14:textId="77777777" w:rsidTr="008C53F6">
        <w:trPr>
          <w:trHeight w:val="289"/>
        </w:trPr>
        <w:tc>
          <w:tcPr>
            <w:tcW w:w="849" w:type="pct"/>
            <w:vMerge/>
            <w:tcBorders>
              <w:top w:val="nil"/>
              <w:left w:val="single" w:sz="8" w:space="0" w:color="000000"/>
              <w:bottom w:val="single" w:sz="8" w:space="0" w:color="000000"/>
              <w:right w:val="single" w:sz="8" w:space="0" w:color="000000"/>
            </w:tcBorders>
            <w:vAlign w:val="center"/>
            <w:hideMark/>
          </w:tcPr>
          <w:p w14:paraId="24BFB0C9" w14:textId="77777777" w:rsidR="00606CA7" w:rsidRPr="00AC16F4" w:rsidRDefault="00606CA7" w:rsidP="00606CA7">
            <w:pPr>
              <w:spacing w:after="0" w:line="240" w:lineRule="auto"/>
              <w:ind w:left="0" w:firstLine="0"/>
              <w:jc w:val="left"/>
              <w:rPr>
                <w:rFonts w:eastAsia="Times New Roman"/>
                <w:b/>
                <w:bCs/>
                <w:szCs w:val="16"/>
              </w:rPr>
            </w:pPr>
          </w:p>
        </w:tc>
        <w:tc>
          <w:tcPr>
            <w:tcW w:w="1444" w:type="pct"/>
            <w:tcBorders>
              <w:top w:val="nil"/>
              <w:left w:val="nil"/>
              <w:bottom w:val="single" w:sz="8" w:space="0" w:color="000000"/>
              <w:right w:val="single" w:sz="8" w:space="0" w:color="000000"/>
            </w:tcBorders>
            <w:shd w:val="clear" w:color="auto" w:fill="auto"/>
            <w:vAlign w:val="center"/>
            <w:hideMark/>
          </w:tcPr>
          <w:p w14:paraId="68EDD9A5" w14:textId="77777777" w:rsidR="00606CA7" w:rsidRPr="00AC16F4" w:rsidRDefault="00606CA7" w:rsidP="00606CA7">
            <w:pPr>
              <w:spacing w:after="0" w:line="240" w:lineRule="auto"/>
              <w:ind w:left="0" w:firstLineChars="100" w:firstLine="160"/>
              <w:jc w:val="left"/>
              <w:rPr>
                <w:rFonts w:ascii="Calibri" w:eastAsia="Times New Roman" w:hAnsi="Calibri" w:cs="Calibri"/>
                <w:color w:val="0070C0"/>
                <w:sz w:val="22"/>
                <w:u w:val="single"/>
              </w:rPr>
            </w:pPr>
            <w:r w:rsidRPr="00263A41">
              <w:rPr>
                <w:rFonts w:eastAsia="Times New Roman"/>
                <w:b/>
                <w:bCs/>
                <w:szCs w:val="16"/>
              </w:rPr>
              <w:t>Coût de sortie</w:t>
            </w:r>
          </w:p>
        </w:tc>
        <w:tc>
          <w:tcPr>
            <w:tcW w:w="328" w:type="pct"/>
            <w:tcBorders>
              <w:top w:val="nil"/>
              <w:left w:val="nil"/>
              <w:bottom w:val="single" w:sz="8" w:space="0" w:color="000000"/>
              <w:right w:val="single" w:sz="8" w:space="0" w:color="000000"/>
            </w:tcBorders>
            <w:shd w:val="clear" w:color="auto" w:fill="auto"/>
            <w:vAlign w:val="center"/>
            <w:hideMark/>
          </w:tcPr>
          <w:p w14:paraId="07C38BDA" w14:textId="77777777" w:rsidR="00606CA7" w:rsidRPr="00AC16F4" w:rsidRDefault="00606CA7" w:rsidP="00606CA7">
            <w:pPr>
              <w:spacing w:after="0" w:line="240" w:lineRule="auto"/>
              <w:ind w:left="0" w:firstLine="0"/>
              <w:jc w:val="center"/>
              <w:rPr>
                <w:rFonts w:eastAsia="Times New Roman"/>
                <w:szCs w:val="16"/>
              </w:rPr>
            </w:pPr>
            <w:r w:rsidRPr="00AC16F4">
              <w:rPr>
                <w:rFonts w:eastAsia="Times New Roman"/>
                <w:szCs w:val="16"/>
              </w:rPr>
              <w:t>0,00%</w:t>
            </w:r>
          </w:p>
        </w:tc>
        <w:tc>
          <w:tcPr>
            <w:tcW w:w="2379" w:type="pct"/>
            <w:tcBorders>
              <w:top w:val="nil"/>
              <w:left w:val="nil"/>
              <w:bottom w:val="single" w:sz="8" w:space="0" w:color="000000"/>
              <w:right w:val="single" w:sz="8" w:space="0" w:color="000000"/>
            </w:tcBorders>
            <w:shd w:val="clear" w:color="auto" w:fill="auto"/>
            <w:vAlign w:val="center"/>
            <w:hideMark/>
          </w:tcPr>
          <w:p w14:paraId="73D8D5CD" w14:textId="77777777" w:rsidR="00606CA7" w:rsidRPr="00AC16F4" w:rsidRDefault="00606CA7" w:rsidP="00606CA7">
            <w:pPr>
              <w:spacing w:after="0" w:line="240" w:lineRule="auto"/>
              <w:ind w:left="0" w:firstLineChars="100" w:firstLine="160"/>
              <w:jc w:val="left"/>
              <w:rPr>
                <w:rFonts w:eastAsia="Times New Roman"/>
                <w:szCs w:val="16"/>
              </w:rPr>
            </w:pPr>
            <w:r w:rsidRPr="00AC16F4">
              <w:rPr>
                <w:rFonts w:eastAsia="Times New Roman"/>
                <w:szCs w:val="16"/>
              </w:rPr>
              <w:t>L'incidence des coûts encourus lorsque vous sortez de votre investissement à l'échéance.</w:t>
            </w:r>
          </w:p>
        </w:tc>
      </w:tr>
      <w:tr w:rsidR="00606CA7" w:rsidRPr="00AC16F4" w14:paraId="75995510" w14:textId="77777777" w:rsidTr="008C53F6">
        <w:trPr>
          <w:trHeight w:val="429"/>
        </w:trPr>
        <w:tc>
          <w:tcPr>
            <w:tcW w:w="849" w:type="pct"/>
            <w:vMerge w:val="restart"/>
            <w:tcBorders>
              <w:top w:val="nil"/>
              <w:left w:val="single" w:sz="8" w:space="0" w:color="000000"/>
              <w:bottom w:val="single" w:sz="8" w:space="0" w:color="000000"/>
              <w:right w:val="single" w:sz="8" w:space="0" w:color="000000"/>
            </w:tcBorders>
            <w:shd w:val="clear" w:color="auto" w:fill="auto"/>
            <w:vAlign w:val="center"/>
            <w:hideMark/>
          </w:tcPr>
          <w:p w14:paraId="6B352679" w14:textId="77777777" w:rsidR="00606CA7" w:rsidRPr="00AC16F4" w:rsidRDefault="00606CA7" w:rsidP="00606CA7">
            <w:pPr>
              <w:spacing w:after="0" w:line="240" w:lineRule="auto"/>
              <w:ind w:left="0" w:firstLineChars="100" w:firstLine="160"/>
              <w:jc w:val="left"/>
              <w:rPr>
                <w:rFonts w:eastAsia="Times New Roman"/>
                <w:b/>
                <w:bCs/>
                <w:szCs w:val="16"/>
              </w:rPr>
            </w:pPr>
            <w:r w:rsidRPr="00AC16F4">
              <w:rPr>
                <w:rFonts w:eastAsia="Times New Roman"/>
                <w:b/>
                <w:bCs/>
                <w:szCs w:val="16"/>
              </w:rPr>
              <w:t>Coûts récurrents</w:t>
            </w:r>
          </w:p>
        </w:tc>
        <w:tc>
          <w:tcPr>
            <w:tcW w:w="1444" w:type="pct"/>
            <w:tcBorders>
              <w:top w:val="nil"/>
              <w:left w:val="nil"/>
              <w:bottom w:val="single" w:sz="8" w:space="0" w:color="000000"/>
              <w:right w:val="single" w:sz="8" w:space="0" w:color="000000"/>
            </w:tcBorders>
            <w:shd w:val="clear" w:color="auto" w:fill="auto"/>
            <w:vAlign w:val="center"/>
            <w:hideMark/>
          </w:tcPr>
          <w:p w14:paraId="7111EA89" w14:textId="77777777" w:rsidR="00606CA7" w:rsidRPr="00AC16F4" w:rsidRDefault="00606CA7" w:rsidP="00606CA7">
            <w:pPr>
              <w:spacing w:after="0" w:line="240" w:lineRule="auto"/>
              <w:ind w:left="0" w:firstLineChars="100" w:firstLine="160"/>
              <w:jc w:val="left"/>
              <w:rPr>
                <w:rFonts w:eastAsia="Times New Roman"/>
                <w:b/>
                <w:bCs/>
                <w:szCs w:val="16"/>
              </w:rPr>
            </w:pPr>
            <w:r w:rsidRPr="00AC16F4">
              <w:rPr>
                <w:rFonts w:eastAsia="Times New Roman"/>
                <w:b/>
                <w:bCs/>
                <w:szCs w:val="16"/>
              </w:rPr>
              <w:t>Coûts de transaction de portefeuille</w:t>
            </w:r>
          </w:p>
        </w:tc>
        <w:tc>
          <w:tcPr>
            <w:tcW w:w="328" w:type="pct"/>
            <w:tcBorders>
              <w:top w:val="nil"/>
              <w:left w:val="nil"/>
              <w:bottom w:val="single" w:sz="8" w:space="0" w:color="000000"/>
              <w:right w:val="single" w:sz="8" w:space="0" w:color="000000"/>
            </w:tcBorders>
            <w:shd w:val="clear" w:color="auto" w:fill="auto"/>
            <w:vAlign w:val="center"/>
            <w:hideMark/>
          </w:tcPr>
          <w:p w14:paraId="575F9044" w14:textId="77777777" w:rsidR="00606CA7" w:rsidRPr="00AC16F4" w:rsidRDefault="00606CA7" w:rsidP="00606CA7">
            <w:pPr>
              <w:spacing w:after="0" w:line="240" w:lineRule="auto"/>
              <w:ind w:left="0" w:firstLine="0"/>
              <w:jc w:val="center"/>
              <w:rPr>
                <w:rFonts w:eastAsia="Times New Roman"/>
                <w:szCs w:val="16"/>
              </w:rPr>
            </w:pPr>
            <w:r w:rsidRPr="00AC16F4">
              <w:rPr>
                <w:rFonts w:eastAsia="Times New Roman"/>
                <w:szCs w:val="16"/>
              </w:rPr>
              <w:t>0,00%</w:t>
            </w:r>
          </w:p>
        </w:tc>
        <w:tc>
          <w:tcPr>
            <w:tcW w:w="2379" w:type="pct"/>
            <w:tcBorders>
              <w:top w:val="nil"/>
              <w:left w:val="nil"/>
              <w:bottom w:val="single" w:sz="8" w:space="0" w:color="000000"/>
              <w:right w:val="single" w:sz="8" w:space="0" w:color="000000"/>
            </w:tcBorders>
            <w:shd w:val="clear" w:color="auto" w:fill="auto"/>
            <w:vAlign w:val="center"/>
            <w:hideMark/>
          </w:tcPr>
          <w:p w14:paraId="082E5C58" w14:textId="77777777" w:rsidR="00606CA7" w:rsidRPr="00AC16F4" w:rsidRDefault="00606CA7" w:rsidP="00606CA7">
            <w:pPr>
              <w:spacing w:after="0" w:line="240" w:lineRule="auto"/>
              <w:ind w:left="0" w:firstLineChars="100" w:firstLine="160"/>
              <w:jc w:val="left"/>
              <w:rPr>
                <w:rFonts w:eastAsia="Times New Roman"/>
                <w:szCs w:val="16"/>
              </w:rPr>
            </w:pPr>
            <w:r w:rsidRPr="00AC16F4">
              <w:rPr>
                <w:rFonts w:eastAsia="Times New Roman"/>
                <w:szCs w:val="16"/>
              </w:rPr>
              <w:t>L’incidence des coûts encourus lors des achats/ventes des investissements sous-jacents à l’option d’investissement.</w:t>
            </w:r>
          </w:p>
        </w:tc>
      </w:tr>
      <w:tr w:rsidR="00606CA7" w:rsidRPr="00AC16F4" w14:paraId="7D6023BA" w14:textId="77777777" w:rsidTr="008C53F6">
        <w:trPr>
          <w:trHeight w:val="289"/>
        </w:trPr>
        <w:tc>
          <w:tcPr>
            <w:tcW w:w="849" w:type="pct"/>
            <w:vMerge/>
            <w:tcBorders>
              <w:top w:val="nil"/>
              <w:left w:val="single" w:sz="8" w:space="0" w:color="000000"/>
              <w:bottom w:val="single" w:sz="8" w:space="0" w:color="000000"/>
              <w:right w:val="single" w:sz="8" w:space="0" w:color="000000"/>
            </w:tcBorders>
            <w:vAlign w:val="center"/>
            <w:hideMark/>
          </w:tcPr>
          <w:p w14:paraId="16613064" w14:textId="77777777" w:rsidR="00606CA7" w:rsidRPr="00AC16F4" w:rsidRDefault="00606CA7" w:rsidP="00606CA7">
            <w:pPr>
              <w:spacing w:after="0" w:line="240" w:lineRule="auto"/>
              <w:ind w:left="0" w:firstLine="0"/>
              <w:jc w:val="left"/>
              <w:rPr>
                <w:rFonts w:eastAsia="Times New Roman"/>
                <w:b/>
                <w:bCs/>
                <w:szCs w:val="16"/>
              </w:rPr>
            </w:pPr>
          </w:p>
        </w:tc>
        <w:tc>
          <w:tcPr>
            <w:tcW w:w="1444" w:type="pct"/>
            <w:tcBorders>
              <w:top w:val="nil"/>
              <w:left w:val="nil"/>
              <w:bottom w:val="single" w:sz="8" w:space="0" w:color="000000"/>
              <w:right w:val="single" w:sz="8" w:space="0" w:color="000000"/>
            </w:tcBorders>
            <w:shd w:val="clear" w:color="auto" w:fill="auto"/>
            <w:vAlign w:val="center"/>
            <w:hideMark/>
          </w:tcPr>
          <w:p w14:paraId="298A1D42" w14:textId="77777777" w:rsidR="00606CA7" w:rsidRPr="00AC16F4" w:rsidRDefault="00606CA7" w:rsidP="00606CA7">
            <w:pPr>
              <w:spacing w:after="0" w:line="240" w:lineRule="auto"/>
              <w:ind w:left="0" w:firstLineChars="100" w:firstLine="160"/>
              <w:jc w:val="left"/>
              <w:rPr>
                <w:rFonts w:eastAsia="Times New Roman"/>
                <w:b/>
                <w:bCs/>
                <w:szCs w:val="16"/>
              </w:rPr>
            </w:pPr>
            <w:r w:rsidRPr="00AC16F4">
              <w:rPr>
                <w:rFonts w:eastAsia="Times New Roman"/>
                <w:b/>
                <w:bCs/>
                <w:szCs w:val="16"/>
              </w:rPr>
              <w:t>Autres coûts récurrents</w:t>
            </w:r>
          </w:p>
        </w:tc>
        <w:tc>
          <w:tcPr>
            <w:tcW w:w="328" w:type="pct"/>
            <w:tcBorders>
              <w:top w:val="nil"/>
              <w:left w:val="nil"/>
              <w:bottom w:val="single" w:sz="8" w:space="0" w:color="000000"/>
              <w:right w:val="single" w:sz="8" w:space="0" w:color="000000"/>
            </w:tcBorders>
            <w:shd w:val="clear" w:color="auto" w:fill="auto"/>
            <w:vAlign w:val="center"/>
            <w:hideMark/>
          </w:tcPr>
          <w:p w14:paraId="329137E8" w14:textId="42F3A4F4" w:rsidR="00606CA7" w:rsidRPr="00AC16F4" w:rsidRDefault="005764EB" w:rsidP="00606CA7">
            <w:pPr>
              <w:spacing w:after="0" w:line="240" w:lineRule="auto"/>
              <w:ind w:left="0" w:firstLine="0"/>
              <w:jc w:val="center"/>
              <w:rPr>
                <w:rFonts w:eastAsia="Times New Roman"/>
                <w:szCs w:val="16"/>
              </w:rPr>
            </w:pPr>
            <w:r>
              <w:rPr>
                <w:rFonts w:eastAsia="Times New Roman"/>
                <w:szCs w:val="16"/>
              </w:rPr>
              <w:t>0,0</w:t>
            </w:r>
            <w:r w:rsidR="00606CA7" w:rsidRPr="00AC16F4">
              <w:rPr>
                <w:rFonts w:eastAsia="Times New Roman"/>
                <w:szCs w:val="16"/>
              </w:rPr>
              <w:t>0%</w:t>
            </w:r>
          </w:p>
        </w:tc>
        <w:tc>
          <w:tcPr>
            <w:tcW w:w="2379" w:type="pct"/>
            <w:tcBorders>
              <w:top w:val="nil"/>
              <w:left w:val="nil"/>
              <w:bottom w:val="single" w:sz="8" w:space="0" w:color="000000"/>
              <w:right w:val="single" w:sz="8" w:space="0" w:color="000000"/>
            </w:tcBorders>
            <w:shd w:val="clear" w:color="auto" w:fill="auto"/>
            <w:vAlign w:val="center"/>
            <w:hideMark/>
          </w:tcPr>
          <w:p w14:paraId="081A8B56" w14:textId="77777777" w:rsidR="00606CA7" w:rsidRPr="00AC16F4" w:rsidRDefault="00606CA7" w:rsidP="00606CA7">
            <w:pPr>
              <w:spacing w:after="0" w:line="240" w:lineRule="auto"/>
              <w:ind w:left="0" w:firstLineChars="100" w:firstLine="160"/>
              <w:jc w:val="left"/>
              <w:rPr>
                <w:rFonts w:eastAsia="Times New Roman"/>
                <w:szCs w:val="16"/>
              </w:rPr>
            </w:pPr>
            <w:r w:rsidRPr="00AC16F4">
              <w:rPr>
                <w:rFonts w:eastAsia="Times New Roman"/>
                <w:szCs w:val="16"/>
              </w:rPr>
              <w:t>L’incidence des coûts prélevés chaque année pour gérer vos investissements.</w:t>
            </w:r>
          </w:p>
        </w:tc>
      </w:tr>
      <w:tr w:rsidR="00606CA7" w:rsidRPr="00AC16F4" w14:paraId="4E98C9F2" w14:textId="77777777" w:rsidTr="008C53F6">
        <w:trPr>
          <w:trHeight w:val="289"/>
        </w:trPr>
        <w:tc>
          <w:tcPr>
            <w:tcW w:w="849" w:type="pct"/>
            <w:vMerge w:val="restart"/>
            <w:tcBorders>
              <w:top w:val="nil"/>
              <w:left w:val="single" w:sz="8" w:space="0" w:color="000000"/>
              <w:bottom w:val="single" w:sz="8" w:space="0" w:color="000000"/>
              <w:right w:val="single" w:sz="8" w:space="0" w:color="000000"/>
            </w:tcBorders>
            <w:shd w:val="clear" w:color="auto" w:fill="auto"/>
            <w:vAlign w:val="center"/>
            <w:hideMark/>
          </w:tcPr>
          <w:p w14:paraId="6C478D54" w14:textId="77777777" w:rsidR="00606CA7" w:rsidRPr="00AC16F4" w:rsidRDefault="00606CA7" w:rsidP="00606CA7">
            <w:pPr>
              <w:spacing w:after="0" w:line="240" w:lineRule="auto"/>
              <w:ind w:left="0" w:firstLineChars="100" w:firstLine="160"/>
              <w:jc w:val="left"/>
              <w:rPr>
                <w:rFonts w:eastAsia="Times New Roman"/>
                <w:b/>
                <w:bCs/>
                <w:szCs w:val="16"/>
              </w:rPr>
            </w:pPr>
            <w:r w:rsidRPr="00AC16F4">
              <w:rPr>
                <w:rFonts w:eastAsia="Times New Roman"/>
                <w:b/>
                <w:bCs/>
                <w:szCs w:val="16"/>
              </w:rPr>
              <w:t>Coûts accessoires</w:t>
            </w:r>
          </w:p>
        </w:tc>
        <w:tc>
          <w:tcPr>
            <w:tcW w:w="1444" w:type="pct"/>
            <w:tcBorders>
              <w:top w:val="nil"/>
              <w:left w:val="nil"/>
              <w:bottom w:val="single" w:sz="8" w:space="0" w:color="000000"/>
              <w:right w:val="single" w:sz="8" w:space="0" w:color="000000"/>
            </w:tcBorders>
            <w:shd w:val="clear" w:color="auto" w:fill="auto"/>
            <w:vAlign w:val="center"/>
            <w:hideMark/>
          </w:tcPr>
          <w:p w14:paraId="1005CBFA" w14:textId="77777777" w:rsidR="00606CA7" w:rsidRPr="00AC16F4" w:rsidRDefault="00606CA7" w:rsidP="00606CA7">
            <w:pPr>
              <w:spacing w:after="0" w:line="240" w:lineRule="auto"/>
              <w:ind w:left="0" w:firstLineChars="100" w:firstLine="160"/>
              <w:jc w:val="left"/>
              <w:rPr>
                <w:rFonts w:eastAsia="Times New Roman"/>
                <w:b/>
                <w:bCs/>
                <w:szCs w:val="16"/>
              </w:rPr>
            </w:pPr>
            <w:r w:rsidRPr="00AC16F4">
              <w:rPr>
                <w:rFonts w:eastAsia="Times New Roman"/>
                <w:b/>
                <w:bCs/>
                <w:szCs w:val="16"/>
              </w:rPr>
              <w:t>Commissions liées aux résultats</w:t>
            </w:r>
          </w:p>
        </w:tc>
        <w:tc>
          <w:tcPr>
            <w:tcW w:w="328" w:type="pct"/>
            <w:tcBorders>
              <w:top w:val="nil"/>
              <w:left w:val="nil"/>
              <w:bottom w:val="single" w:sz="8" w:space="0" w:color="000000"/>
              <w:right w:val="single" w:sz="8" w:space="0" w:color="000000"/>
            </w:tcBorders>
            <w:shd w:val="clear" w:color="auto" w:fill="auto"/>
            <w:vAlign w:val="center"/>
            <w:hideMark/>
          </w:tcPr>
          <w:p w14:paraId="496EDE0E" w14:textId="77777777" w:rsidR="00606CA7" w:rsidRPr="00AC16F4" w:rsidRDefault="00606CA7" w:rsidP="00606CA7">
            <w:pPr>
              <w:spacing w:after="0" w:line="240" w:lineRule="auto"/>
              <w:ind w:left="0" w:firstLine="0"/>
              <w:jc w:val="center"/>
              <w:rPr>
                <w:rFonts w:eastAsia="Times New Roman"/>
                <w:szCs w:val="16"/>
              </w:rPr>
            </w:pPr>
            <w:r w:rsidRPr="00AC16F4">
              <w:rPr>
                <w:rFonts w:eastAsia="Times New Roman"/>
                <w:szCs w:val="16"/>
              </w:rPr>
              <w:t>0,00%</w:t>
            </w:r>
          </w:p>
        </w:tc>
        <w:tc>
          <w:tcPr>
            <w:tcW w:w="2379" w:type="pct"/>
            <w:tcBorders>
              <w:top w:val="nil"/>
              <w:left w:val="nil"/>
              <w:bottom w:val="single" w:sz="8" w:space="0" w:color="000000"/>
              <w:right w:val="single" w:sz="8" w:space="0" w:color="000000"/>
            </w:tcBorders>
            <w:shd w:val="clear" w:color="auto" w:fill="auto"/>
            <w:vAlign w:val="center"/>
            <w:hideMark/>
          </w:tcPr>
          <w:p w14:paraId="3D49ADAE" w14:textId="77777777" w:rsidR="00606CA7" w:rsidRPr="00AC16F4" w:rsidRDefault="00606CA7" w:rsidP="00606CA7">
            <w:pPr>
              <w:spacing w:after="0" w:line="240" w:lineRule="auto"/>
              <w:ind w:left="0" w:firstLineChars="100" w:firstLine="160"/>
              <w:jc w:val="left"/>
              <w:rPr>
                <w:rFonts w:eastAsia="Times New Roman"/>
                <w:szCs w:val="16"/>
              </w:rPr>
            </w:pPr>
            <w:r w:rsidRPr="00AC16F4">
              <w:rPr>
                <w:rFonts w:eastAsia="Times New Roman"/>
                <w:szCs w:val="16"/>
              </w:rPr>
              <w:t>L’incidence des commissions liées aux résultats.</w:t>
            </w:r>
          </w:p>
        </w:tc>
      </w:tr>
      <w:tr w:rsidR="00606CA7" w:rsidRPr="00AC16F4" w14:paraId="70D8722C" w14:textId="77777777" w:rsidTr="008C53F6">
        <w:trPr>
          <w:trHeight w:val="196"/>
        </w:trPr>
        <w:tc>
          <w:tcPr>
            <w:tcW w:w="849" w:type="pct"/>
            <w:vMerge/>
            <w:tcBorders>
              <w:top w:val="nil"/>
              <w:left w:val="single" w:sz="8" w:space="0" w:color="000000"/>
              <w:bottom w:val="single" w:sz="8" w:space="0" w:color="000000"/>
              <w:right w:val="single" w:sz="8" w:space="0" w:color="000000"/>
            </w:tcBorders>
            <w:vAlign w:val="center"/>
            <w:hideMark/>
          </w:tcPr>
          <w:p w14:paraId="56882BAB" w14:textId="77777777" w:rsidR="00606CA7" w:rsidRPr="00AC16F4" w:rsidRDefault="00606CA7" w:rsidP="00606CA7">
            <w:pPr>
              <w:spacing w:after="0" w:line="240" w:lineRule="auto"/>
              <w:ind w:left="0" w:firstLine="0"/>
              <w:jc w:val="left"/>
              <w:rPr>
                <w:rFonts w:eastAsia="Times New Roman"/>
                <w:b/>
                <w:bCs/>
                <w:szCs w:val="16"/>
              </w:rPr>
            </w:pPr>
          </w:p>
        </w:tc>
        <w:tc>
          <w:tcPr>
            <w:tcW w:w="1444" w:type="pct"/>
            <w:tcBorders>
              <w:top w:val="nil"/>
              <w:left w:val="nil"/>
              <w:bottom w:val="single" w:sz="8" w:space="0" w:color="000000"/>
              <w:right w:val="single" w:sz="8" w:space="0" w:color="000000"/>
            </w:tcBorders>
            <w:shd w:val="clear" w:color="auto" w:fill="auto"/>
            <w:vAlign w:val="center"/>
            <w:hideMark/>
          </w:tcPr>
          <w:p w14:paraId="41002865" w14:textId="77777777" w:rsidR="00606CA7" w:rsidRPr="00AC16F4" w:rsidRDefault="00606CA7" w:rsidP="00606CA7">
            <w:pPr>
              <w:spacing w:after="0" w:line="240" w:lineRule="auto"/>
              <w:ind w:left="0" w:firstLineChars="100" w:firstLine="160"/>
              <w:jc w:val="left"/>
              <w:rPr>
                <w:rFonts w:eastAsia="Times New Roman"/>
                <w:b/>
                <w:bCs/>
                <w:szCs w:val="16"/>
              </w:rPr>
            </w:pPr>
            <w:r w:rsidRPr="00AC16F4">
              <w:rPr>
                <w:rFonts w:eastAsia="Times New Roman"/>
                <w:b/>
                <w:bCs/>
                <w:szCs w:val="16"/>
              </w:rPr>
              <w:t>Commissions d’intéressement</w:t>
            </w:r>
          </w:p>
        </w:tc>
        <w:tc>
          <w:tcPr>
            <w:tcW w:w="328" w:type="pct"/>
            <w:tcBorders>
              <w:top w:val="nil"/>
              <w:left w:val="nil"/>
              <w:bottom w:val="single" w:sz="8" w:space="0" w:color="000000"/>
              <w:right w:val="single" w:sz="8" w:space="0" w:color="000000"/>
            </w:tcBorders>
            <w:shd w:val="clear" w:color="auto" w:fill="auto"/>
            <w:vAlign w:val="center"/>
            <w:hideMark/>
          </w:tcPr>
          <w:p w14:paraId="3E1A8C66" w14:textId="77777777" w:rsidR="00606CA7" w:rsidRPr="00AC16F4" w:rsidRDefault="00606CA7" w:rsidP="00606CA7">
            <w:pPr>
              <w:spacing w:after="0" w:line="240" w:lineRule="auto"/>
              <w:ind w:left="0" w:firstLine="0"/>
              <w:jc w:val="center"/>
              <w:rPr>
                <w:rFonts w:eastAsia="Times New Roman"/>
                <w:szCs w:val="16"/>
              </w:rPr>
            </w:pPr>
            <w:r w:rsidRPr="00AC16F4">
              <w:rPr>
                <w:rFonts w:eastAsia="Times New Roman"/>
                <w:szCs w:val="16"/>
              </w:rPr>
              <w:t>0,00%</w:t>
            </w:r>
          </w:p>
        </w:tc>
        <w:tc>
          <w:tcPr>
            <w:tcW w:w="2379" w:type="pct"/>
            <w:tcBorders>
              <w:top w:val="nil"/>
              <w:left w:val="nil"/>
              <w:bottom w:val="single" w:sz="8" w:space="0" w:color="000000"/>
              <w:right w:val="single" w:sz="8" w:space="0" w:color="000000"/>
            </w:tcBorders>
            <w:shd w:val="clear" w:color="auto" w:fill="auto"/>
            <w:vAlign w:val="center"/>
            <w:hideMark/>
          </w:tcPr>
          <w:p w14:paraId="1B88F980" w14:textId="77777777" w:rsidR="00606CA7" w:rsidRPr="00AC16F4" w:rsidRDefault="00606CA7" w:rsidP="00606CA7">
            <w:pPr>
              <w:spacing w:after="0" w:line="240" w:lineRule="auto"/>
              <w:ind w:left="0" w:firstLineChars="100" w:firstLine="160"/>
              <w:jc w:val="left"/>
              <w:rPr>
                <w:rFonts w:eastAsia="Times New Roman"/>
                <w:szCs w:val="16"/>
              </w:rPr>
            </w:pPr>
            <w:r w:rsidRPr="00AC16F4">
              <w:rPr>
                <w:rFonts w:eastAsia="Times New Roman"/>
                <w:szCs w:val="16"/>
              </w:rPr>
              <w:t>L’incidence des commissions d’intéressement.</w:t>
            </w:r>
          </w:p>
        </w:tc>
      </w:tr>
    </w:tbl>
    <w:p w14:paraId="0B8FDD05" w14:textId="3AA0F78C" w:rsidR="007742EE" w:rsidRDefault="007742EE" w:rsidP="00606CA7">
      <w:pPr>
        <w:spacing w:after="28" w:line="259" w:lineRule="auto"/>
        <w:ind w:left="0" w:firstLine="0"/>
        <w:jc w:val="left"/>
      </w:pPr>
    </w:p>
    <w:sectPr w:rsidR="007742EE" w:rsidSect="001C0D5D">
      <w:pgSz w:w="12240" w:h="15840"/>
      <w:pgMar w:top="326" w:right="716" w:bottom="564" w:left="710" w:header="72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A14DF8A" w14:textId="77777777" w:rsidR="007B79FC" w:rsidRDefault="007B79FC" w:rsidP="008B0267">
      <w:pPr>
        <w:spacing w:after="0" w:line="240" w:lineRule="auto"/>
      </w:pPr>
      <w:r>
        <w:separator/>
      </w:r>
    </w:p>
  </w:endnote>
  <w:endnote w:type="continuationSeparator" w:id="0">
    <w:p w14:paraId="64FFFDA9" w14:textId="77777777" w:rsidR="007B79FC" w:rsidRDefault="007B79FC" w:rsidP="008B02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altName w:val="Helvetica"/>
    <w:panose1 w:val="020B0604020202020204"/>
    <w:charset w:val="00"/>
    <w:family w:val="swiss"/>
    <w:pitch w:val="variable"/>
    <w:sig w:usb0="E0002EFF" w:usb1="C000785B" w:usb2="00000009" w:usb3="00000000" w:csb0="000001FF" w:csb1="00000000"/>
  </w:font>
  <w:font w:name="Courier New">
    <w:altName w:val="Courier (W1)"/>
    <w:panose1 w:val="02070309020205020404"/>
    <w:charset w:val="00"/>
    <w:family w:val="modern"/>
    <w:pitch w:val="fixed"/>
    <w:sig w:usb0="E0002EFF" w:usb1="C0007843" w:usb2="00000009" w:usb3="00000000" w:csb0="000001FF" w:csb1="00000000"/>
  </w:font>
  <w:font w:name="Times New Roman">
    <w:altName w:val="Times"/>
    <w:panose1 w:val="02020603050405020304"/>
    <w:charset w:val="00"/>
    <w:family w:val="roman"/>
    <w:pitch w:val="variable"/>
    <w:sig w:usb0="E0002EFF" w:usb1="C000785B"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Symbol">
    <w:altName w:val="Bookshelf Symbol 3"/>
    <w:panose1 w:val="05050102010706020507"/>
    <w:charset w:val="02"/>
    <w:family w:val="roman"/>
    <w:pitch w:val="variable"/>
    <w:sig w:usb0="00000000" w:usb1="10000000" w:usb2="00000000" w:usb3="00000000" w:csb0="80000000" w:csb1="00000000"/>
  </w:font>
  <w:font w:name="Calibri">
    <w:altName w:val="Century Gothic"/>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F2BC5EC" w14:textId="77777777" w:rsidR="007B79FC" w:rsidRDefault="007B79FC" w:rsidP="008B0267">
      <w:pPr>
        <w:spacing w:after="0" w:line="240" w:lineRule="auto"/>
      </w:pPr>
      <w:r>
        <w:separator/>
      </w:r>
    </w:p>
  </w:footnote>
  <w:footnote w:type="continuationSeparator" w:id="0">
    <w:p w14:paraId="51981208" w14:textId="77777777" w:rsidR="007B79FC" w:rsidRDefault="007B79FC" w:rsidP="008B026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DA13C5"/>
    <w:multiLevelType w:val="hybridMultilevel"/>
    <w:tmpl w:val="845EA586"/>
    <w:lvl w:ilvl="0" w:tplc="17988AF0">
      <w:numFmt w:val="bullet"/>
      <w:lvlText w:val="-"/>
      <w:lvlJc w:val="left"/>
      <w:pPr>
        <w:ind w:left="720" w:hanging="360"/>
      </w:pPr>
      <w:rPr>
        <w:rFonts w:ascii="Arial" w:eastAsia="Arial"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430F4B53"/>
    <w:multiLevelType w:val="hybridMultilevel"/>
    <w:tmpl w:val="F20EC546"/>
    <w:lvl w:ilvl="0" w:tplc="8DD8086E">
      <w:start w:val="1"/>
      <w:numFmt w:val="bullet"/>
      <w:lvlText w:val="•"/>
      <w:lvlJc w:val="left"/>
      <w:pPr>
        <w:ind w:left="425"/>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1" w:tplc="9DCC1E50">
      <w:start w:val="1"/>
      <w:numFmt w:val="bullet"/>
      <w:lvlText w:val="o"/>
      <w:lvlJc w:val="left"/>
      <w:pPr>
        <w:ind w:left="1186"/>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2" w:tplc="6DC0CD68">
      <w:start w:val="1"/>
      <w:numFmt w:val="bullet"/>
      <w:lvlText w:val="▪"/>
      <w:lvlJc w:val="left"/>
      <w:pPr>
        <w:ind w:left="1906"/>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3" w:tplc="90C6829E">
      <w:start w:val="1"/>
      <w:numFmt w:val="bullet"/>
      <w:lvlText w:val="•"/>
      <w:lvlJc w:val="left"/>
      <w:pPr>
        <w:ind w:left="2626"/>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4" w:tplc="7BF86CDC">
      <w:start w:val="1"/>
      <w:numFmt w:val="bullet"/>
      <w:lvlText w:val="o"/>
      <w:lvlJc w:val="left"/>
      <w:pPr>
        <w:ind w:left="3346"/>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5" w:tplc="CB7AB738">
      <w:start w:val="1"/>
      <w:numFmt w:val="bullet"/>
      <w:lvlText w:val="▪"/>
      <w:lvlJc w:val="left"/>
      <w:pPr>
        <w:ind w:left="4066"/>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6" w:tplc="668EF6CA">
      <w:start w:val="1"/>
      <w:numFmt w:val="bullet"/>
      <w:lvlText w:val="•"/>
      <w:lvlJc w:val="left"/>
      <w:pPr>
        <w:ind w:left="4786"/>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7" w:tplc="6CC8CAFE">
      <w:start w:val="1"/>
      <w:numFmt w:val="bullet"/>
      <w:lvlText w:val="o"/>
      <w:lvlJc w:val="left"/>
      <w:pPr>
        <w:ind w:left="5506"/>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8" w:tplc="0AC477AE">
      <w:start w:val="1"/>
      <w:numFmt w:val="bullet"/>
      <w:lvlText w:val="▪"/>
      <w:lvlJc w:val="left"/>
      <w:pPr>
        <w:ind w:left="6226"/>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abstractNum>
  <w:abstractNum w:abstractNumId="2" w15:restartNumberingAfterBreak="0">
    <w:nsid w:val="62F05029"/>
    <w:multiLevelType w:val="hybridMultilevel"/>
    <w:tmpl w:val="FF702854"/>
    <w:lvl w:ilvl="0" w:tplc="D67CD8F0">
      <w:start w:val="1"/>
      <w:numFmt w:val="bullet"/>
      <w:lvlText w:val="•"/>
      <w:lvlJc w:val="left"/>
      <w:pPr>
        <w:ind w:left="72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1" w:tplc="E7A073E8">
      <w:start w:val="1"/>
      <w:numFmt w:val="bullet"/>
      <w:lvlText w:val="o"/>
      <w:lvlJc w:val="left"/>
      <w:pPr>
        <w:ind w:left="109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2" w:tplc="F676C142">
      <w:start w:val="1"/>
      <w:numFmt w:val="bullet"/>
      <w:lvlText w:val="▪"/>
      <w:lvlJc w:val="left"/>
      <w:pPr>
        <w:ind w:left="181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3" w:tplc="79088778">
      <w:start w:val="1"/>
      <w:numFmt w:val="bullet"/>
      <w:lvlText w:val="•"/>
      <w:lvlJc w:val="left"/>
      <w:pPr>
        <w:ind w:left="253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4" w:tplc="7C30BC98">
      <w:start w:val="1"/>
      <w:numFmt w:val="bullet"/>
      <w:lvlText w:val="o"/>
      <w:lvlJc w:val="left"/>
      <w:pPr>
        <w:ind w:left="325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5" w:tplc="C0A4FE64">
      <w:start w:val="1"/>
      <w:numFmt w:val="bullet"/>
      <w:lvlText w:val="▪"/>
      <w:lvlJc w:val="left"/>
      <w:pPr>
        <w:ind w:left="397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6" w:tplc="E0D2944A">
      <w:start w:val="1"/>
      <w:numFmt w:val="bullet"/>
      <w:lvlText w:val="•"/>
      <w:lvlJc w:val="left"/>
      <w:pPr>
        <w:ind w:left="469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7" w:tplc="657EF912">
      <w:start w:val="1"/>
      <w:numFmt w:val="bullet"/>
      <w:lvlText w:val="o"/>
      <w:lvlJc w:val="left"/>
      <w:pPr>
        <w:ind w:left="541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8" w:tplc="DF147E40">
      <w:start w:val="1"/>
      <w:numFmt w:val="bullet"/>
      <w:lvlText w:val="▪"/>
      <w:lvlJc w:val="left"/>
      <w:pPr>
        <w:ind w:left="613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abstractNum>
  <w:abstractNum w:abstractNumId="3" w15:restartNumberingAfterBreak="0">
    <w:nsid w:val="76894A24"/>
    <w:multiLevelType w:val="hybridMultilevel"/>
    <w:tmpl w:val="B8AC1FB4"/>
    <w:lvl w:ilvl="0" w:tplc="7608B4FC">
      <w:start w:val="21"/>
      <w:numFmt w:val="bullet"/>
      <w:lvlText w:val="-"/>
      <w:lvlJc w:val="left"/>
      <w:pPr>
        <w:ind w:left="720" w:hanging="360"/>
      </w:pPr>
      <w:rPr>
        <w:rFonts w:ascii="Arial" w:eastAsia="Arial"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08"/>
  <w:hyphenationZone w:val="425"/>
  <w:characterSpacingControl w:val="doNotCompress"/>
  <w:hdrShapeDefaults>
    <o:shapedefaults v:ext="edit" spidmax="1843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42EE"/>
    <w:rsid w:val="00043CFE"/>
    <w:rsid w:val="000644E6"/>
    <w:rsid w:val="00086553"/>
    <w:rsid w:val="000E1A16"/>
    <w:rsid w:val="0010023D"/>
    <w:rsid w:val="00110F30"/>
    <w:rsid w:val="00120AA2"/>
    <w:rsid w:val="00123D25"/>
    <w:rsid w:val="001350D5"/>
    <w:rsid w:val="0014683D"/>
    <w:rsid w:val="001865AB"/>
    <w:rsid w:val="001A3EC4"/>
    <w:rsid w:val="001C0D5D"/>
    <w:rsid w:val="001C207D"/>
    <w:rsid w:val="001C32A1"/>
    <w:rsid w:val="001C5404"/>
    <w:rsid w:val="001C6FBD"/>
    <w:rsid w:val="001F1EB2"/>
    <w:rsid w:val="001F7250"/>
    <w:rsid w:val="00234127"/>
    <w:rsid w:val="00235321"/>
    <w:rsid w:val="00244BD7"/>
    <w:rsid w:val="00250DB0"/>
    <w:rsid w:val="00263A41"/>
    <w:rsid w:val="0027092A"/>
    <w:rsid w:val="002B3ED9"/>
    <w:rsid w:val="002E383E"/>
    <w:rsid w:val="0031673F"/>
    <w:rsid w:val="00341E04"/>
    <w:rsid w:val="00361DC5"/>
    <w:rsid w:val="00372535"/>
    <w:rsid w:val="003736BD"/>
    <w:rsid w:val="003A2E0B"/>
    <w:rsid w:val="003C5908"/>
    <w:rsid w:val="003D5013"/>
    <w:rsid w:val="003E6C8E"/>
    <w:rsid w:val="00411D0D"/>
    <w:rsid w:val="00444DE1"/>
    <w:rsid w:val="004636E9"/>
    <w:rsid w:val="00471B4A"/>
    <w:rsid w:val="004905CA"/>
    <w:rsid w:val="00490E58"/>
    <w:rsid w:val="00493074"/>
    <w:rsid w:val="004A492A"/>
    <w:rsid w:val="004F09E1"/>
    <w:rsid w:val="004F660D"/>
    <w:rsid w:val="00512A0D"/>
    <w:rsid w:val="0052363B"/>
    <w:rsid w:val="00544010"/>
    <w:rsid w:val="00570908"/>
    <w:rsid w:val="005764EB"/>
    <w:rsid w:val="00583C3B"/>
    <w:rsid w:val="00590B09"/>
    <w:rsid w:val="005A4BBD"/>
    <w:rsid w:val="005A73D6"/>
    <w:rsid w:val="005C180F"/>
    <w:rsid w:val="005C655E"/>
    <w:rsid w:val="005D047B"/>
    <w:rsid w:val="00606CA7"/>
    <w:rsid w:val="00622F55"/>
    <w:rsid w:val="006C75CB"/>
    <w:rsid w:val="006E7CCB"/>
    <w:rsid w:val="007123EA"/>
    <w:rsid w:val="007221C2"/>
    <w:rsid w:val="00746DFF"/>
    <w:rsid w:val="00762FD6"/>
    <w:rsid w:val="007742EE"/>
    <w:rsid w:val="007B79FC"/>
    <w:rsid w:val="007D16A4"/>
    <w:rsid w:val="007E23E9"/>
    <w:rsid w:val="00810758"/>
    <w:rsid w:val="00840914"/>
    <w:rsid w:val="0085187F"/>
    <w:rsid w:val="008525CF"/>
    <w:rsid w:val="008653C0"/>
    <w:rsid w:val="008847F8"/>
    <w:rsid w:val="008A11D4"/>
    <w:rsid w:val="008A4714"/>
    <w:rsid w:val="008B0267"/>
    <w:rsid w:val="008B27A7"/>
    <w:rsid w:val="008C53F6"/>
    <w:rsid w:val="008E433D"/>
    <w:rsid w:val="008F3D6C"/>
    <w:rsid w:val="00967B5C"/>
    <w:rsid w:val="00982BDA"/>
    <w:rsid w:val="009B475B"/>
    <w:rsid w:val="009C28C8"/>
    <w:rsid w:val="009C4546"/>
    <w:rsid w:val="009D0510"/>
    <w:rsid w:val="009F4E10"/>
    <w:rsid w:val="009F5328"/>
    <w:rsid w:val="009F5C45"/>
    <w:rsid w:val="009F72F7"/>
    <w:rsid w:val="00A45E8F"/>
    <w:rsid w:val="00A464C0"/>
    <w:rsid w:val="00A55086"/>
    <w:rsid w:val="00A60920"/>
    <w:rsid w:val="00A744EF"/>
    <w:rsid w:val="00A877C0"/>
    <w:rsid w:val="00AC16F4"/>
    <w:rsid w:val="00AE3FAB"/>
    <w:rsid w:val="00AE6BFA"/>
    <w:rsid w:val="00AF5AC6"/>
    <w:rsid w:val="00B21321"/>
    <w:rsid w:val="00B23234"/>
    <w:rsid w:val="00B956A0"/>
    <w:rsid w:val="00BA7F22"/>
    <w:rsid w:val="00BD5BC4"/>
    <w:rsid w:val="00C05CD6"/>
    <w:rsid w:val="00C11FE8"/>
    <w:rsid w:val="00C45D0E"/>
    <w:rsid w:val="00CD1F27"/>
    <w:rsid w:val="00CF68CF"/>
    <w:rsid w:val="00CF7C8A"/>
    <w:rsid w:val="00D07F48"/>
    <w:rsid w:val="00D4208B"/>
    <w:rsid w:val="00D47962"/>
    <w:rsid w:val="00D56112"/>
    <w:rsid w:val="00D60F9A"/>
    <w:rsid w:val="00D669EA"/>
    <w:rsid w:val="00D970E2"/>
    <w:rsid w:val="00DE628B"/>
    <w:rsid w:val="00E339C5"/>
    <w:rsid w:val="00E535CE"/>
    <w:rsid w:val="00E867A3"/>
    <w:rsid w:val="00EC7114"/>
    <w:rsid w:val="00EE33A7"/>
    <w:rsid w:val="00EF4615"/>
    <w:rsid w:val="00F35EAF"/>
    <w:rsid w:val="00F83F6F"/>
    <w:rsid w:val="00FC1EEB"/>
    <w:rsid w:val="00FF10CF"/>
    <w:rsid w:val="00FF3CD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7DE26353"/>
  <w15:docId w15:val="{6C03C2CC-DE49-4DAC-919F-CB81CE518D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262" w:lineRule="auto"/>
      <w:ind w:left="10" w:hanging="10"/>
      <w:jc w:val="both"/>
    </w:pPr>
    <w:rPr>
      <w:rFonts w:ascii="Arial" w:eastAsia="Arial" w:hAnsi="Arial" w:cs="Arial"/>
      <w:color w:val="000000"/>
      <w:sz w:val="1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Paragraphedeliste">
    <w:name w:val="List Paragraph"/>
    <w:basedOn w:val="Normal"/>
    <w:uiPriority w:val="34"/>
    <w:qFormat/>
    <w:rsid w:val="00086553"/>
    <w:pPr>
      <w:ind w:left="720"/>
      <w:contextualSpacing/>
    </w:pPr>
  </w:style>
  <w:style w:type="table" w:styleId="Grilledutableau">
    <w:name w:val="Table Grid"/>
    <w:basedOn w:val="TableauNormal"/>
    <w:uiPriority w:val="39"/>
    <w:rsid w:val="008E433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arquedecommentaire">
    <w:name w:val="annotation reference"/>
    <w:basedOn w:val="Policepardfaut"/>
    <w:uiPriority w:val="99"/>
    <w:semiHidden/>
    <w:unhideWhenUsed/>
    <w:rsid w:val="000644E6"/>
    <w:rPr>
      <w:sz w:val="16"/>
      <w:szCs w:val="16"/>
    </w:rPr>
  </w:style>
  <w:style w:type="paragraph" w:styleId="Commentaire">
    <w:name w:val="annotation text"/>
    <w:basedOn w:val="Normal"/>
    <w:link w:val="CommentaireCar"/>
    <w:uiPriority w:val="99"/>
    <w:semiHidden/>
    <w:unhideWhenUsed/>
    <w:rsid w:val="000644E6"/>
    <w:pPr>
      <w:spacing w:line="240" w:lineRule="auto"/>
    </w:pPr>
    <w:rPr>
      <w:sz w:val="20"/>
      <w:szCs w:val="20"/>
    </w:rPr>
  </w:style>
  <w:style w:type="character" w:customStyle="1" w:styleId="CommentaireCar">
    <w:name w:val="Commentaire Car"/>
    <w:basedOn w:val="Policepardfaut"/>
    <w:link w:val="Commentaire"/>
    <w:uiPriority w:val="99"/>
    <w:semiHidden/>
    <w:rsid w:val="000644E6"/>
    <w:rPr>
      <w:rFonts w:ascii="Arial" w:eastAsia="Arial" w:hAnsi="Arial" w:cs="Arial"/>
      <w:color w:val="000000"/>
      <w:sz w:val="20"/>
      <w:szCs w:val="20"/>
    </w:rPr>
  </w:style>
  <w:style w:type="paragraph" w:styleId="Objetducommentaire">
    <w:name w:val="annotation subject"/>
    <w:basedOn w:val="Commentaire"/>
    <w:next w:val="Commentaire"/>
    <w:link w:val="ObjetducommentaireCar"/>
    <w:uiPriority w:val="99"/>
    <w:semiHidden/>
    <w:unhideWhenUsed/>
    <w:rsid w:val="000644E6"/>
    <w:rPr>
      <w:b/>
      <w:bCs/>
    </w:rPr>
  </w:style>
  <w:style w:type="character" w:customStyle="1" w:styleId="ObjetducommentaireCar">
    <w:name w:val="Objet du commentaire Car"/>
    <w:basedOn w:val="CommentaireCar"/>
    <w:link w:val="Objetducommentaire"/>
    <w:uiPriority w:val="99"/>
    <w:semiHidden/>
    <w:rsid w:val="000644E6"/>
    <w:rPr>
      <w:rFonts w:ascii="Arial" w:eastAsia="Arial" w:hAnsi="Arial" w:cs="Arial"/>
      <w:b/>
      <w:bCs/>
      <w:color w:val="000000"/>
      <w:sz w:val="20"/>
      <w:szCs w:val="20"/>
    </w:rPr>
  </w:style>
  <w:style w:type="paragraph" w:styleId="Textedebulles">
    <w:name w:val="Balloon Text"/>
    <w:basedOn w:val="Normal"/>
    <w:link w:val="TextedebullesCar"/>
    <w:uiPriority w:val="99"/>
    <w:semiHidden/>
    <w:unhideWhenUsed/>
    <w:rsid w:val="000644E6"/>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0644E6"/>
    <w:rPr>
      <w:rFonts w:ascii="Segoe UI" w:eastAsia="Arial" w:hAnsi="Segoe UI" w:cs="Segoe UI"/>
      <w:color w:val="000000"/>
      <w:sz w:val="18"/>
      <w:szCs w:val="18"/>
    </w:rPr>
  </w:style>
  <w:style w:type="paragraph" w:styleId="En-tte">
    <w:name w:val="header"/>
    <w:basedOn w:val="Normal"/>
    <w:link w:val="En-tteCar"/>
    <w:uiPriority w:val="99"/>
    <w:unhideWhenUsed/>
    <w:rsid w:val="001C0D5D"/>
    <w:pPr>
      <w:tabs>
        <w:tab w:val="center" w:pos="4536"/>
        <w:tab w:val="right" w:pos="9072"/>
      </w:tabs>
      <w:spacing w:after="0" w:line="240" w:lineRule="auto"/>
    </w:pPr>
  </w:style>
  <w:style w:type="character" w:customStyle="1" w:styleId="En-tteCar">
    <w:name w:val="En-tête Car"/>
    <w:basedOn w:val="Policepardfaut"/>
    <w:link w:val="En-tte"/>
    <w:uiPriority w:val="99"/>
    <w:rsid w:val="001C0D5D"/>
    <w:rPr>
      <w:rFonts w:ascii="Arial" w:eastAsia="Arial" w:hAnsi="Arial" w:cs="Arial"/>
      <w:color w:val="000000"/>
      <w:sz w:val="16"/>
    </w:rPr>
  </w:style>
  <w:style w:type="paragraph" w:styleId="Pieddepage">
    <w:name w:val="footer"/>
    <w:basedOn w:val="Normal"/>
    <w:link w:val="PieddepageCar"/>
    <w:uiPriority w:val="99"/>
    <w:unhideWhenUsed/>
    <w:rsid w:val="001C0D5D"/>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1C0D5D"/>
    <w:rPr>
      <w:rFonts w:ascii="Arial" w:eastAsia="Arial" w:hAnsi="Arial" w:cs="Arial"/>
      <w:color w:val="000000"/>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6670812">
      <w:bodyDiv w:val="1"/>
      <w:marLeft w:val="0"/>
      <w:marRight w:val="0"/>
      <w:marTop w:val="0"/>
      <w:marBottom w:val="0"/>
      <w:divBdr>
        <w:top w:val="none" w:sz="0" w:space="0" w:color="auto"/>
        <w:left w:val="none" w:sz="0" w:space="0" w:color="auto"/>
        <w:bottom w:val="none" w:sz="0" w:space="0" w:color="auto"/>
        <w:right w:val="none" w:sz="0" w:space="0" w:color="auto"/>
      </w:divBdr>
    </w:div>
    <w:div w:id="622269127">
      <w:bodyDiv w:val="1"/>
      <w:marLeft w:val="0"/>
      <w:marRight w:val="0"/>
      <w:marTop w:val="0"/>
      <w:marBottom w:val="0"/>
      <w:divBdr>
        <w:top w:val="none" w:sz="0" w:space="0" w:color="auto"/>
        <w:left w:val="none" w:sz="0" w:space="0" w:color="auto"/>
        <w:bottom w:val="none" w:sz="0" w:space="0" w:color="auto"/>
        <w:right w:val="none" w:sz="0" w:space="0" w:color="auto"/>
      </w:divBdr>
    </w:div>
    <w:div w:id="685521545">
      <w:bodyDiv w:val="1"/>
      <w:marLeft w:val="0"/>
      <w:marRight w:val="0"/>
      <w:marTop w:val="0"/>
      <w:marBottom w:val="0"/>
      <w:divBdr>
        <w:top w:val="none" w:sz="0" w:space="0" w:color="auto"/>
        <w:left w:val="none" w:sz="0" w:space="0" w:color="auto"/>
        <w:bottom w:val="none" w:sz="0" w:space="0" w:color="auto"/>
        <w:right w:val="none" w:sz="0" w:space="0" w:color="auto"/>
      </w:divBdr>
    </w:div>
    <w:div w:id="793014675">
      <w:bodyDiv w:val="1"/>
      <w:marLeft w:val="0"/>
      <w:marRight w:val="0"/>
      <w:marTop w:val="0"/>
      <w:marBottom w:val="0"/>
      <w:divBdr>
        <w:top w:val="none" w:sz="0" w:space="0" w:color="auto"/>
        <w:left w:val="none" w:sz="0" w:space="0" w:color="auto"/>
        <w:bottom w:val="none" w:sz="0" w:space="0" w:color="auto"/>
        <w:right w:val="none" w:sz="0" w:space="0" w:color="auto"/>
      </w:divBdr>
    </w:div>
    <w:div w:id="893002264">
      <w:bodyDiv w:val="1"/>
      <w:marLeft w:val="0"/>
      <w:marRight w:val="0"/>
      <w:marTop w:val="0"/>
      <w:marBottom w:val="0"/>
      <w:divBdr>
        <w:top w:val="none" w:sz="0" w:space="0" w:color="auto"/>
        <w:left w:val="none" w:sz="0" w:space="0" w:color="auto"/>
        <w:bottom w:val="none" w:sz="0" w:space="0" w:color="auto"/>
        <w:right w:val="none" w:sz="0" w:space="0" w:color="auto"/>
      </w:divBdr>
    </w:div>
    <w:div w:id="952132613">
      <w:bodyDiv w:val="1"/>
      <w:marLeft w:val="0"/>
      <w:marRight w:val="0"/>
      <w:marTop w:val="0"/>
      <w:marBottom w:val="0"/>
      <w:divBdr>
        <w:top w:val="none" w:sz="0" w:space="0" w:color="auto"/>
        <w:left w:val="none" w:sz="0" w:space="0" w:color="auto"/>
        <w:bottom w:val="none" w:sz="0" w:space="0" w:color="auto"/>
        <w:right w:val="none" w:sz="0" w:space="0" w:color="auto"/>
      </w:divBdr>
    </w:div>
    <w:div w:id="1257405190">
      <w:bodyDiv w:val="1"/>
      <w:marLeft w:val="0"/>
      <w:marRight w:val="0"/>
      <w:marTop w:val="0"/>
      <w:marBottom w:val="0"/>
      <w:divBdr>
        <w:top w:val="none" w:sz="0" w:space="0" w:color="auto"/>
        <w:left w:val="none" w:sz="0" w:space="0" w:color="auto"/>
        <w:bottom w:val="none" w:sz="0" w:space="0" w:color="auto"/>
        <w:right w:val="none" w:sz="0" w:space="0" w:color="auto"/>
      </w:divBdr>
    </w:div>
    <w:div w:id="1265118159">
      <w:bodyDiv w:val="1"/>
      <w:marLeft w:val="0"/>
      <w:marRight w:val="0"/>
      <w:marTop w:val="0"/>
      <w:marBottom w:val="0"/>
      <w:divBdr>
        <w:top w:val="none" w:sz="0" w:space="0" w:color="auto"/>
        <w:left w:val="none" w:sz="0" w:space="0" w:color="auto"/>
        <w:bottom w:val="none" w:sz="0" w:space="0" w:color="auto"/>
        <w:right w:val="none" w:sz="0" w:space="0" w:color="auto"/>
      </w:divBdr>
    </w:div>
    <w:div w:id="1482768466">
      <w:bodyDiv w:val="1"/>
      <w:marLeft w:val="0"/>
      <w:marRight w:val="0"/>
      <w:marTop w:val="0"/>
      <w:marBottom w:val="0"/>
      <w:divBdr>
        <w:top w:val="none" w:sz="0" w:space="0" w:color="auto"/>
        <w:left w:val="none" w:sz="0" w:space="0" w:color="auto"/>
        <w:bottom w:val="none" w:sz="0" w:space="0" w:color="auto"/>
        <w:right w:val="none" w:sz="0" w:space="0" w:color="auto"/>
      </w:divBdr>
    </w:div>
    <w:div w:id="1617520634">
      <w:bodyDiv w:val="1"/>
      <w:marLeft w:val="0"/>
      <w:marRight w:val="0"/>
      <w:marTop w:val="0"/>
      <w:marBottom w:val="0"/>
      <w:divBdr>
        <w:top w:val="none" w:sz="0" w:space="0" w:color="auto"/>
        <w:left w:val="none" w:sz="0" w:space="0" w:color="auto"/>
        <w:bottom w:val="none" w:sz="0" w:space="0" w:color="auto"/>
        <w:right w:val="none" w:sz="0" w:space="0" w:color="auto"/>
      </w:divBdr>
    </w:div>
    <w:div w:id="1626503792">
      <w:bodyDiv w:val="1"/>
      <w:marLeft w:val="0"/>
      <w:marRight w:val="0"/>
      <w:marTop w:val="0"/>
      <w:marBottom w:val="0"/>
      <w:divBdr>
        <w:top w:val="none" w:sz="0" w:space="0" w:color="auto"/>
        <w:left w:val="none" w:sz="0" w:space="0" w:color="auto"/>
        <w:bottom w:val="none" w:sz="0" w:space="0" w:color="auto"/>
        <w:right w:val="none" w:sz="0" w:space="0" w:color="auto"/>
      </w:divBdr>
    </w:div>
    <w:div w:id="2066757746">
      <w:bodyDiv w:val="1"/>
      <w:marLeft w:val="0"/>
      <w:marRight w:val="0"/>
      <w:marTop w:val="0"/>
      <w:marBottom w:val="0"/>
      <w:divBdr>
        <w:top w:val="none" w:sz="0" w:space="0" w:color="auto"/>
        <w:left w:val="none" w:sz="0" w:space="0" w:color="auto"/>
        <w:bottom w:val="none" w:sz="0" w:space="0" w:color="auto"/>
        <w:right w:val="none" w:sz="0" w:space="0" w:color="auto"/>
      </w:divBdr>
    </w:div>
    <w:div w:id="2113936491">
      <w:bodyDiv w:val="1"/>
      <w:marLeft w:val="0"/>
      <w:marRight w:val="0"/>
      <w:marTop w:val="0"/>
      <w:marBottom w:val="0"/>
      <w:divBdr>
        <w:top w:val="none" w:sz="0" w:space="0" w:color="auto"/>
        <w:left w:val="none" w:sz="0" w:space="0" w:color="auto"/>
        <w:bottom w:val="none" w:sz="0" w:space="0" w:color="auto"/>
        <w:right w:val="none" w:sz="0" w:space="0" w:color="auto"/>
      </w:divBdr>
    </w:div>
    <w:div w:id="212179754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 Id="rId14" Type="http://schemas.openxmlformats.org/officeDocument/2006/relationships/customXml" Target="../customXml/item5.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E75436E5C8318B43BE376E94C3F89407" ma:contentTypeVersion="9" ma:contentTypeDescription="Crée un document." ma:contentTypeScope="" ma:versionID="e0e59ee08cc748e4f2948240b892d646">
  <xsd:schema xmlns:xsd="http://www.w3.org/2001/XMLSchema" xmlns:xs="http://www.w3.org/2001/XMLSchema" xmlns:p="http://schemas.microsoft.com/office/2006/metadata/properties" xmlns:ns2="0f339bee-ab44-47cb-a36f-c3a3274a5275" xmlns:ns3="a43d19dd-e07f-4b15-b77c-83e405e60a86" targetNamespace="http://schemas.microsoft.com/office/2006/metadata/properties" ma:root="true" ma:fieldsID="7a01ecc0420950469ff43c0c14a4a0df" ns2:_="" ns3:_="">
    <xsd:import namespace="0f339bee-ab44-47cb-a36f-c3a3274a5275"/>
    <xsd:import namespace="a43d19dd-e07f-4b15-b77c-83e405e60a86"/>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bjectDetectorVersions"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339bee-ab44-47cb-a36f-c3a3274a52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43d19dd-e07f-4b15-b77c-83e405e60a86" elementFormDefault="qualified">
    <xsd:import namespace="http://schemas.microsoft.com/office/2006/documentManagement/types"/>
    <xsd:import namespace="http://schemas.microsoft.com/office/infopath/2007/PartnerControls"/>
    <xsd:element name="SharedWithUsers" ma:index="13"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c52eb4dc-0ef3-4aa8-8e03-025dbf6c8637" ContentTypeId="0x0101" PreviousValue="false"/>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7797543-0ACA-4E0D-A254-9CD3E9977799}">
  <ds:schemaRefs>
    <ds:schemaRef ds:uri="http://schemas.openxmlformats.org/officeDocument/2006/bibliography"/>
  </ds:schemaRefs>
</ds:datastoreItem>
</file>

<file path=customXml/itemProps2.xml><?xml version="1.0" encoding="utf-8"?>
<ds:datastoreItem xmlns:ds="http://schemas.openxmlformats.org/officeDocument/2006/customXml" ds:itemID="{88055DCE-C51D-4586-AE06-D51ED43CBF87}"/>
</file>

<file path=customXml/itemProps3.xml><?xml version="1.0" encoding="utf-8"?>
<ds:datastoreItem xmlns:ds="http://schemas.openxmlformats.org/officeDocument/2006/customXml" ds:itemID="{9043419F-CF51-4AE6-B2B1-C51209C727F3}"/>
</file>

<file path=customXml/itemProps4.xml><?xml version="1.0" encoding="utf-8"?>
<ds:datastoreItem xmlns:ds="http://schemas.openxmlformats.org/officeDocument/2006/customXml" ds:itemID="{95977C66-89A9-4F10-80DB-28D7511A6240}"/>
</file>

<file path=customXml/itemProps5.xml><?xml version="1.0" encoding="utf-8"?>
<ds:datastoreItem xmlns:ds="http://schemas.openxmlformats.org/officeDocument/2006/customXml" ds:itemID="{8B946A8C-D789-466F-9F48-233036757F26}"/>
</file>

<file path=docProps/app.xml><?xml version="1.0" encoding="utf-8"?>
<Properties xmlns="http://schemas.openxmlformats.org/officeDocument/2006/extended-properties" xmlns:vt="http://schemas.openxmlformats.org/officeDocument/2006/docPropsVTypes">
  <Template>Normal</Template>
  <TotalTime>93</TotalTime>
  <Pages>2</Pages>
  <Words>1345</Words>
  <Characters>7401</Characters>
  <Application>Microsoft Office Word</Application>
  <DocSecurity>0</DocSecurity>
  <Lines>61</Lines>
  <Paragraphs>17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Claudia TANI</dc:creator>
  <cp:keywords/>
  <cp:lastModifiedBy>Tristan TOUZELLIER</cp:lastModifiedBy>
  <cp:revision>15</cp:revision>
  <cp:lastPrinted>2022-12-16T10:08:00Z</cp:lastPrinted>
  <dcterms:created xsi:type="dcterms:W3CDTF">2023-03-13T15:29:00Z</dcterms:created>
  <dcterms:modified xsi:type="dcterms:W3CDTF">2023-03-30T13:49:00Z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8a19f0c-bea1-442e-a475-ed109d9ec508_Enabled">
    <vt:lpwstr>True</vt:lpwstr>
  </property>
  <property fmtid="{D5CDD505-2E9C-101B-9397-08002B2CF9AE}" pid="3" name="MSIP_Label_48a19f0c-bea1-442e-a475-ed109d9ec508_SiteId">
    <vt:lpwstr>d5bb6d35-8a82-4329-b49a-5030bd6497ab</vt:lpwstr>
  </property>
  <property fmtid="{D5CDD505-2E9C-101B-9397-08002B2CF9AE}" pid="4" name="MSIP_Label_48a19f0c-bea1-442e-a475-ed109d9ec508_Owner">
    <vt:lpwstr>Delphine.HENNEQUIN@bpalc.fr</vt:lpwstr>
  </property>
  <property fmtid="{D5CDD505-2E9C-101B-9397-08002B2CF9AE}" pid="5" name="MSIP_Label_48a19f0c-bea1-442e-a475-ed109d9ec508_SetDate">
    <vt:lpwstr>2021-10-11T13:04:50.6543042Z</vt:lpwstr>
  </property>
  <property fmtid="{D5CDD505-2E9C-101B-9397-08002B2CF9AE}" pid="6" name="MSIP_Label_48a19f0c-bea1-442e-a475-ed109d9ec508_Name">
    <vt:lpwstr>C2 - Interne BPCE</vt:lpwstr>
  </property>
  <property fmtid="{D5CDD505-2E9C-101B-9397-08002B2CF9AE}" pid="7" name="MSIP_Label_48a19f0c-bea1-442e-a475-ed109d9ec508_Application">
    <vt:lpwstr>Microsoft Azure Information Protection</vt:lpwstr>
  </property>
  <property fmtid="{D5CDD505-2E9C-101B-9397-08002B2CF9AE}" pid="8" name="MSIP_Label_48a19f0c-bea1-442e-a475-ed109d9ec508_Extended_MSFT_Method">
    <vt:lpwstr>Automatic</vt:lpwstr>
  </property>
  <property fmtid="{D5CDD505-2E9C-101B-9397-08002B2CF9AE}" pid="9" name="Sensitivity">
    <vt:lpwstr>C2 - Interne BPCE</vt:lpwstr>
  </property>
  <property fmtid="{D5CDD505-2E9C-101B-9397-08002B2CF9AE}" pid="10" name="ContentTypeId">
    <vt:lpwstr>0x010100E75436E5C8318B43BE376E94C3F89407</vt:lpwstr>
  </property>
  <property fmtid="{D5CDD505-2E9C-101B-9397-08002B2CF9AE}" pid="11" name="Order">
    <vt:r8>100</vt:r8>
  </property>
</Properties>
</file>