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25E11E" w14:textId="66163379" w:rsidR="00870456" w:rsidRPr="004A3B30" w:rsidRDefault="00175F1E" w:rsidP="00FC5C52">
      <w:pPr>
        <w:ind w:left="-142"/>
        <w:jc w:val="both"/>
        <w:rPr>
          <w:highlight w:val="green"/>
        </w:rPr>
      </w:pPr>
      <w:r w:rsidRPr="004A3B30">
        <w:rPr>
          <w:noProof/>
          <w:highlight w:val="green"/>
          <w:lang w:eastAsia="fr-FR"/>
        </w:rPr>
        <mc:AlternateContent>
          <mc:Choice Requires="wps">
            <w:drawing>
              <wp:anchor distT="0" distB="0" distL="114300" distR="114300" simplePos="0" relativeHeight="251658241" behindDoc="0" locked="0" layoutInCell="1" allowOverlap="1" wp14:anchorId="5490B8B7" wp14:editId="66F2FC12">
                <wp:simplePos x="0" y="0"/>
                <wp:positionH relativeFrom="column">
                  <wp:posOffset>32385</wp:posOffset>
                </wp:positionH>
                <wp:positionV relativeFrom="paragraph">
                  <wp:posOffset>-55245</wp:posOffset>
                </wp:positionV>
                <wp:extent cx="6426200" cy="525779"/>
                <wp:effectExtent l="0" t="0" r="12700" b="2730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6200" cy="525779"/>
                        </a:xfrm>
                        <a:prstGeom prst="rect">
                          <a:avLst/>
                        </a:prstGeom>
                        <a:solidFill>
                          <a:srgbClr val="FF0000"/>
                        </a:solidFill>
                        <a:ln w="9525">
                          <a:solidFill>
                            <a:srgbClr val="FF0000"/>
                          </a:solidFill>
                          <a:miter lim="800000"/>
                          <a:headEnd/>
                          <a:tailEnd/>
                        </a:ln>
                        <a:effectLst/>
                      </wps:spPr>
                      <wps:txbx>
                        <w:txbxContent>
                          <w:p w14:paraId="310B2080" w14:textId="77777777" w:rsidR="00606A2E" w:rsidRPr="004A3B30" w:rsidRDefault="00606A2E" w:rsidP="00606A2E">
                            <w:pPr>
                              <w:pStyle w:val="Corpsdetexte"/>
                              <w:ind w:left="-180" w:right="-149"/>
                              <w:rPr>
                                <w:rFonts w:ascii="Arial" w:hAnsi="Arial"/>
                                <w:b/>
                                <w:color w:val="FFFFFF"/>
                                <w:sz w:val="32"/>
                              </w:rPr>
                            </w:pPr>
                            <w:r>
                              <w:rPr>
                                <w:rFonts w:ascii="Arial" w:hAnsi="Arial"/>
                                <w:b/>
                                <w:color w:val="FFFFFF"/>
                                <w:sz w:val="32"/>
                              </w:rPr>
                              <w:t xml:space="preserve">Société Civile de </w:t>
                            </w:r>
                            <w:r w:rsidRPr="004A3B30">
                              <w:rPr>
                                <w:rFonts w:ascii="Arial" w:hAnsi="Arial"/>
                                <w:b/>
                                <w:color w:val="FFFFFF"/>
                                <w:sz w:val="32"/>
                              </w:rPr>
                              <w:t xml:space="preserve">Placement Immobilier (SCPI) </w:t>
                            </w:r>
                          </w:p>
                          <w:p w14:paraId="12EA8E1E" w14:textId="78D59547" w:rsidR="001624FA" w:rsidRPr="00AD187C" w:rsidRDefault="00DF42EA" w:rsidP="002A2F6A">
                            <w:pPr>
                              <w:pStyle w:val="Corpsdetexte"/>
                              <w:ind w:left="-180" w:right="-149"/>
                              <w:rPr>
                                <w:rFonts w:ascii="Arial" w:hAnsi="Arial"/>
                                <w:b/>
                                <w:color w:val="FFFFFF"/>
                                <w:sz w:val="32"/>
                              </w:rPr>
                            </w:pPr>
                            <w:r>
                              <w:rPr>
                                <w:rFonts w:ascii="Arial" w:hAnsi="Arial"/>
                                <w:b/>
                                <w:color w:val="FFFFFF" w:themeColor="background1"/>
                                <w:sz w:val="32"/>
                              </w:rPr>
                              <w:t>PRIMOVIE</w:t>
                            </w:r>
                          </w:p>
                        </w:txbxContent>
                      </wps:txbx>
                      <wps:bodyPr rot="0" vert="horz" wrap="square" lIns="180000" tIns="0" rIns="180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490B8B7" id="Rectangle 8" o:spid="_x0000_s1026" style="position:absolute;left:0;text-align:left;margin-left:2.55pt;margin-top:-4.35pt;width:506pt;height:41.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" fillcolor="red" strokecolor="red">
                <v:textbox inset="5mm,0,5mm,0">
                  <w:txbxContent>
                    <w:p w14:paraId="310B2080" w14:textId="77777777" w:rsidR="00606A2E" w:rsidRPr="004A3B30" w:rsidRDefault="00606A2E" w:rsidP="00606A2E">
                      <w:pPr>
                        <w:pStyle w:val="Corpsdetexte"/>
                        <w:ind w:left="-180" w:right="-149"/>
                        <w:rPr>
                          <w:rFonts w:ascii="Arial" w:hAnsi="Arial"/>
                          <w:b/>
                          <w:color w:val="FFFFFF"/>
                          <w:sz w:val="32"/>
                        </w:rPr>
                      </w:pPr>
                      <w:r>
                        <w:rPr>
                          <w:rFonts w:ascii="Arial" w:hAnsi="Arial"/>
                          <w:b/>
                          <w:color w:val="FFFFFF"/>
                          <w:sz w:val="32"/>
                        </w:rPr>
                        <w:t xml:space="preserve">Société Civile de </w:t>
                      </w:r>
                      <w:r w:rsidRPr="004A3B30">
                        <w:rPr>
                          <w:rFonts w:ascii="Arial" w:hAnsi="Arial"/>
                          <w:b/>
                          <w:color w:val="FFFFFF"/>
                          <w:sz w:val="32"/>
                        </w:rPr>
                        <w:t xml:space="preserve">Placement Immobilier (SCPI) </w:t>
                      </w:r>
                    </w:p>
                    <w:p w14:paraId="12EA8E1E" w14:textId="78D59547" w:rsidR="001624FA" w:rsidRPr="00AD187C" w:rsidRDefault="00DF42EA" w:rsidP="002A2F6A">
                      <w:pPr>
                        <w:pStyle w:val="Corpsdetexte"/>
                        <w:ind w:left="-180" w:right="-149"/>
                        <w:rPr>
                          <w:rFonts w:ascii="Arial" w:hAnsi="Arial"/>
                          <w:b/>
                          <w:color w:val="FFFFFF"/>
                          <w:sz w:val="32"/>
                        </w:rPr>
                      </w:pPr>
                      <w:r>
                        <w:rPr>
                          <w:rFonts w:ascii="Arial" w:hAnsi="Arial"/>
                          <w:b/>
                          <w:color w:val="FFFFFF" w:themeColor="background1"/>
                          <w:sz w:val="32"/>
                        </w:rPr>
                        <w:t>PRIMOVIE</w:t>
                      </w:r>
                    </w:p>
                  </w:txbxContent>
                </v:textbox>
              </v:rect>
            </w:pict>
          </mc:Fallback>
        </mc:AlternateContent>
      </w:r>
    </w:p>
    <w:p w14:paraId="4A3A3E93" w14:textId="6557FCB5" w:rsidR="00870456" w:rsidRPr="004A3B30" w:rsidRDefault="00175F1E" w:rsidP="00FC5C52">
      <w:pPr>
        <w:jc w:val="both"/>
        <w:rPr>
          <w:highlight w:val="green"/>
        </w:rPr>
      </w:pPr>
      <w:r w:rsidRPr="004A3B30">
        <w:rPr>
          <w:noProof/>
          <w:highlight w:val="green"/>
          <w:lang w:eastAsia="fr-FR"/>
        </w:rPr>
        <mc:AlternateContent>
          <mc:Choice Requires="wps">
            <w:drawing>
              <wp:anchor distT="0" distB="0" distL="114300" distR="114300" simplePos="0" relativeHeight="251658240" behindDoc="0" locked="0" layoutInCell="1" allowOverlap="1" wp14:anchorId="77A2AC73" wp14:editId="7D3BD043">
                <wp:simplePos x="0" y="0"/>
                <wp:positionH relativeFrom="margin">
                  <wp:align>right</wp:align>
                </wp:positionH>
                <wp:positionV relativeFrom="paragraph">
                  <wp:posOffset>243840</wp:posOffset>
                </wp:positionV>
                <wp:extent cx="6438900" cy="365760"/>
                <wp:effectExtent l="0" t="0" r="19050" b="152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65760"/>
                        </a:xfrm>
                        <a:prstGeom prst="rect">
                          <a:avLst/>
                        </a:prstGeom>
                        <a:solidFill>
                          <a:srgbClr val="8064A2"/>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FF2E73" w14:textId="77777777" w:rsidR="001624FA" w:rsidRPr="00870456" w:rsidRDefault="001624FA" w:rsidP="00870456">
                            <w:pPr>
                              <w:pStyle w:val="Titre6"/>
                              <w:shd w:val="clear" w:color="auto" w:fill="8064A2"/>
                              <w:rPr>
                                <w:rFonts w:ascii="Times New Roman" w:hAnsi="Times New Roman"/>
                                <w:spacing w:val="0"/>
                                <w:sz w:val="20"/>
                              </w:rPr>
                            </w:pPr>
                            <w:r w:rsidRPr="00870456">
                              <w:rPr>
                                <w:rFonts w:ascii="Arial" w:hAnsi="Arial"/>
                                <w:spacing w:val="0"/>
                                <w:sz w:val="20"/>
                              </w:rPr>
                              <w:t>Fiche d’information destinée aux clients titulaires d’un contrat d’assurance-vie ou de capitalisation assuré par BPCE Vie</w:t>
                            </w:r>
                          </w:p>
                          <w:p w14:paraId="59A5D654" w14:textId="77777777" w:rsidR="001624FA" w:rsidRPr="001F6D46" w:rsidRDefault="001624FA" w:rsidP="00870456">
                            <w:pPr>
                              <w:shd w:val="clear" w:color="auto" w:fill="8064A2"/>
                              <w:spacing w:before="80"/>
                              <w:ind w:right="-149"/>
                              <w:rPr>
                                <w:rFonts w:ascii="Times New Roman" w:hAnsi="Times New Roman"/>
                                <w:spacing w:val="80"/>
                              </w:rPr>
                            </w:pPr>
                          </w:p>
                        </w:txbxContent>
                      </wps:txbx>
                      <wps:bodyPr rot="0" vert="horz" wrap="square" lIns="180000" tIns="0" rIns="18000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A2AC73" id="Rectangle 3" o:spid="_x0000_s1027" style="position:absolute;left:0;text-align:left;margin-left:455.8pt;margin-top:19.2pt;width:507pt;height:28.8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" fillcolor="#8064a2" strokecolor="#969696">
                <v:textbox inset="5mm,0,5mm,0">
                  <w:txbxContent>
                    <w:p w14:paraId="75FF2E73" w14:textId="77777777" w:rsidR="001624FA" w:rsidRPr="00870456" w:rsidRDefault="001624FA" w:rsidP="00870456">
                      <w:pPr>
                        <w:pStyle w:val="Titre6"/>
                        <w:shd w:val="clear" w:color="auto" w:fill="8064A2"/>
                        <w:rPr>
                          <w:rFonts w:ascii="Times New Roman" w:hAnsi="Times New Roman"/>
                          <w:spacing w:val="0"/>
                          <w:sz w:val="20"/>
                        </w:rPr>
                      </w:pPr>
                      <w:r w:rsidRPr="00870456">
                        <w:rPr>
                          <w:rFonts w:ascii="Arial" w:hAnsi="Arial"/>
                          <w:spacing w:val="0"/>
                          <w:sz w:val="20"/>
                        </w:rPr>
                        <w:t>Fiche d’information destinée aux clients titulaires d’un contrat d’assurance-vie ou de capitalisation assuré par BPCE Vie</w:t>
                      </w:r>
                    </w:p>
                    <w:p w14:paraId="59A5D654" w14:textId="77777777" w:rsidR="001624FA" w:rsidRPr="001F6D46" w:rsidRDefault="001624FA" w:rsidP="00870456">
                      <w:pPr>
                        <w:shd w:val="clear" w:color="auto" w:fill="8064A2"/>
                        <w:spacing w:before="80"/>
                        <w:ind w:right="-149"/>
                        <w:rPr>
                          <w:rFonts w:ascii="Times New Roman" w:hAnsi="Times New Roman"/>
                          <w:spacing w:val="80"/>
                        </w:rPr>
                      </w:pPr>
                    </w:p>
                  </w:txbxContent>
                </v:textbox>
                <w10:wrap anchorx="margin"/>
              </v:rect>
            </w:pict>
          </mc:Fallback>
        </mc:AlternateContent>
      </w:r>
    </w:p>
    <w:p w14:paraId="377F5EDA" w14:textId="0C65E167" w:rsidR="00870456" w:rsidRPr="004A3B30" w:rsidRDefault="00870456" w:rsidP="00FC5C52">
      <w:pPr>
        <w:jc w:val="both"/>
        <w:rPr>
          <w:highlight w:val="green"/>
        </w:rPr>
      </w:pPr>
    </w:p>
    <w:p w14:paraId="2C6695AE" w14:textId="3835AE70" w:rsidR="00870456" w:rsidRPr="004A3B30" w:rsidRDefault="00175F1E" w:rsidP="00FC5C52">
      <w:pPr>
        <w:jc w:val="both"/>
        <w:rPr>
          <w:highlight w:val="green"/>
        </w:rPr>
      </w:pPr>
      <w:r w:rsidRPr="004A3B30">
        <w:rPr>
          <w:noProof/>
          <w:highlight w:val="green"/>
          <w:lang w:eastAsia="fr-FR"/>
        </w:rPr>
        <mc:AlternateContent>
          <mc:Choice Requires="wps">
            <w:drawing>
              <wp:anchor distT="0" distB="0" distL="114300" distR="114300" simplePos="0" relativeHeight="251658242" behindDoc="1" locked="0" layoutInCell="1" allowOverlap="1" wp14:anchorId="1AF6BB35" wp14:editId="690BD0DD">
                <wp:simplePos x="0" y="0"/>
                <wp:positionH relativeFrom="margin">
                  <wp:posOffset>21314</wp:posOffset>
                </wp:positionH>
                <wp:positionV relativeFrom="paragraph">
                  <wp:posOffset>100772</wp:posOffset>
                </wp:positionV>
                <wp:extent cx="6483350" cy="1168841"/>
                <wp:effectExtent l="0" t="0" r="0" b="0"/>
                <wp:wrapNone/>
                <wp:docPr id="2" name="Forme libre : form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3350" cy="1168841"/>
                        </a:xfrm>
                        <a:custGeom>
                          <a:avLst/>
                          <a:gdLst>
                            <a:gd name="T0" fmla="*/ 385 w 20000"/>
                            <a:gd name="T1" fmla="*/ 0 h 20000"/>
                            <a:gd name="T2" fmla="*/ 352 w 20000"/>
                            <a:gd name="T3" fmla="*/ 30 h 20000"/>
                            <a:gd name="T4" fmla="*/ 320 w 20000"/>
                            <a:gd name="T5" fmla="*/ 61 h 20000"/>
                            <a:gd name="T6" fmla="*/ 224 w 20000"/>
                            <a:gd name="T7" fmla="*/ 242 h 20000"/>
                            <a:gd name="T8" fmla="*/ 161 w 20000"/>
                            <a:gd name="T9" fmla="*/ 591 h 20000"/>
                            <a:gd name="T10" fmla="*/ 96 w 20000"/>
                            <a:gd name="T11" fmla="*/ 1000 h 20000"/>
                            <a:gd name="T12" fmla="*/ 63 w 20000"/>
                            <a:gd name="T13" fmla="*/ 1470 h 20000"/>
                            <a:gd name="T14" fmla="*/ 33 w 20000"/>
                            <a:gd name="T15" fmla="*/ 2061 h 20000"/>
                            <a:gd name="T16" fmla="*/ 0 w 20000"/>
                            <a:gd name="T17" fmla="*/ 2652 h 20000"/>
                            <a:gd name="T18" fmla="*/ 0 w 20000"/>
                            <a:gd name="T19" fmla="*/ 3333 h 20000"/>
                            <a:gd name="T20" fmla="*/ 0 w 20000"/>
                            <a:gd name="T21" fmla="*/ 16667 h 20000"/>
                            <a:gd name="T22" fmla="*/ 0 w 20000"/>
                            <a:gd name="T23" fmla="*/ 17348 h 20000"/>
                            <a:gd name="T24" fmla="*/ 33 w 20000"/>
                            <a:gd name="T25" fmla="*/ 17939 h 20000"/>
                            <a:gd name="T26" fmla="*/ 63 w 20000"/>
                            <a:gd name="T27" fmla="*/ 18530 h 20000"/>
                            <a:gd name="T28" fmla="*/ 96 w 20000"/>
                            <a:gd name="T29" fmla="*/ 19000 h 20000"/>
                            <a:gd name="T30" fmla="*/ 161 w 20000"/>
                            <a:gd name="T31" fmla="*/ 19409 h 20000"/>
                            <a:gd name="T32" fmla="*/ 224 w 20000"/>
                            <a:gd name="T33" fmla="*/ 19758 h 20000"/>
                            <a:gd name="T34" fmla="*/ 320 w 20000"/>
                            <a:gd name="T35" fmla="*/ 19939 h 20000"/>
                            <a:gd name="T36" fmla="*/ 352 w 20000"/>
                            <a:gd name="T37" fmla="*/ 19970 h 20000"/>
                            <a:gd name="T38" fmla="*/ 385 w 20000"/>
                            <a:gd name="T39" fmla="*/ 20000 h 20000"/>
                            <a:gd name="T40" fmla="*/ 19615 w 20000"/>
                            <a:gd name="T41" fmla="*/ 20000 h 20000"/>
                            <a:gd name="T42" fmla="*/ 19648 w 20000"/>
                            <a:gd name="T43" fmla="*/ 19970 h 20000"/>
                            <a:gd name="T44" fmla="*/ 19713 w 20000"/>
                            <a:gd name="T45" fmla="*/ 19939 h 20000"/>
                            <a:gd name="T46" fmla="*/ 19776 w 20000"/>
                            <a:gd name="T47" fmla="*/ 19758 h 20000"/>
                            <a:gd name="T48" fmla="*/ 19839 w 20000"/>
                            <a:gd name="T49" fmla="*/ 19409 h 20000"/>
                            <a:gd name="T50" fmla="*/ 19904 w 20000"/>
                            <a:gd name="T51" fmla="*/ 19000 h 20000"/>
                            <a:gd name="T52" fmla="*/ 19937 w 20000"/>
                            <a:gd name="T53" fmla="*/ 18530 h 20000"/>
                            <a:gd name="T54" fmla="*/ 19967 w 20000"/>
                            <a:gd name="T55" fmla="*/ 17939 h 20000"/>
                            <a:gd name="T56" fmla="*/ 20000 w 20000"/>
                            <a:gd name="T57" fmla="*/ 17348 h 20000"/>
                            <a:gd name="T58" fmla="*/ 20000 w 20000"/>
                            <a:gd name="T59" fmla="*/ 16667 h 20000"/>
                            <a:gd name="T60" fmla="*/ 20000 w 20000"/>
                            <a:gd name="T61" fmla="*/ 3333 h 20000"/>
                            <a:gd name="T62" fmla="*/ 20000 w 20000"/>
                            <a:gd name="T63" fmla="*/ 2652 h 20000"/>
                            <a:gd name="T64" fmla="*/ 19967 w 20000"/>
                            <a:gd name="T65" fmla="*/ 2061 h 20000"/>
                            <a:gd name="T66" fmla="*/ 19937 w 20000"/>
                            <a:gd name="T67" fmla="*/ 1470 h 20000"/>
                            <a:gd name="T68" fmla="*/ 19904 w 20000"/>
                            <a:gd name="T69" fmla="*/ 1000 h 20000"/>
                            <a:gd name="T70" fmla="*/ 19839 w 20000"/>
                            <a:gd name="T71" fmla="*/ 591 h 20000"/>
                            <a:gd name="T72" fmla="*/ 19776 w 20000"/>
                            <a:gd name="T73" fmla="*/ 242 h 20000"/>
                            <a:gd name="T74" fmla="*/ 19713 w 20000"/>
                            <a:gd name="T75" fmla="*/ 61 h 20000"/>
                            <a:gd name="T76" fmla="*/ 19648 w 20000"/>
                            <a:gd name="T77" fmla="*/ 30 h 20000"/>
                            <a:gd name="T78" fmla="*/ 19615 w 20000"/>
                            <a:gd name="T79" fmla="*/ 0 h 20000"/>
                            <a:gd name="T80" fmla="*/ 385 w 20000"/>
                            <a:gd name="T81" fmla="*/ 0 h 20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20000" h="20000">
                              <a:moveTo>
                                <a:pt x="385" y="0"/>
                              </a:moveTo>
                              <a:lnTo>
                                <a:pt x="352" y="30"/>
                              </a:lnTo>
                              <a:lnTo>
                                <a:pt x="320" y="61"/>
                              </a:lnTo>
                              <a:lnTo>
                                <a:pt x="224" y="242"/>
                              </a:lnTo>
                              <a:lnTo>
                                <a:pt x="161" y="591"/>
                              </a:lnTo>
                              <a:lnTo>
                                <a:pt x="96" y="1000"/>
                              </a:lnTo>
                              <a:lnTo>
                                <a:pt x="63" y="1470"/>
                              </a:lnTo>
                              <a:lnTo>
                                <a:pt x="33" y="2061"/>
                              </a:lnTo>
                              <a:lnTo>
                                <a:pt x="0" y="2652"/>
                              </a:lnTo>
                              <a:lnTo>
                                <a:pt x="0" y="3333"/>
                              </a:lnTo>
                              <a:lnTo>
                                <a:pt x="0" y="16667"/>
                              </a:lnTo>
                              <a:lnTo>
                                <a:pt x="0" y="17348"/>
                              </a:lnTo>
                              <a:lnTo>
                                <a:pt x="33" y="17939"/>
                              </a:lnTo>
                              <a:lnTo>
                                <a:pt x="63" y="18530"/>
                              </a:lnTo>
                              <a:lnTo>
                                <a:pt x="96" y="19000"/>
                              </a:lnTo>
                              <a:lnTo>
                                <a:pt x="161" y="19409"/>
                              </a:lnTo>
                              <a:lnTo>
                                <a:pt x="224" y="19758"/>
                              </a:lnTo>
                              <a:lnTo>
                                <a:pt x="320" y="19939"/>
                              </a:lnTo>
                              <a:lnTo>
                                <a:pt x="352" y="19970"/>
                              </a:lnTo>
                              <a:lnTo>
                                <a:pt x="385" y="20000"/>
                              </a:lnTo>
                              <a:lnTo>
                                <a:pt x="19615" y="20000"/>
                              </a:lnTo>
                              <a:lnTo>
                                <a:pt x="19648" y="19970"/>
                              </a:lnTo>
                              <a:lnTo>
                                <a:pt x="19713" y="19939"/>
                              </a:lnTo>
                              <a:lnTo>
                                <a:pt x="19776" y="19758"/>
                              </a:lnTo>
                              <a:lnTo>
                                <a:pt x="19839" y="19409"/>
                              </a:lnTo>
                              <a:lnTo>
                                <a:pt x="19904" y="19000"/>
                              </a:lnTo>
                              <a:lnTo>
                                <a:pt x="19937" y="18530"/>
                              </a:lnTo>
                              <a:lnTo>
                                <a:pt x="19967" y="17939"/>
                              </a:lnTo>
                              <a:lnTo>
                                <a:pt x="20000" y="17348"/>
                              </a:lnTo>
                              <a:lnTo>
                                <a:pt x="20000" y="16667"/>
                              </a:lnTo>
                              <a:lnTo>
                                <a:pt x="20000" y="3333"/>
                              </a:lnTo>
                              <a:lnTo>
                                <a:pt x="20000" y="2652"/>
                              </a:lnTo>
                              <a:lnTo>
                                <a:pt x="19967" y="2061"/>
                              </a:lnTo>
                              <a:lnTo>
                                <a:pt x="19937" y="1470"/>
                              </a:lnTo>
                              <a:lnTo>
                                <a:pt x="19904" y="1000"/>
                              </a:lnTo>
                              <a:lnTo>
                                <a:pt x="19839" y="591"/>
                              </a:lnTo>
                              <a:lnTo>
                                <a:pt x="19776" y="242"/>
                              </a:lnTo>
                              <a:lnTo>
                                <a:pt x="19713" y="61"/>
                              </a:lnTo>
                              <a:lnTo>
                                <a:pt x="19648" y="30"/>
                              </a:lnTo>
                              <a:lnTo>
                                <a:pt x="19615" y="0"/>
                              </a:lnTo>
                              <a:lnTo>
                                <a:pt x="385" y="0"/>
                              </a:lnTo>
                              <a:close/>
                            </a:path>
                          </a:pathLst>
                        </a:custGeom>
                        <a:solidFill>
                          <a:srgbClr val="E5DFEC"/>
                        </a:solidFill>
                        <a:ln>
                          <a:noFill/>
                        </a:ln>
                        <a:effectLst/>
                        <a:extLst>
                          <a:ext uri="{91240B29-F687-4F45-9708-019B960494DF}">
                            <a14:hiddenLine xmlns:a14="http://schemas.microsoft.com/office/drawing/2010/main" w="0" cap="flat">
                              <a:solidFill>
                                <a:srgbClr val="000000"/>
                              </a:solidFill>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FDA82B7" w14:textId="5BBE6A57" w:rsidR="002A2F6A" w:rsidRPr="00286472" w:rsidRDefault="002A2F6A" w:rsidP="002A2F6A">
                            <w:pPr>
                              <w:jc w:val="both"/>
                              <w:rPr>
                                <w:rFonts w:ascii="Arial" w:hAnsi="Arial" w:cs="Arial"/>
                                <w:b/>
                                <w:bCs/>
                                <w:sz w:val="16"/>
                                <w:szCs w:val="16"/>
                              </w:rPr>
                            </w:pPr>
                            <w:r w:rsidRPr="00286472">
                              <w:rPr>
                                <w:rFonts w:ascii="Arial" w:hAnsi="Arial" w:cs="Arial"/>
                                <w:b/>
                                <w:bCs/>
                                <w:sz w:val="16"/>
                                <w:szCs w:val="16"/>
                              </w:rPr>
                              <w:t xml:space="preserve">Les informations ci-dessous, et notamment sur les facteurs de risques, ne se substituent pas à celles mentionnées dans la documentation légale telle la note d’information du support financier. Ce document, ainsi que le document d’informations clés qui présente les caractéristiques principales du support financier doivent vous être remis </w:t>
                            </w:r>
                            <w:r w:rsidRPr="007921E8">
                              <w:rPr>
                                <w:rFonts w:ascii="Arial" w:hAnsi="Arial" w:cs="Arial"/>
                                <w:b/>
                                <w:bCs/>
                                <w:sz w:val="16"/>
                                <w:szCs w:val="16"/>
                              </w:rPr>
                              <w:t xml:space="preserve">préalablement à l’investissement sur ledit support. Ils sont également disponibles sans frais auprès de la société de </w:t>
                            </w:r>
                            <w:r w:rsidRPr="000538A0">
                              <w:rPr>
                                <w:rFonts w:ascii="Arial" w:hAnsi="Arial" w:cs="Arial"/>
                                <w:b/>
                                <w:bCs/>
                                <w:sz w:val="16"/>
                                <w:szCs w:val="16"/>
                              </w:rPr>
                              <w:t xml:space="preserve">gestion et sur </w:t>
                            </w:r>
                            <w:hyperlink r:id="rId11" w:history="1">
                              <w:r w:rsidR="00DF42EA" w:rsidRPr="00891DED">
                                <w:rPr>
                                  <w:rStyle w:val="Lienhypertexte"/>
                                  <w:rFonts w:ascii="Arial" w:hAnsi="Arial" w:cs="Arial"/>
                                  <w:b/>
                                  <w:bCs/>
                                  <w:sz w:val="16"/>
                                  <w:szCs w:val="16"/>
                                </w:rPr>
                                <w:t>www.primonialreim.com</w:t>
                              </w:r>
                            </w:hyperlink>
                            <w:r w:rsidR="007921E8" w:rsidRPr="000538A0">
                              <w:rPr>
                                <w:rFonts w:ascii="Arial" w:hAnsi="Arial" w:cs="Arial"/>
                                <w:sz w:val="16"/>
                                <w:szCs w:val="16"/>
                              </w:rPr>
                              <w:t xml:space="preserve">. </w:t>
                            </w:r>
                            <w:r w:rsidR="007921E8" w:rsidRPr="000538A0">
                              <w:rPr>
                                <w:rFonts w:ascii="Arial" w:hAnsi="Arial" w:cs="Arial"/>
                                <w:b/>
                                <w:bCs/>
                                <w:sz w:val="16"/>
                                <w:szCs w:val="16"/>
                              </w:rPr>
                              <w:t>Le</w:t>
                            </w:r>
                            <w:r w:rsidRPr="000538A0">
                              <w:rPr>
                                <w:rFonts w:ascii="Arial" w:hAnsi="Arial" w:cs="Arial"/>
                                <w:b/>
                                <w:bCs/>
                                <w:sz w:val="16"/>
                                <w:szCs w:val="16"/>
                              </w:rPr>
                              <w:t xml:space="preserve"> document</w:t>
                            </w:r>
                            <w:r w:rsidRPr="004D302D">
                              <w:rPr>
                                <w:rFonts w:ascii="Arial" w:hAnsi="Arial" w:cs="Arial"/>
                                <w:b/>
                                <w:bCs/>
                                <w:sz w:val="16"/>
                                <w:szCs w:val="16"/>
                              </w:rPr>
                              <w:t xml:space="preserve"> d’informations clés est également disponible sur le site </w:t>
                            </w:r>
                            <w:hyperlink r:id="rId12" w:history="1">
                              <w:r w:rsidRPr="00CA057F">
                                <w:rPr>
                                  <w:rStyle w:val="Lienhypertexte"/>
                                  <w:rFonts w:ascii="Arial" w:hAnsi="Arial" w:cs="Arial"/>
                                  <w:b/>
                                  <w:bCs/>
                                  <w:sz w:val="16"/>
                                  <w:szCs w:val="16"/>
                                </w:rPr>
                                <w:t>https://priips.assurances.groupebpce.com/</w:t>
                              </w:r>
                            </w:hyperlink>
                            <w:r w:rsidRPr="00CA057F">
                              <w:rPr>
                                <w:rFonts w:ascii="Arial" w:hAnsi="Arial" w:cs="Arial"/>
                                <w:b/>
                                <w:bCs/>
                                <w:sz w:val="16"/>
                                <w:szCs w:val="16"/>
                              </w:rPr>
                              <w:t>.</w:t>
                            </w:r>
                          </w:p>
                          <w:p w14:paraId="16E03A47" w14:textId="2BD114F3" w:rsidR="003D79DB" w:rsidRPr="00286472" w:rsidRDefault="003D79DB" w:rsidP="006A3DC7">
                            <w:pPr>
                              <w:autoSpaceDE w:val="0"/>
                              <w:autoSpaceDN w:val="0"/>
                              <w:adjustRightInd w:val="0"/>
                              <w:spacing w:after="0" w:line="240" w:lineRule="auto"/>
                              <w:jc w:val="both"/>
                              <w:rPr>
                                <w:rFonts w:ascii="Arial" w:hAnsi="Arial" w:cs="Arial"/>
                                <w:b/>
                                <w:bCs/>
                                <w:sz w:val="16"/>
                                <w:szCs w:val="16"/>
                              </w:rPr>
                            </w:pPr>
                            <w:r w:rsidRPr="00286472">
                              <w:rPr>
                                <w:rFonts w:ascii="Arial" w:eastAsia="Calibri" w:hAnsi="Arial" w:cs="Arial"/>
                                <w:b/>
                                <w:bCs/>
                                <w:sz w:val="16"/>
                                <w:szCs w:val="14"/>
                              </w:rPr>
                              <w:t>Le présent document porte avenant aux conditions générales valant notice</w:t>
                            </w:r>
                            <w:r w:rsidR="002B6C18">
                              <w:rPr>
                                <w:rFonts w:ascii="Arial" w:eastAsia="Calibri" w:hAnsi="Arial" w:cs="Arial"/>
                                <w:b/>
                                <w:bCs/>
                                <w:sz w:val="16"/>
                                <w:szCs w:val="14"/>
                              </w:rPr>
                              <w:t xml:space="preserve"> </w:t>
                            </w:r>
                            <w:r w:rsidRPr="00286472">
                              <w:rPr>
                                <w:rFonts w:ascii="Arial" w:eastAsia="Calibri" w:hAnsi="Arial" w:cs="Arial"/>
                                <w:b/>
                                <w:bCs/>
                                <w:sz w:val="16"/>
                                <w:szCs w:val="14"/>
                              </w:rPr>
                              <w:t>/</w:t>
                            </w:r>
                            <w:r w:rsidR="002B6C18">
                              <w:rPr>
                                <w:rFonts w:ascii="Arial" w:eastAsia="Calibri" w:hAnsi="Arial" w:cs="Arial"/>
                                <w:b/>
                                <w:bCs/>
                                <w:sz w:val="16"/>
                                <w:szCs w:val="14"/>
                              </w:rPr>
                              <w:t xml:space="preserve"> </w:t>
                            </w:r>
                            <w:r w:rsidRPr="00286472">
                              <w:rPr>
                                <w:rFonts w:ascii="Arial" w:eastAsia="Calibri" w:hAnsi="Arial" w:cs="Arial"/>
                                <w:b/>
                                <w:bCs/>
                                <w:sz w:val="16"/>
                                <w:szCs w:val="14"/>
                              </w:rPr>
                              <w:t>note d’information et complète le Document d’Informations Clés. L’ensemble de cette documentation vous a été remise lors de votre adhésion/souscription au contrat d’assurance vie ou de capitalisation.</w:t>
                            </w:r>
                          </w:p>
                          <w:p w14:paraId="04D44E73" w14:textId="233A83D5" w:rsidR="003D79DB" w:rsidRPr="003D79DB" w:rsidRDefault="003D79DB" w:rsidP="003D79DB">
                            <w:pPr>
                              <w:rPr>
                                <w:rFonts w:ascii="Arial" w:hAnsi="Arial" w:cs="Arial"/>
                                <w:b/>
                                <w:bCs/>
                                <w:spacing w:val="-6"/>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F6BB35" id="Forme libre : forme 2" o:spid="_x0000_s1028" style="position:absolute;left:0;text-align:left;margin-left:1.7pt;margin-top:7.95pt;width:510.5pt;height:92.05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20000,2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" adj="-11796480,,5400" path="m385,l352,30,320,61,224,242,161,591,96,1000,63,1470,33,2061,,2652r,681l,16667r,681l33,17939r30,591l96,19000r65,409l224,19758r96,181l352,19970r33,30l19615,20000r33,-30l19713,19939r63,-181l19839,19409r65,-409l19937,18530r30,-591l20000,17348r,-681l20000,3333r,-681l19967,2061r-30,-591l19904,1000r-65,-409l19776,242,19713,61r-65,-31l19615,,385,xe" fillcolor="#e5dfec" stroked="f" strokeweight="0">
                <v:stroke joinstyle="round"/>
                <v:formulas/>
                <v:path arrowok="t" o:connecttype="custom" o:connectlocs="124804,0;114107,1753;103734,3565;72614,14143;52191,34539;31120,58442;20423,85910;10698,120449;0,154988;0,194787;0,974054;0,1013853;10698,1048392;20423,1082931;31120,1110399;52191,1134302;72614,1154698;103734,1165276;114107,1167088;124804,1168841;6358546,1168841;6369243,1167088;6390314,1165276;6410736,1154698;6431159,1134302;6452230,1110399;6462927,1082931;6472652,1048392;6483350,1013853;6483350,974054;6483350,194787;6483350,154988;6472652,120449;6462927,85910;6452230,58442;6431159,34539;6410736,14143;6390314,3565;6369243,1753;6358546,0;124804,0" o:connectangles="0,0,0,0,0,0,0,0,0,0,0,0,0,0,0,0,0,0,0,0,0,0,0,0,0,0,0,0,0,0,0,0,0,0,0,0,0,0,0,0,0" textboxrect="0,0,20000,20000"/>
                <v:textbox>
                  <w:txbxContent>
                    <w:p w14:paraId="6FDA82B7" w14:textId="5BBE6A57" w:rsidR="002A2F6A" w:rsidRPr="00286472" w:rsidRDefault="002A2F6A" w:rsidP="002A2F6A">
                      <w:pPr>
                        <w:jc w:val="both"/>
                        <w:rPr>
                          <w:rFonts w:ascii="Arial" w:hAnsi="Arial" w:cs="Arial"/>
                          <w:b/>
                          <w:bCs/>
                          <w:sz w:val="16"/>
                          <w:szCs w:val="16"/>
                        </w:rPr>
                      </w:pPr>
                      <w:r w:rsidRPr="00286472">
                        <w:rPr>
                          <w:rFonts w:ascii="Arial" w:hAnsi="Arial" w:cs="Arial"/>
                          <w:b/>
                          <w:bCs/>
                          <w:sz w:val="16"/>
                          <w:szCs w:val="16"/>
                        </w:rPr>
                        <w:t xml:space="preserve">Les informations ci-dessous, et notamment sur les facteurs de risques, ne se substituent pas à celles mentionnées dans la documentation légale telle la note d’information du support financier. Ce document, ainsi que le document d’informations clés qui présente les caractéristiques principales du support financier doivent vous être remis </w:t>
                      </w:r>
                      <w:r w:rsidRPr="007921E8">
                        <w:rPr>
                          <w:rFonts w:ascii="Arial" w:hAnsi="Arial" w:cs="Arial"/>
                          <w:b/>
                          <w:bCs/>
                          <w:sz w:val="16"/>
                          <w:szCs w:val="16"/>
                        </w:rPr>
                        <w:t xml:space="preserve">préalablement à l’investissement sur ledit support. Ils sont également disponibles sans frais auprès de la société de </w:t>
                      </w:r>
                      <w:r w:rsidRPr="000538A0">
                        <w:rPr>
                          <w:rFonts w:ascii="Arial" w:hAnsi="Arial" w:cs="Arial"/>
                          <w:b/>
                          <w:bCs/>
                          <w:sz w:val="16"/>
                          <w:szCs w:val="16"/>
                        </w:rPr>
                        <w:t xml:space="preserve">gestion et sur </w:t>
                      </w:r>
                      <w:hyperlink r:id="rId13" w:history="1">
                        <w:r w:rsidR="00DF42EA" w:rsidRPr="00891DED">
                          <w:rPr>
                            <w:rStyle w:val="Lienhypertexte"/>
                            <w:rFonts w:ascii="Arial" w:hAnsi="Arial" w:cs="Arial"/>
                            <w:b/>
                            <w:bCs/>
                            <w:sz w:val="16"/>
                            <w:szCs w:val="16"/>
                          </w:rPr>
                          <w:t>www.primonialreim.com</w:t>
                        </w:r>
                      </w:hyperlink>
                      <w:r w:rsidR="007921E8" w:rsidRPr="000538A0">
                        <w:rPr>
                          <w:rFonts w:ascii="Arial" w:hAnsi="Arial" w:cs="Arial"/>
                          <w:sz w:val="16"/>
                          <w:szCs w:val="16"/>
                        </w:rPr>
                        <w:t xml:space="preserve">. </w:t>
                      </w:r>
                      <w:r w:rsidR="007921E8" w:rsidRPr="000538A0">
                        <w:rPr>
                          <w:rFonts w:ascii="Arial" w:hAnsi="Arial" w:cs="Arial"/>
                          <w:b/>
                          <w:bCs/>
                          <w:sz w:val="16"/>
                          <w:szCs w:val="16"/>
                        </w:rPr>
                        <w:t>Le</w:t>
                      </w:r>
                      <w:r w:rsidRPr="000538A0">
                        <w:rPr>
                          <w:rFonts w:ascii="Arial" w:hAnsi="Arial" w:cs="Arial"/>
                          <w:b/>
                          <w:bCs/>
                          <w:sz w:val="16"/>
                          <w:szCs w:val="16"/>
                        </w:rPr>
                        <w:t xml:space="preserve"> document</w:t>
                      </w:r>
                      <w:r w:rsidRPr="004D302D">
                        <w:rPr>
                          <w:rFonts w:ascii="Arial" w:hAnsi="Arial" w:cs="Arial"/>
                          <w:b/>
                          <w:bCs/>
                          <w:sz w:val="16"/>
                          <w:szCs w:val="16"/>
                        </w:rPr>
                        <w:t xml:space="preserve"> d’informations clés est également disponible sur le site </w:t>
                      </w:r>
                      <w:hyperlink r:id="rId14" w:history="1">
                        <w:r w:rsidRPr="00CA057F">
                          <w:rPr>
                            <w:rStyle w:val="Lienhypertexte"/>
                            <w:rFonts w:ascii="Arial" w:hAnsi="Arial" w:cs="Arial"/>
                            <w:b/>
                            <w:bCs/>
                            <w:sz w:val="16"/>
                            <w:szCs w:val="16"/>
                          </w:rPr>
                          <w:t>https://priips.assurances.groupebpce.com/</w:t>
                        </w:r>
                      </w:hyperlink>
                      <w:r w:rsidRPr="00CA057F">
                        <w:rPr>
                          <w:rFonts w:ascii="Arial" w:hAnsi="Arial" w:cs="Arial"/>
                          <w:b/>
                          <w:bCs/>
                          <w:sz w:val="16"/>
                          <w:szCs w:val="16"/>
                        </w:rPr>
                        <w:t>.</w:t>
                      </w:r>
                    </w:p>
                    <w:p w14:paraId="16E03A47" w14:textId="2BD114F3" w:rsidR="003D79DB" w:rsidRPr="00286472" w:rsidRDefault="003D79DB" w:rsidP="006A3DC7">
                      <w:pPr>
                        <w:autoSpaceDE w:val="0"/>
                        <w:autoSpaceDN w:val="0"/>
                        <w:adjustRightInd w:val="0"/>
                        <w:spacing w:after="0" w:line="240" w:lineRule="auto"/>
                        <w:jc w:val="both"/>
                        <w:rPr>
                          <w:rFonts w:ascii="Arial" w:hAnsi="Arial" w:cs="Arial"/>
                          <w:b/>
                          <w:bCs/>
                          <w:sz w:val="16"/>
                          <w:szCs w:val="16"/>
                        </w:rPr>
                      </w:pPr>
                      <w:r w:rsidRPr="00286472">
                        <w:rPr>
                          <w:rFonts w:ascii="Arial" w:eastAsia="Calibri" w:hAnsi="Arial" w:cs="Arial"/>
                          <w:b/>
                          <w:bCs/>
                          <w:sz w:val="16"/>
                          <w:szCs w:val="14"/>
                        </w:rPr>
                        <w:t>Le présent document porte avenant aux conditions générales valant notice</w:t>
                      </w:r>
                      <w:r w:rsidR="002B6C18">
                        <w:rPr>
                          <w:rFonts w:ascii="Arial" w:eastAsia="Calibri" w:hAnsi="Arial" w:cs="Arial"/>
                          <w:b/>
                          <w:bCs/>
                          <w:sz w:val="16"/>
                          <w:szCs w:val="14"/>
                        </w:rPr>
                        <w:t xml:space="preserve"> </w:t>
                      </w:r>
                      <w:r w:rsidRPr="00286472">
                        <w:rPr>
                          <w:rFonts w:ascii="Arial" w:eastAsia="Calibri" w:hAnsi="Arial" w:cs="Arial"/>
                          <w:b/>
                          <w:bCs/>
                          <w:sz w:val="16"/>
                          <w:szCs w:val="14"/>
                        </w:rPr>
                        <w:t>/</w:t>
                      </w:r>
                      <w:r w:rsidR="002B6C18">
                        <w:rPr>
                          <w:rFonts w:ascii="Arial" w:eastAsia="Calibri" w:hAnsi="Arial" w:cs="Arial"/>
                          <w:b/>
                          <w:bCs/>
                          <w:sz w:val="16"/>
                          <w:szCs w:val="14"/>
                        </w:rPr>
                        <w:t xml:space="preserve"> </w:t>
                      </w:r>
                      <w:r w:rsidRPr="00286472">
                        <w:rPr>
                          <w:rFonts w:ascii="Arial" w:eastAsia="Calibri" w:hAnsi="Arial" w:cs="Arial"/>
                          <w:b/>
                          <w:bCs/>
                          <w:sz w:val="16"/>
                          <w:szCs w:val="14"/>
                        </w:rPr>
                        <w:t>note d’information et complète le Document d’Informations Clés. L’ensemble de cette documentation vous a été remise lors de votre adhésion/souscription au contrat d’assurance vie ou de capitalisation.</w:t>
                      </w:r>
                    </w:p>
                    <w:p w14:paraId="04D44E73" w14:textId="233A83D5" w:rsidR="003D79DB" w:rsidRPr="003D79DB" w:rsidRDefault="003D79DB" w:rsidP="003D79DB">
                      <w:pPr>
                        <w:rPr>
                          <w:rFonts w:ascii="Arial" w:hAnsi="Arial" w:cs="Arial"/>
                          <w:b/>
                          <w:bCs/>
                          <w:spacing w:val="-6"/>
                          <w:sz w:val="16"/>
                          <w:szCs w:val="16"/>
                        </w:rPr>
                      </w:pPr>
                    </w:p>
                  </w:txbxContent>
                </v:textbox>
                <w10:wrap anchorx="margin"/>
              </v:shape>
            </w:pict>
          </mc:Fallback>
        </mc:AlternateContent>
      </w:r>
    </w:p>
    <w:p w14:paraId="76890ECC" w14:textId="2FE8A0F9" w:rsidR="001B132E" w:rsidRPr="004A3B30" w:rsidRDefault="001B132E" w:rsidP="00FC5C52">
      <w:pPr>
        <w:jc w:val="both"/>
        <w:rPr>
          <w:highlight w:val="green"/>
        </w:rPr>
      </w:pPr>
    </w:p>
    <w:p w14:paraId="6880CD4F" w14:textId="2BDEA2EC" w:rsidR="001C2EAA" w:rsidRPr="004A3B30" w:rsidRDefault="001C2EAA" w:rsidP="00FC5C52">
      <w:pPr>
        <w:jc w:val="both"/>
        <w:rPr>
          <w:highlight w:val="green"/>
        </w:rPr>
      </w:pPr>
    </w:p>
    <w:p w14:paraId="7B2D57D2" w14:textId="4E5980B8" w:rsidR="002F145D" w:rsidRPr="004A3B30" w:rsidRDefault="002F145D" w:rsidP="00FC5C52">
      <w:pPr>
        <w:autoSpaceDE w:val="0"/>
        <w:autoSpaceDN w:val="0"/>
        <w:adjustRightInd w:val="0"/>
        <w:spacing w:after="0" w:line="240" w:lineRule="auto"/>
        <w:jc w:val="both"/>
        <w:rPr>
          <w:highlight w:val="green"/>
        </w:rPr>
      </w:pPr>
    </w:p>
    <w:p w14:paraId="5AABEDBB" w14:textId="77777777" w:rsidR="00175F1E" w:rsidRPr="004A3B30" w:rsidRDefault="00175F1E" w:rsidP="00FC5C52">
      <w:pPr>
        <w:autoSpaceDE w:val="0"/>
        <w:autoSpaceDN w:val="0"/>
        <w:adjustRightInd w:val="0"/>
        <w:spacing w:after="0" w:line="240" w:lineRule="auto"/>
        <w:jc w:val="both"/>
        <w:rPr>
          <w:rFonts w:ascii="Arial" w:eastAsia="Calibri" w:hAnsi="Arial" w:cs="Arial"/>
          <w:b/>
          <w:bCs/>
          <w:color w:val="505050"/>
          <w:sz w:val="18"/>
          <w:szCs w:val="16"/>
          <w:highlight w:val="green"/>
        </w:rPr>
      </w:pPr>
    </w:p>
    <w:p w14:paraId="046FA718" w14:textId="77777777" w:rsidR="003D79DB" w:rsidRPr="004A3B30" w:rsidRDefault="003D79DB" w:rsidP="00FC5C52">
      <w:pPr>
        <w:autoSpaceDE w:val="0"/>
        <w:autoSpaceDN w:val="0"/>
        <w:adjustRightInd w:val="0"/>
        <w:spacing w:after="0" w:line="240" w:lineRule="auto"/>
        <w:jc w:val="both"/>
        <w:rPr>
          <w:rFonts w:ascii="Arial" w:eastAsia="Calibri" w:hAnsi="Arial" w:cs="Arial"/>
          <w:bCs/>
          <w:color w:val="505050"/>
          <w:sz w:val="18"/>
          <w:szCs w:val="16"/>
        </w:rPr>
      </w:pPr>
    </w:p>
    <w:p w14:paraId="7A259299" w14:textId="5A46E3F3" w:rsidR="00917A63" w:rsidRPr="006E491E" w:rsidRDefault="00606A2E" w:rsidP="00FC5C52">
      <w:pPr>
        <w:autoSpaceDE w:val="0"/>
        <w:autoSpaceDN w:val="0"/>
        <w:adjustRightInd w:val="0"/>
        <w:spacing w:after="0" w:line="240" w:lineRule="auto"/>
        <w:jc w:val="both"/>
        <w:rPr>
          <w:rFonts w:ascii="Arial" w:eastAsia="Calibri" w:hAnsi="Arial" w:cs="Arial"/>
          <w:b/>
          <w:sz w:val="16"/>
          <w:szCs w:val="16"/>
        </w:rPr>
      </w:pPr>
      <w:r w:rsidRPr="004A3B30">
        <w:rPr>
          <w:rFonts w:ascii="Arial" w:eastAsia="Calibri" w:hAnsi="Arial" w:cs="Arial"/>
          <w:b/>
          <w:sz w:val="16"/>
          <w:szCs w:val="16"/>
        </w:rPr>
        <w:t xml:space="preserve">La souscription de la </w:t>
      </w:r>
      <w:r w:rsidR="00F92C41" w:rsidRPr="00C073D0">
        <w:rPr>
          <w:rFonts w:ascii="Arial" w:eastAsia="Calibri" w:hAnsi="Arial" w:cs="Arial"/>
          <w:b/>
          <w:sz w:val="16"/>
          <w:szCs w:val="16"/>
        </w:rPr>
        <w:t xml:space="preserve">SCPI </w:t>
      </w:r>
      <w:r w:rsidR="00DF42EA" w:rsidRPr="00C073D0">
        <w:rPr>
          <w:rFonts w:ascii="Arial" w:eastAsia="Calibri" w:hAnsi="Arial" w:cs="Arial"/>
          <w:b/>
          <w:sz w:val="16"/>
          <w:szCs w:val="16"/>
        </w:rPr>
        <w:t>PRIMOVIE</w:t>
      </w:r>
      <w:r w:rsidR="00F92C41" w:rsidRPr="00C073D0">
        <w:rPr>
          <w:rFonts w:ascii="Arial" w:eastAsia="Calibri" w:hAnsi="Arial" w:cs="Arial"/>
          <w:b/>
          <w:sz w:val="16"/>
          <w:szCs w:val="16"/>
        </w:rPr>
        <w:t xml:space="preserve"> </w:t>
      </w:r>
      <w:r w:rsidR="00F842A4" w:rsidRPr="00C073D0">
        <w:rPr>
          <w:rFonts w:ascii="Arial" w:hAnsi="Arial"/>
          <w:b/>
          <w:sz w:val="16"/>
          <w:szCs w:val="16"/>
        </w:rPr>
        <w:t>(</w:t>
      </w:r>
      <w:r w:rsidR="00F842A4" w:rsidRPr="004A3B30">
        <w:rPr>
          <w:rFonts w:ascii="Arial" w:hAnsi="Arial"/>
          <w:b/>
          <w:sz w:val="16"/>
          <w:szCs w:val="16"/>
        </w:rPr>
        <w:t>ci-après « la SCPI »)</w:t>
      </w:r>
      <w:r w:rsidRPr="004A3B30">
        <w:rPr>
          <w:rFonts w:ascii="Arial" w:eastAsia="Calibri" w:hAnsi="Arial" w:cs="Arial"/>
          <w:b/>
          <w:sz w:val="16"/>
          <w:szCs w:val="16"/>
        </w:rPr>
        <w:t xml:space="preserve"> est limitée en montant. BPCE Vie mettra fin à la commercialisation de cette SCPI une fois le montant atteint. De ce fait, la totalité </w:t>
      </w:r>
      <w:r w:rsidR="00F27101" w:rsidRPr="004A3B30">
        <w:rPr>
          <w:rFonts w:ascii="Arial" w:eastAsia="Calibri" w:hAnsi="Arial" w:cs="Arial"/>
          <w:b/>
          <w:sz w:val="16"/>
          <w:szCs w:val="16"/>
        </w:rPr>
        <w:t>de l’investissement</w:t>
      </w:r>
      <w:r w:rsidRPr="006E491E">
        <w:rPr>
          <w:rFonts w:ascii="Arial" w:eastAsia="Calibri" w:hAnsi="Arial" w:cs="Arial"/>
          <w:b/>
          <w:sz w:val="16"/>
          <w:szCs w:val="16"/>
        </w:rPr>
        <w:t xml:space="preserve"> de l’adhérent</w:t>
      </w:r>
      <w:r w:rsidR="00A257DB" w:rsidRPr="006E491E">
        <w:rPr>
          <w:rFonts w:ascii="Arial" w:eastAsia="Calibri" w:hAnsi="Arial" w:cs="Arial"/>
          <w:b/>
          <w:sz w:val="16"/>
          <w:szCs w:val="16"/>
        </w:rPr>
        <w:t xml:space="preserve"> </w:t>
      </w:r>
      <w:r w:rsidRPr="006E491E">
        <w:rPr>
          <w:rFonts w:ascii="Arial" w:eastAsia="Calibri" w:hAnsi="Arial" w:cs="Arial"/>
          <w:b/>
          <w:sz w:val="16"/>
          <w:szCs w:val="16"/>
        </w:rPr>
        <w:t>/</w:t>
      </w:r>
      <w:r w:rsidR="00A257DB" w:rsidRPr="006E491E">
        <w:rPr>
          <w:rFonts w:ascii="Arial" w:eastAsia="Calibri" w:hAnsi="Arial" w:cs="Arial"/>
          <w:b/>
          <w:sz w:val="16"/>
          <w:szCs w:val="16"/>
        </w:rPr>
        <w:t xml:space="preserve"> </w:t>
      </w:r>
      <w:r w:rsidRPr="006E491E">
        <w:rPr>
          <w:rFonts w:ascii="Arial" w:eastAsia="Calibri" w:hAnsi="Arial" w:cs="Arial"/>
          <w:b/>
          <w:sz w:val="16"/>
          <w:szCs w:val="16"/>
        </w:rPr>
        <w:t>souscripteur pourrait ne pas être pris en compte s’il intervient après l’atteinte de cette limite.</w:t>
      </w:r>
    </w:p>
    <w:p w14:paraId="33D4E9BD" w14:textId="77777777" w:rsidR="00AA4AB4" w:rsidRPr="006E491E" w:rsidRDefault="00AA4AB4" w:rsidP="00FC5C52">
      <w:pPr>
        <w:autoSpaceDE w:val="0"/>
        <w:autoSpaceDN w:val="0"/>
        <w:adjustRightInd w:val="0"/>
        <w:spacing w:after="0" w:line="240" w:lineRule="auto"/>
        <w:jc w:val="both"/>
        <w:rPr>
          <w:rFonts w:ascii="Arial" w:hAnsi="Arial" w:cs="Arial"/>
          <w:bCs/>
          <w:iCs/>
          <w:spacing w:val="-6"/>
          <w:sz w:val="16"/>
          <w:szCs w:val="16"/>
          <w:vertAlign w:val="superscript"/>
        </w:rPr>
      </w:pPr>
    </w:p>
    <w:p w14:paraId="5E64EF21" w14:textId="10CC0570" w:rsidR="00870456" w:rsidRPr="006E491E" w:rsidRDefault="00870456" w:rsidP="00833E2B">
      <w:pPr>
        <w:pStyle w:val="Titre2"/>
        <w:spacing w:before="0" w:line="240" w:lineRule="exact"/>
        <w:jc w:val="both"/>
        <w:rPr>
          <w:rFonts w:ascii="Arial" w:hAnsi="Arial" w:cs="Arial"/>
          <w:b/>
          <w:i/>
          <w:iCs/>
          <w:color w:val="auto"/>
          <w:sz w:val="24"/>
          <w:szCs w:val="24"/>
        </w:rPr>
      </w:pPr>
      <w:r w:rsidRPr="006E491E">
        <w:rPr>
          <w:rFonts w:ascii="Arial" w:hAnsi="Arial" w:cs="Arial"/>
          <w:b/>
          <w:i/>
          <w:iCs/>
          <w:color w:val="auto"/>
          <w:sz w:val="24"/>
          <w:szCs w:val="24"/>
        </w:rPr>
        <w:t xml:space="preserve">Conditions spécifiques liées à un investissement sur </w:t>
      </w:r>
      <w:r w:rsidR="00C63B83" w:rsidRPr="006E491E">
        <w:rPr>
          <w:rFonts w:ascii="Arial" w:hAnsi="Arial" w:cs="Arial"/>
          <w:b/>
          <w:i/>
          <w:iCs/>
          <w:color w:val="auto"/>
          <w:sz w:val="24"/>
          <w:szCs w:val="24"/>
        </w:rPr>
        <w:t>la</w:t>
      </w:r>
      <w:r w:rsidR="00606A2E" w:rsidRPr="006E491E">
        <w:rPr>
          <w:rFonts w:ascii="Arial" w:hAnsi="Arial" w:cs="Arial"/>
          <w:b/>
          <w:i/>
          <w:iCs/>
          <w:color w:val="auto"/>
          <w:sz w:val="24"/>
          <w:szCs w:val="24"/>
        </w:rPr>
        <w:t xml:space="preserve"> SCPI</w:t>
      </w:r>
      <w:r w:rsidRPr="006E491E">
        <w:rPr>
          <w:rFonts w:ascii="Arial" w:hAnsi="Arial" w:cs="Arial"/>
          <w:b/>
          <w:bCs/>
          <w:i/>
          <w:iCs/>
          <w:color w:val="auto"/>
          <w:sz w:val="24"/>
          <w:szCs w:val="24"/>
        </w:rPr>
        <w:t xml:space="preserve"> </w:t>
      </w:r>
      <w:r w:rsidRPr="006E491E">
        <w:rPr>
          <w:rFonts w:ascii="Arial" w:hAnsi="Arial" w:cs="Arial"/>
          <w:b/>
          <w:i/>
          <w:iCs/>
          <w:color w:val="auto"/>
          <w:sz w:val="24"/>
          <w:szCs w:val="24"/>
        </w:rPr>
        <w:t>dans le cadre d’un contrat d’assurance vie ou de capitalisation</w:t>
      </w:r>
    </w:p>
    <w:p w14:paraId="61369D67" w14:textId="77777777" w:rsidR="00917A63" w:rsidRPr="006E491E" w:rsidRDefault="00917A63" w:rsidP="00FC5C52">
      <w:pPr>
        <w:spacing w:after="0"/>
        <w:jc w:val="both"/>
        <w:rPr>
          <w:rFonts w:ascii="Arial" w:hAnsi="Arial"/>
          <w:b/>
          <w:sz w:val="10"/>
          <w:szCs w:val="18"/>
        </w:rPr>
      </w:pPr>
      <w:bookmarkStart w:id="0" w:name="OLE_LINK2"/>
    </w:p>
    <w:bookmarkEnd w:id="0"/>
    <w:p w14:paraId="381007D6" w14:textId="571551C8" w:rsidR="003D79DB" w:rsidRPr="006E491E" w:rsidRDefault="003D79DB" w:rsidP="003D79DB">
      <w:pPr>
        <w:spacing w:after="0" w:line="240" w:lineRule="auto"/>
        <w:jc w:val="both"/>
        <w:rPr>
          <w:rFonts w:ascii="Arial" w:hAnsi="Arial" w:cs="Arial"/>
          <w:b/>
          <w:sz w:val="16"/>
          <w:szCs w:val="16"/>
        </w:rPr>
      </w:pPr>
      <w:r w:rsidRPr="006E491E">
        <w:rPr>
          <w:rFonts w:ascii="Arial" w:hAnsi="Arial" w:cs="Arial"/>
          <w:b/>
          <w:sz w:val="16"/>
          <w:szCs w:val="16"/>
        </w:rPr>
        <w:t xml:space="preserve">La SCPI est proposée par votre conseiller compte tenu de votre profil client établi selon les informations que vous lui avez transmises. </w:t>
      </w:r>
      <w:bookmarkStart w:id="1" w:name="_Hlk88143717"/>
      <w:r w:rsidRPr="006E491E">
        <w:rPr>
          <w:rFonts w:ascii="Arial" w:hAnsi="Arial" w:cs="Arial"/>
          <w:b/>
          <w:sz w:val="16"/>
          <w:szCs w:val="16"/>
        </w:rPr>
        <w:t>Pour les clients âgés, notamment à partir de 80 ans, nous attirons l’attention sur le fait que la SCPI est un produit financier dont la durée de placement minimale recommandée est longue, et qui présente un risque de liquidité restreinte ou de blocage des retraits. Il existe un risque de perte en capital associé à ce produit financier. Vous pouvez perdre tout ou partie de votre capital. La fiche d’information spécifique devra être remplie avec votre conseiller.</w:t>
      </w:r>
      <w:bookmarkEnd w:id="1"/>
    </w:p>
    <w:p w14:paraId="4DCE0651" w14:textId="77777777" w:rsidR="00A257DB" w:rsidRPr="004A3B30" w:rsidRDefault="00A257DB" w:rsidP="00FC5C52">
      <w:pPr>
        <w:spacing w:after="0" w:line="240" w:lineRule="auto"/>
        <w:jc w:val="both"/>
        <w:rPr>
          <w:rFonts w:ascii="Arial" w:hAnsi="Arial" w:cs="Arial"/>
          <w:color w:val="4472C4"/>
          <w:sz w:val="8"/>
          <w:szCs w:val="8"/>
        </w:rPr>
      </w:pPr>
    </w:p>
    <w:p w14:paraId="58DD9A5E" w14:textId="007AE33A" w:rsidR="005D5A3C" w:rsidRPr="001436E7" w:rsidRDefault="00A257DB" w:rsidP="005D5A3C">
      <w:pPr>
        <w:pStyle w:val="Paragraphedeliste"/>
        <w:numPr>
          <w:ilvl w:val="0"/>
          <w:numId w:val="12"/>
        </w:numPr>
        <w:ind w:left="284" w:hanging="284"/>
        <w:jc w:val="both"/>
        <w:rPr>
          <w:rFonts w:ascii="Arial" w:hAnsi="Arial" w:cs="Arial"/>
          <w:color w:val="FF0000"/>
          <w:sz w:val="18"/>
          <w:szCs w:val="18"/>
        </w:rPr>
      </w:pPr>
      <w:r w:rsidRPr="001436E7">
        <w:rPr>
          <w:rFonts w:ascii="Arial" w:hAnsi="Arial"/>
          <w:b/>
          <w:color w:val="FF0000"/>
          <w:sz w:val="18"/>
          <w:szCs w:val="18"/>
        </w:rPr>
        <w:t>Mod</w:t>
      </w:r>
      <w:r w:rsidR="003D79DB" w:rsidRPr="001436E7">
        <w:rPr>
          <w:rFonts w:ascii="Arial" w:hAnsi="Arial"/>
          <w:b/>
          <w:color w:val="FF0000"/>
          <w:sz w:val="18"/>
          <w:szCs w:val="18"/>
        </w:rPr>
        <w:t>alité d’investissement</w:t>
      </w:r>
      <w:r w:rsidRPr="001436E7">
        <w:rPr>
          <w:rFonts w:ascii="Arial" w:hAnsi="Arial" w:cs="Arial"/>
          <w:color w:val="FF0000"/>
          <w:sz w:val="18"/>
          <w:szCs w:val="18"/>
        </w:rPr>
        <w:t xml:space="preserve"> </w:t>
      </w:r>
    </w:p>
    <w:p w14:paraId="36C2C746" w14:textId="77777777" w:rsidR="00C46409" w:rsidRPr="00C46409" w:rsidRDefault="00C46409" w:rsidP="00C46409">
      <w:pPr>
        <w:pStyle w:val="Paragraphedeliste"/>
        <w:ind w:left="284"/>
        <w:jc w:val="both"/>
        <w:rPr>
          <w:rFonts w:ascii="Arial" w:hAnsi="Arial" w:cs="Arial"/>
          <w:color w:val="4472C4"/>
          <w:sz w:val="8"/>
          <w:szCs w:val="8"/>
        </w:rPr>
      </w:pPr>
    </w:p>
    <w:p w14:paraId="73D5229B" w14:textId="0DAA3DE6" w:rsidR="00917A63" w:rsidRPr="006E491E" w:rsidRDefault="005D5A3C" w:rsidP="005D5A3C">
      <w:pPr>
        <w:spacing w:after="0" w:line="240" w:lineRule="auto"/>
        <w:ind w:left="284"/>
        <w:jc w:val="both"/>
        <w:rPr>
          <w:rFonts w:ascii="Arial" w:hAnsi="Arial" w:cs="Arial"/>
          <w:b/>
          <w:bCs/>
          <w:sz w:val="16"/>
          <w:szCs w:val="16"/>
        </w:rPr>
      </w:pPr>
      <w:r w:rsidRPr="006E491E">
        <w:rPr>
          <w:rFonts w:ascii="Arial" w:hAnsi="Arial" w:cs="Arial"/>
          <w:b/>
          <w:bCs/>
          <w:sz w:val="16"/>
          <w:szCs w:val="16"/>
        </w:rPr>
        <w:t>L</w:t>
      </w:r>
      <w:r w:rsidR="00A257DB" w:rsidRPr="006E491E">
        <w:rPr>
          <w:rFonts w:ascii="Arial" w:hAnsi="Arial" w:cs="Arial"/>
          <w:b/>
          <w:bCs/>
          <w:sz w:val="16"/>
          <w:szCs w:val="16"/>
        </w:rPr>
        <w:t>’investissement peut être réalisé :</w:t>
      </w:r>
    </w:p>
    <w:p w14:paraId="529D8959" w14:textId="3302D6A3" w:rsidR="00870456"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6E491E">
        <w:rPr>
          <w:rFonts w:ascii="Arial" w:hAnsi="Arial" w:cs="Arial"/>
          <w:sz w:val="16"/>
          <w:szCs w:val="16"/>
        </w:rPr>
        <w:t xml:space="preserve">au moment de </w:t>
      </w:r>
      <w:r w:rsidR="003D79DB" w:rsidRPr="006E491E">
        <w:rPr>
          <w:rFonts w:ascii="Arial" w:hAnsi="Arial" w:cs="Arial"/>
          <w:b/>
          <w:sz w:val="16"/>
          <w:szCs w:val="16"/>
        </w:rPr>
        <w:t>l’adhésion / souscription</w:t>
      </w:r>
      <w:r w:rsidR="00407CD8" w:rsidRPr="006E491E">
        <w:rPr>
          <w:rFonts w:ascii="Arial" w:hAnsi="Arial" w:cs="Arial"/>
          <w:sz w:val="16"/>
          <w:szCs w:val="16"/>
        </w:rPr>
        <w:t xml:space="preserve"> </w:t>
      </w:r>
      <w:r w:rsidRPr="006E491E">
        <w:rPr>
          <w:rFonts w:ascii="Arial" w:hAnsi="Arial" w:cs="Arial"/>
          <w:sz w:val="16"/>
          <w:szCs w:val="16"/>
        </w:rPr>
        <w:t>du contrat,</w:t>
      </w:r>
    </w:p>
    <w:p w14:paraId="0EF0EFED" w14:textId="77777777" w:rsidR="002B6C18" w:rsidRPr="002B6C18" w:rsidRDefault="002B6C18" w:rsidP="001436E7">
      <w:pPr>
        <w:overflowPunct w:val="0"/>
        <w:autoSpaceDE w:val="0"/>
        <w:autoSpaceDN w:val="0"/>
        <w:adjustRightInd w:val="0"/>
        <w:spacing w:after="0" w:line="240" w:lineRule="auto"/>
        <w:ind w:left="426" w:hanging="142"/>
        <w:jc w:val="both"/>
        <w:textAlignment w:val="baseline"/>
        <w:rPr>
          <w:rFonts w:ascii="Arial" w:hAnsi="Arial" w:cs="Arial"/>
          <w:sz w:val="4"/>
          <w:szCs w:val="4"/>
        </w:rPr>
      </w:pPr>
    </w:p>
    <w:p w14:paraId="00AAEAAF" w14:textId="4C31203A" w:rsidR="00870456"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6E491E">
        <w:rPr>
          <w:rFonts w:ascii="Arial" w:hAnsi="Arial" w:cs="Arial"/>
          <w:sz w:val="16"/>
          <w:szCs w:val="16"/>
        </w:rPr>
        <w:t xml:space="preserve">au moyen d’un </w:t>
      </w:r>
      <w:r w:rsidRPr="006E491E">
        <w:rPr>
          <w:rFonts w:ascii="Arial" w:hAnsi="Arial" w:cs="Arial"/>
          <w:b/>
          <w:sz w:val="16"/>
          <w:szCs w:val="16"/>
        </w:rPr>
        <w:t>versement complémentaire</w:t>
      </w:r>
      <w:r w:rsidRPr="006E491E">
        <w:rPr>
          <w:rFonts w:ascii="Arial" w:hAnsi="Arial" w:cs="Arial"/>
          <w:sz w:val="16"/>
          <w:szCs w:val="16"/>
        </w:rPr>
        <w:t>,</w:t>
      </w:r>
    </w:p>
    <w:p w14:paraId="13AE35B4" w14:textId="77777777" w:rsidR="002B6C18" w:rsidRPr="002B6C18" w:rsidRDefault="002B6C18" w:rsidP="001436E7">
      <w:pPr>
        <w:overflowPunct w:val="0"/>
        <w:autoSpaceDE w:val="0"/>
        <w:autoSpaceDN w:val="0"/>
        <w:adjustRightInd w:val="0"/>
        <w:spacing w:after="0" w:line="240" w:lineRule="auto"/>
        <w:ind w:left="426" w:hanging="142"/>
        <w:jc w:val="both"/>
        <w:textAlignment w:val="baseline"/>
        <w:rPr>
          <w:rFonts w:ascii="Arial" w:hAnsi="Arial" w:cs="Arial"/>
          <w:sz w:val="4"/>
          <w:szCs w:val="4"/>
        </w:rPr>
      </w:pPr>
    </w:p>
    <w:p w14:paraId="37F9FCC3" w14:textId="77777777" w:rsidR="00870456" w:rsidRPr="00D42909" w:rsidRDefault="00870456" w:rsidP="001436E7">
      <w:pPr>
        <w:numPr>
          <w:ilvl w:val="0"/>
          <w:numId w:val="32"/>
        </w:numPr>
        <w:overflowPunct w:val="0"/>
        <w:autoSpaceDE w:val="0"/>
        <w:autoSpaceDN w:val="0"/>
        <w:adjustRightInd w:val="0"/>
        <w:spacing w:after="0" w:line="240" w:lineRule="auto"/>
        <w:ind w:left="426" w:hanging="142"/>
        <w:jc w:val="both"/>
        <w:textAlignment w:val="baseline"/>
        <w:rPr>
          <w:rFonts w:ascii="Arial" w:hAnsi="Arial" w:cs="Arial"/>
          <w:sz w:val="16"/>
          <w:szCs w:val="16"/>
        </w:rPr>
      </w:pPr>
      <w:r w:rsidRPr="00D42909">
        <w:rPr>
          <w:rFonts w:ascii="Arial" w:hAnsi="Arial" w:cs="Arial"/>
          <w:sz w:val="16"/>
          <w:szCs w:val="16"/>
        </w:rPr>
        <w:t xml:space="preserve">par </w:t>
      </w:r>
      <w:r w:rsidRPr="00D42909">
        <w:rPr>
          <w:rFonts w:ascii="Arial" w:hAnsi="Arial" w:cs="Arial"/>
          <w:b/>
          <w:sz w:val="16"/>
          <w:szCs w:val="16"/>
        </w:rPr>
        <w:t xml:space="preserve">arbitrage </w:t>
      </w:r>
      <w:r w:rsidRPr="00D42909">
        <w:rPr>
          <w:rFonts w:ascii="Arial" w:hAnsi="Arial" w:cs="Arial"/>
          <w:sz w:val="16"/>
          <w:szCs w:val="16"/>
        </w:rPr>
        <w:t xml:space="preserve">en désinvestissement : </w:t>
      </w:r>
    </w:p>
    <w:p w14:paraId="0C629FBC" w14:textId="77777777" w:rsidR="00870456" w:rsidRPr="00D42909" w:rsidRDefault="00870456" w:rsidP="005D5A3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D42909">
        <w:rPr>
          <w:rFonts w:ascii="Arial" w:hAnsi="Arial" w:cs="Arial"/>
          <w:sz w:val="16"/>
          <w:szCs w:val="16"/>
        </w:rPr>
        <w:t>du Fonds en euros</w:t>
      </w:r>
      <w:r w:rsidR="00A257DB" w:rsidRPr="00D42909">
        <w:rPr>
          <w:rFonts w:ascii="Arial" w:hAnsi="Arial" w:cs="Arial"/>
          <w:sz w:val="16"/>
          <w:szCs w:val="16"/>
        </w:rPr>
        <w:t xml:space="preserve"> (selon les conditions définies dans les documents contractuels),</w:t>
      </w:r>
    </w:p>
    <w:p w14:paraId="3E969489" w14:textId="77777777" w:rsidR="00870456" w:rsidRPr="00D42909" w:rsidRDefault="00870456" w:rsidP="005D5A3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D42909">
        <w:rPr>
          <w:rFonts w:ascii="Arial" w:hAnsi="Arial" w:cs="Arial"/>
          <w:sz w:val="16"/>
          <w:szCs w:val="16"/>
        </w:rPr>
        <w:t xml:space="preserve">d’un support financier permanent en unités de compte, </w:t>
      </w:r>
    </w:p>
    <w:p w14:paraId="72D97A35" w14:textId="77777777" w:rsidR="0002120C" w:rsidRPr="00D42909" w:rsidRDefault="00870456" w:rsidP="0002120C">
      <w:pPr>
        <w:numPr>
          <w:ilvl w:val="0"/>
          <w:numId w:val="2"/>
        </w:numPr>
        <w:overflowPunct w:val="0"/>
        <w:autoSpaceDE w:val="0"/>
        <w:autoSpaceDN w:val="0"/>
        <w:adjustRightInd w:val="0"/>
        <w:spacing w:after="0" w:line="240" w:lineRule="auto"/>
        <w:ind w:left="567" w:hanging="141"/>
        <w:jc w:val="both"/>
        <w:textAlignment w:val="baseline"/>
        <w:rPr>
          <w:rFonts w:ascii="Arial" w:hAnsi="Arial" w:cs="Arial"/>
          <w:sz w:val="16"/>
          <w:szCs w:val="16"/>
        </w:rPr>
      </w:pPr>
      <w:r w:rsidRPr="00D42909">
        <w:rPr>
          <w:rFonts w:ascii="Arial" w:hAnsi="Arial" w:cs="Arial"/>
          <w:sz w:val="16"/>
          <w:szCs w:val="16"/>
        </w:rPr>
        <w:t>d'un support financier temporaire en unités de compte échu</w:t>
      </w:r>
      <w:r w:rsidR="0002120C" w:rsidRPr="00D42909">
        <w:rPr>
          <w:rFonts w:ascii="Arial" w:hAnsi="Arial" w:cs="Arial"/>
          <w:sz w:val="16"/>
          <w:szCs w:val="16"/>
        </w:rPr>
        <w:t xml:space="preserve"> </w:t>
      </w:r>
      <w:bookmarkStart w:id="2" w:name="_Hlk114588266"/>
      <w:r w:rsidR="0002120C" w:rsidRPr="00D42909">
        <w:rPr>
          <w:rFonts w:ascii="Arial" w:hAnsi="Arial" w:cs="Arial"/>
          <w:sz w:val="16"/>
          <w:szCs w:val="16"/>
        </w:rPr>
        <w:t>(échu ou non échu).</w:t>
      </w:r>
      <w:bookmarkEnd w:id="2"/>
      <w:r w:rsidR="0002120C" w:rsidRPr="00D42909">
        <w:rPr>
          <w:rFonts w:ascii="Arial" w:hAnsi="Arial" w:cs="Arial"/>
          <w:sz w:val="16"/>
          <w:szCs w:val="16"/>
        </w:rPr>
        <w:t xml:space="preserve"> </w:t>
      </w:r>
    </w:p>
    <w:p w14:paraId="1691F7B6" w14:textId="61B80099" w:rsidR="00411B9E" w:rsidRPr="006E491E" w:rsidRDefault="0002120C" w:rsidP="004A3B30">
      <w:pPr>
        <w:overflowPunct w:val="0"/>
        <w:autoSpaceDE w:val="0"/>
        <w:autoSpaceDN w:val="0"/>
        <w:adjustRightInd w:val="0"/>
        <w:ind w:left="426"/>
        <w:jc w:val="both"/>
        <w:textAlignment w:val="baseline"/>
        <w:rPr>
          <w:rFonts w:ascii="Arial" w:hAnsi="Arial" w:cs="Arial"/>
          <w:sz w:val="16"/>
          <w:szCs w:val="16"/>
        </w:rPr>
      </w:pPr>
      <w:bookmarkStart w:id="3" w:name="_Hlk114588278"/>
      <w:r w:rsidRPr="00D42909">
        <w:rPr>
          <w:rFonts w:ascii="Arial" w:hAnsi="Arial" w:cs="Arial"/>
          <w:sz w:val="16"/>
          <w:szCs w:val="16"/>
        </w:rPr>
        <w:t>A noter que dans le cas d’un arbitrage d’un support financier temporaire non échu offrant une garantie ou une protection du capital à échéance vers le support financier, cette garantie ou protection sera perdu.</w:t>
      </w:r>
      <w:bookmarkEnd w:id="3"/>
    </w:p>
    <w:p w14:paraId="3CD792F1" w14:textId="69639827" w:rsidR="00A257DB" w:rsidRPr="001436E7" w:rsidRDefault="00A257DB" w:rsidP="005D5A3C">
      <w:pPr>
        <w:pStyle w:val="Paragraphedeliste"/>
        <w:numPr>
          <w:ilvl w:val="0"/>
          <w:numId w:val="14"/>
        </w:numPr>
        <w:ind w:left="284" w:hanging="284"/>
        <w:jc w:val="both"/>
        <w:rPr>
          <w:rFonts w:ascii="Arial" w:hAnsi="Arial" w:cs="Arial"/>
          <w:color w:val="FF0000"/>
          <w:sz w:val="18"/>
          <w:szCs w:val="18"/>
        </w:rPr>
      </w:pPr>
      <w:r w:rsidRPr="001436E7">
        <w:rPr>
          <w:rFonts w:ascii="Arial" w:hAnsi="Arial" w:cs="Arial"/>
          <w:b/>
          <w:color w:val="FF0000"/>
          <w:sz w:val="18"/>
          <w:szCs w:val="18"/>
        </w:rPr>
        <w:t>Li</w:t>
      </w:r>
      <w:r w:rsidR="00C06E9D" w:rsidRPr="001436E7">
        <w:rPr>
          <w:rFonts w:ascii="Arial" w:hAnsi="Arial" w:cs="Arial"/>
          <w:b/>
          <w:color w:val="FF0000"/>
          <w:sz w:val="18"/>
          <w:szCs w:val="18"/>
        </w:rPr>
        <w:t>m</w:t>
      </w:r>
      <w:r w:rsidRPr="001436E7">
        <w:rPr>
          <w:rFonts w:ascii="Arial" w:hAnsi="Arial" w:cs="Arial"/>
          <w:b/>
          <w:color w:val="FF0000"/>
          <w:sz w:val="18"/>
          <w:szCs w:val="18"/>
        </w:rPr>
        <w:t>ites d’investissement</w:t>
      </w:r>
      <w:r w:rsidRPr="001436E7">
        <w:rPr>
          <w:rFonts w:ascii="Arial" w:hAnsi="Arial" w:cs="Arial"/>
          <w:color w:val="FF0000"/>
          <w:sz w:val="18"/>
          <w:szCs w:val="18"/>
        </w:rPr>
        <w:t xml:space="preserve"> </w:t>
      </w:r>
      <w:r w:rsidR="00870456" w:rsidRPr="001436E7">
        <w:rPr>
          <w:rFonts w:ascii="Arial" w:hAnsi="Arial" w:cs="Arial"/>
          <w:color w:val="FF0000"/>
          <w:sz w:val="18"/>
          <w:szCs w:val="18"/>
        </w:rPr>
        <w:t xml:space="preserve"> </w:t>
      </w:r>
    </w:p>
    <w:p w14:paraId="2CD0F433" w14:textId="77777777" w:rsidR="00C46409" w:rsidRPr="00C46409" w:rsidRDefault="00C46409" w:rsidP="00C46409">
      <w:pPr>
        <w:pStyle w:val="Paragraphedeliste"/>
        <w:ind w:left="284"/>
        <w:jc w:val="both"/>
        <w:rPr>
          <w:rFonts w:ascii="Arial" w:hAnsi="Arial" w:cs="Arial"/>
          <w:color w:val="4472C4"/>
          <w:sz w:val="8"/>
          <w:szCs w:val="8"/>
        </w:rPr>
      </w:pPr>
    </w:p>
    <w:p w14:paraId="352D043D" w14:textId="304B7383" w:rsidR="00A257DB" w:rsidRDefault="00A257DB" w:rsidP="001436E7">
      <w:pPr>
        <w:pStyle w:val="Paragraphedeliste"/>
        <w:numPr>
          <w:ilvl w:val="0"/>
          <w:numId w:val="31"/>
        </w:numPr>
        <w:ind w:left="426" w:hanging="142"/>
        <w:jc w:val="both"/>
        <w:rPr>
          <w:rFonts w:ascii="Arial" w:hAnsi="Arial" w:cs="Arial"/>
          <w:sz w:val="16"/>
          <w:szCs w:val="16"/>
          <w:lang w:val="fr-FR"/>
        </w:rPr>
      </w:pPr>
      <w:r w:rsidRPr="006E491E">
        <w:rPr>
          <w:rFonts w:ascii="Arial" w:hAnsi="Arial" w:cs="Arial"/>
          <w:sz w:val="16"/>
          <w:szCs w:val="16"/>
          <w:lang w:val="fr-FR"/>
        </w:rPr>
        <w:t xml:space="preserve">le </w:t>
      </w:r>
      <w:r w:rsidRPr="006E491E">
        <w:rPr>
          <w:rFonts w:ascii="Arial" w:hAnsi="Arial" w:cs="Arial"/>
          <w:b/>
          <w:bCs/>
          <w:sz w:val="16"/>
          <w:szCs w:val="16"/>
          <w:lang w:val="fr-FR"/>
        </w:rPr>
        <w:t>montant d</w:t>
      </w:r>
      <w:r w:rsidR="00255062" w:rsidRPr="006E491E">
        <w:rPr>
          <w:rFonts w:ascii="Arial" w:hAnsi="Arial" w:cs="Arial"/>
          <w:b/>
          <w:bCs/>
          <w:sz w:val="16"/>
          <w:szCs w:val="16"/>
          <w:lang w:val="fr-FR"/>
        </w:rPr>
        <w:t>’investissement</w:t>
      </w:r>
      <w:r w:rsidRPr="006E491E">
        <w:rPr>
          <w:rFonts w:ascii="Arial" w:hAnsi="Arial" w:cs="Arial"/>
          <w:b/>
          <w:bCs/>
          <w:sz w:val="16"/>
          <w:szCs w:val="16"/>
          <w:lang w:val="fr-FR"/>
        </w:rPr>
        <w:t xml:space="preserve"> minimum</w:t>
      </w:r>
      <w:r w:rsidRPr="006E491E">
        <w:rPr>
          <w:rFonts w:ascii="Arial" w:hAnsi="Arial" w:cs="Arial"/>
          <w:sz w:val="16"/>
          <w:szCs w:val="16"/>
          <w:lang w:val="fr-FR"/>
        </w:rPr>
        <w:t xml:space="preserve"> sur le support correspond aux </w:t>
      </w:r>
      <w:r w:rsidRPr="006E491E">
        <w:rPr>
          <w:rFonts w:ascii="Arial" w:hAnsi="Arial" w:cs="Arial"/>
          <w:b/>
          <w:bCs/>
          <w:sz w:val="16"/>
          <w:szCs w:val="16"/>
          <w:lang w:val="fr-FR"/>
        </w:rPr>
        <w:t>minima définis dans les conditions générales valant note</w:t>
      </w:r>
      <w:r w:rsidR="002B6C18">
        <w:rPr>
          <w:rFonts w:ascii="Arial" w:hAnsi="Arial" w:cs="Arial"/>
          <w:b/>
          <w:bCs/>
          <w:sz w:val="16"/>
          <w:szCs w:val="16"/>
          <w:lang w:val="fr-FR"/>
        </w:rPr>
        <w:t xml:space="preserve"> </w:t>
      </w:r>
      <w:r w:rsidRPr="006E491E">
        <w:rPr>
          <w:rFonts w:ascii="Arial" w:hAnsi="Arial" w:cs="Arial"/>
          <w:b/>
          <w:bCs/>
          <w:sz w:val="16"/>
          <w:szCs w:val="16"/>
          <w:lang w:val="fr-FR"/>
        </w:rPr>
        <w:t>/</w:t>
      </w:r>
      <w:r w:rsidR="002B6C18">
        <w:rPr>
          <w:rFonts w:ascii="Arial" w:hAnsi="Arial" w:cs="Arial"/>
          <w:b/>
          <w:bCs/>
          <w:sz w:val="16"/>
          <w:szCs w:val="16"/>
          <w:lang w:val="fr-FR"/>
        </w:rPr>
        <w:t xml:space="preserve"> </w:t>
      </w:r>
      <w:r w:rsidRPr="006E491E">
        <w:rPr>
          <w:rFonts w:ascii="Arial" w:hAnsi="Arial" w:cs="Arial"/>
          <w:b/>
          <w:bCs/>
          <w:sz w:val="16"/>
          <w:szCs w:val="16"/>
          <w:lang w:val="fr-FR"/>
        </w:rPr>
        <w:t>notice d’information</w:t>
      </w:r>
      <w:r w:rsidRPr="006E491E">
        <w:rPr>
          <w:rFonts w:ascii="Arial" w:hAnsi="Arial" w:cs="Arial"/>
          <w:sz w:val="16"/>
          <w:szCs w:val="16"/>
          <w:lang w:val="fr-FR"/>
        </w:rPr>
        <w:t xml:space="preserve"> du contrat de capitalisation ou d’assurance vie,</w:t>
      </w:r>
    </w:p>
    <w:p w14:paraId="599B39BC" w14:textId="77777777" w:rsidR="002B6C18" w:rsidRPr="002B6C18" w:rsidRDefault="002B6C18" w:rsidP="001436E7">
      <w:pPr>
        <w:pStyle w:val="Paragraphedeliste"/>
        <w:ind w:left="426" w:hanging="142"/>
        <w:jc w:val="both"/>
        <w:rPr>
          <w:rFonts w:ascii="Arial" w:hAnsi="Arial" w:cs="Arial"/>
          <w:sz w:val="4"/>
          <w:szCs w:val="4"/>
          <w:lang w:val="fr-FR"/>
        </w:rPr>
      </w:pPr>
    </w:p>
    <w:p w14:paraId="3A2E57F7" w14:textId="08982E87" w:rsidR="001C2EAA" w:rsidRPr="006E491E" w:rsidRDefault="00A257DB" w:rsidP="001436E7">
      <w:pPr>
        <w:pStyle w:val="Paragraphedeliste"/>
        <w:numPr>
          <w:ilvl w:val="0"/>
          <w:numId w:val="31"/>
        </w:numPr>
        <w:ind w:left="426" w:hanging="142"/>
        <w:jc w:val="both"/>
        <w:rPr>
          <w:rFonts w:ascii="Arial" w:hAnsi="Arial" w:cs="Arial"/>
          <w:sz w:val="16"/>
          <w:szCs w:val="16"/>
          <w:lang w:val="fr-FR"/>
        </w:rPr>
      </w:pPr>
      <w:r w:rsidRPr="006E491E">
        <w:rPr>
          <w:rFonts w:ascii="Arial" w:hAnsi="Arial" w:cs="Arial"/>
          <w:sz w:val="16"/>
          <w:szCs w:val="16"/>
          <w:lang w:val="fr-FR"/>
        </w:rPr>
        <w:t xml:space="preserve">tout investissement devra être effectué </w:t>
      </w:r>
      <w:r w:rsidRPr="006E491E">
        <w:rPr>
          <w:rFonts w:ascii="Arial" w:hAnsi="Arial" w:cs="Arial"/>
          <w:b/>
          <w:bCs/>
          <w:sz w:val="16"/>
          <w:szCs w:val="16"/>
          <w:lang w:val="fr-FR"/>
        </w:rPr>
        <w:t>pendant la période de commercialisation</w:t>
      </w:r>
      <w:r w:rsidRPr="006E491E">
        <w:rPr>
          <w:rFonts w:ascii="Arial" w:hAnsi="Arial" w:cs="Arial"/>
          <w:sz w:val="16"/>
          <w:szCs w:val="16"/>
          <w:lang w:val="fr-FR"/>
        </w:rPr>
        <w:t xml:space="preserve"> et </w:t>
      </w:r>
      <w:r w:rsidRPr="006E491E">
        <w:rPr>
          <w:rFonts w:ascii="Arial" w:hAnsi="Arial" w:cs="Arial"/>
          <w:b/>
          <w:bCs/>
          <w:sz w:val="16"/>
          <w:szCs w:val="16"/>
          <w:lang w:val="fr-FR"/>
        </w:rPr>
        <w:t>en fonction de l’enveloppe disponible</w:t>
      </w:r>
      <w:r w:rsidRPr="006E491E">
        <w:rPr>
          <w:rFonts w:ascii="Arial" w:hAnsi="Arial" w:cs="Arial"/>
          <w:sz w:val="16"/>
          <w:szCs w:val="16"/>
          <w:lang w:val="fr-FR"/>
        </w:rPr>
        <w:t>.</w:t>
      </w:r>
    </w:p>
    <w:p w14:paraId="513DA258" w14:textId="77777777" w:rsidR="003D79DB" w:rsidRPr="004A3B30" w:rsidRDefault="003D79DB" w:rsidP="003D79DB">
      <w:pPr>
        <w:pStyle w:val="Paragraphedeliste"/>
        <w:ind w:left="426"/>
        <w:jc w:val="both"/>
        <w:rPr>
          <w:rFonts w:ascii="Arial" w:hAnsi="Arial" w:cs="Arial"/>
          <w:color w:val="505050"/>
          <w:sz w:val="8"/>
          <w:szCs w:val="8"/>
          <w:lang w:val="fr-FR"/>
        </w:rPr>
      </w:pPr>
    </w:p>
    <w:p w14:paraId="00FDA56C" w14:textId="67350ECF" w:rsidR="003D79DB" w:rsidRPr="001436E7" w:rsidRDefault="003D79DB" w:rsidP="003D79DB">
      <w:pPr>
        <w:pStyle w:val="Pieddepage"/>
        <w:numPr>
          <w:ilvl w:val="1"/>
          <w:numId w:val="19"/>
        </w:numPr>
        <w:ind w:left="284" w:hanging="306"/>
        <w:jc w:val="both"/>
        <w:rPr>
          <w:rFonts w:ascii="Arial" w:hAnsi="Arial"/>
          <w:b/>
          <w:color w:val="FF0000"/>
          <w:sz w:val="18"/>
          <w:szCs w:val="18"/>
        </w:rPr>
      </w:pPr>
      <w:r w:rsidRPr="001436E7">
        <w:rPr>
          <w:rFonts w:ascii="Arial" w:hAnsi="Arial" w:cs="Arial"/>
          <w:b/>
          <w:color w:val="FF0000"/>
          <w:sz w:val="18"/>
          <w:szCs w:val="18"/>
        </w:rPr>
        <w:t>Inéligibilité</w:t>
      </w:r>
    </w:p>
    <w:p w14:paraId="79860392" w14:textId="77777777" w:rsidR="00C46409" w:rsidRPr="00C46409" w:rsidRDefault="00C46409" w:rsidP="00C46409">
      <w:pPr>
        <w:pStyle w:val="Pieddepage"/>
        <w:ind w:left="284"/>
        <w:jc w:val="both"/>
        <w:rPr>
          <w:rFonts w:ascii="Arial" w:hAnsi="Arial"/>
          <w:b/>
          <w:color w:val="4472C4"/>
          <w:sz w:val="8"/>
          <w:szCs w:val="8"/>
        </w:rPr>
      </w:pPr>
    </w:p>
    <w:p w14:paraId="1DBFDF1A" w14:textId="3B044C24" w:rsidR="003D79DB" w:rsidRPr="006E491E" w:rsidRDefault="003D79DB" w:rsidP="003D79DB">
      <w:pPr>
        <w:pStyle w:val="Corpsdetexte22"/>
        <w:ind w:left="284"/>
        <w:rPr>
          <w:rFonts w:ascii="Arial" w:hAnsi="Arial" w:cs="Arial"/>
          <w:b/>
          <w:bCs/>
          <w:sz w:val="16"/>
          <w:szCs w:val="16"/>
        </w:rPr>
      </w:pPr>
      <w:r w:rsidRPr="006E491E">
        <w:rPr>
          <w:rFonts w:ascii="Arial" w:hAnsi="Arial" w:cs="Arial"/>
          <w:b/>
          <w:bCs/>
          <w:sz w:val="16"/>
          <w:szCs w:val="16"/>
        </w:rPr>
        <w:t>Les actes de gestion automatiques suivants ne sont pas autorisés sur la SCPI :</w:t>
      </w:r>
    </w:p>
    <w:p w14:paraId="64DEAB21" w14:textId="1331ADD5"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versements programmés,</w:t>
      </w:r>
    </w:p>
    <w:p w14:paraId="3E06CE41" w14:textId="77777777" w:rsidR="002B6C18" w:rsidRPr="00C560D7" w:rsidRDefault="002B6C18" w:rsidP="001436E7">
      <w:pPr>
        <w:pStyle w:val="Corpsdetexte22"/>
        <w:ind w:left="426" w:hanging="142"/>
        <w:rPr>
          <w:rFonts w:ascii="Arial" w:hAnsi="Arial"/>
          <w:i/>
          <w:sz w:val="4"/>
          <w:szCs w:val="4"/>
        </w:rPr>
      </w:pPr>
    </w:p>
    <w:p w14:paraId="4D580FA7" w14:textId="314ED764"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options d’arbitrages automatiques</w:t>
      </w:r>
      <w:r w:rsidR="003D79DB" w:rsidRPr="00C560D7">
        <w:rPr>
          <w:rFonts w:ascii="Arial" w:hAnsi="Arial" w:cs="Arial"/>
          <w:sz w:val="16"/>
          <w:szCs w:val="16"/>
        </w:rPr>
        <w:t>,</w:t>
      </w:r>
    </w:p>
    <w:p w14:paraId="3789D40E" w14:textId="77777777" w:rsidR="002B6C18" w:rsidRPr="00C560D7" w:rsidRDefault="002B6C18" w:rsidP="001436E7">
      <w:pPr>
        <w:pStyle w:val="Corpsdetexte22"/>
        <w:ind w:left="426" w:hanging="142"/>
        <w:rPr>
          <w:rFonts w:ascii="Arial" w:hAnsi="Arial"/>
          <w:i/>
          <w:sz w:val="4"/>
          <w:szCs w:val="4"/>
        </w:rPr>
      </w:pPr>
    </w:p>
    <w:p w14:paraId="465D6929" w14:textId="646ABEED" w:rsidR="003D79DB" w:rsidRPr="00C560D7" w:rsidRDefault="00F8123C" w:rsidP="001436E7">
      <w:pPr>
        <w:pStyle w:val="Corpsdetexte22"/>
        <w:numPr>
          <w:ilvl w:val="0"/>
          <w:numId w:val="30"/>
        </w:numPr>
        <w:ind w:left="426" w:hanging="142"/>
        <w:rPr>
          <w:rFonts w:ascii="Arial" w:hAnsi="Arial"/>
          <w:i/>
          <w:sz w:val="16"/>
          <w:szCs w:val="16"/>
        </w:rPr>
      </w:pPr>
      <w:r>
        <w:rPr>
          <w:rFonts w:ascii="Arial" w:hAnsi="Arial" w:cs="Arial"/>
          <w:sz w:val="16"/>
          <w:szCs w:val="16"/>
        </w:rPr>
        <w:t>rachats partiels</w:t>
      </w:r>
      <w:r w:rsidR="003D79DB" w:rsidRPr="00C560D7">
        <w:rPr>
          <w:rFonts w:ascii="Arial" w:hAnsi="Arial" w:cs="Arial"/>
          <w:sz w:val="16"/>
          <w:szCs w:val="16"/>
        </w:rPr>
        <w:t xml:space="preserve"> programmés.</w:t>
      </w:r>
    </w:p>
    <w:p w14:paraId="302710A9" w14:textId="65B6FA89" w:rsidR="001C2EAA" w:rsidRPr="004A3B30" w:rsidRDefault="001C2EAA" w:rsidP="00FC5C52">
      <w:pPr>
        <w:spacing w:after="0"/>
        <w:ind w:left="-284"/>
        <w:jc w:val="both"/>
        <w:rPr>
          <w:rFonts w:ascii="Arial" w:hAnsi="Arial" w:cs="Arial"/>
          <w:color w:val="4472C4"/>
          <w:sz w:val="8"/>
          <w:szCs w:val="8"/>
        </w:rPr>
      </w:pPr>
    </w:p>
    <w:p w14:paraId="6001A55C" w14:textId="2543F938" w:rsidR="00A257DB" w:rsidRPr="001436E7" w:rsidRDefault="00870456" w:rsidP="005D5A3C">
      <w:pPr>
        <w:pStyle w:val="Pieddepage"/>
        <w:numPr>
          <w:ilvl w:val="0"/>
          <w:numId w:val="16"/>
        </w:numPr>
        <w:ind w:left="284" w:hanging="295"/>
        <w:jc w:val="both"/>
        <w:rPr>
          <w:rFonts w:ascii="Arial" w:hAnsi="Arial"/>
          <w:b/>
          <w:color w:val="FF0000"/>
          <w:sz w:val="18"/>
          <w:szCs w:val="18"/>
        </w:rPr>
      </w:pPr>
      <w:r w:rsidRPr="001436E7">
        <w:rPr>
          <w:rFonts w:ascii="Arial" w:hAnsi="Arial" w:cs="Arial"/>
          <w:b/>
          <w:color w:val="FF0000"/>
          <w:sz w:val="18"/>
          <w:szCs w:val="18"/>
        </w:rPr>
        <w:t xml:space="preserve">Frais </w:t>
      </w:r>
      <w:bookmarkStart w:id="4" w:name="_Hlk85205695"/>
      <w:r w:rsidRPr="001436E7">
        <w:rPr>
          <w:rFonts w:ascii="Arial" w:hAnsi="Arial" w:cs="Arial"/>
          <w:b/>
          <w:color w:val="FF0000"/>
          <w:sz w:val="18"/>
          <w:szCs w:val="18"/>
        </w:rPr>
        <w:t>prélevés au titre de cet investissement</w:t>
      </w:r>
      <w:bookmarkEnd w:id="4"/>
    </w:p>
    <w:p w14:paraId="3BBC9284" w14:textId="77777777" w:rsidR="00C46409" w:rsidRPr="00C46409" w:rsidRDefault="00C46409" w:rsidP="00C46409">
      <w:pPr>
        <w:pStyle w:val="Pieddepage"/>
        <w:ind w:left="284"/>
        <w:jc w:val="both"/>
        <w:rPr>
          <w:rFonts w:ascii="Arial" w:hAnsi="Arial"/>
          <w:b/>
          <w:color w:val="4472C4"/>
          <w:sz w:val="8"/>
          <w:szCs w:val="8"/>
        </w:rPr>
      </w:pPr>
    </w:p>
    <w:p w14:paraId="3A319D07" w14:textId="01082DC9" w:rsidR="00A257DB" w:rsidRDefault="00A257DB" w:rsidP="001436E7">
      <w:pPr>
        <w:pStyle w:val="Corpsdetexte21"/>
        <w:numPr>
          <w:ilvl w:val="0"/>
          <w:numId w:val="29"/>
        </w:numPr>
        <w:ind w:left="426" w:hanging="153"/>
        <w:rPr>
          <w:rFonts w:ascii="Arial" w:hAnsi="Arial"/>
          <w:sz w:val="16"/>
          <w:szCs w:val="16"/>
        </w:rPr>
      </w:pPr>
      <w:r w:rsidRPr="004A3B30">
        <w:rPr>
          <w:rFonts w:ascii="Arial" w:hAnsi="Arial"/>
          <w:sz w:val="16"/>
          <w:szCs w:val="16"/>
        </w:rPr>
        <w:t xml:space="preserve">Une </w:t>
      </w:r>
      <w:r w:rsidRPr="004A3B30">
        <w:rPr>
          <w:rFonts w:ascii="Arial" w:hAnsi="Arial"/>
          <w:b/>
          <w:bCs/>
          <w:sz w:val="16"/>
          <w:szCs w:val="16"/>
        </w:rPr>
        <w:t xml:space="preserve">commission de souscription </w:t>
      </w:r>
      <w:r w:rsidRPr="00C073D0">
        <w:rPr>
          <w:rFonts w:ascii="Arial" w:hAnsi="Arial"/>
          <w:b/>
          <w:bCs/>
          <w:sz w:val="16"/>
          <w:szCs w:val="16"/>
        </w:rPr>
        <w:t xml:space="preserve">de </w:t>
      </w:r>
      <w:r w:rsidR="000538A0" w:rsidRPr="00C073D0">
        <w:rPr>
          <w:rFonts w:ascii="Arial" w:hAnsi="Arial"/>
          <w:b/>
          <w:bCs/>
          <w:sz w:val="16"/>
          <w:szCs w:val="16"/>
        </w:rPr>
        <w:t>9</w:t>
      </w:r>
      <w:r w:rsidR="002A2F6A" w:rsidRPr="00C073D0">
        <w:rPr>
          <w:rFonts w:ascii="Arial" w:hAnsi="Arial"/>
          <w:b/>
          <w:bCs/>
          <w:sz w:val="16"/>
          <w:szCs w:val="16"/>
        </w:rPr>
        <w:t xml:space="preserve">% </w:t>
      </w:r>
      <w:r w:rsidRPr="00C073D0">
        <w:rPr>
          <w:rFonts w:ascii="Arial" w:hAnsi="Arial"/>
          <w:b/>
          <w:bCs/>
          <w:sz w:val="16"/>
          <w:szCs w:val="16"/>
        </w:rPr>
        <w:t>spécifique</w:t>
      </w:r>
      <w:r w:rsidRPr="004A3B30">
        <w:rPr>
          <w:rFonts w:ascii="Arial" w:hAnsi="Arial"/>
          <w:b/>
          <w:bCs/>
          <w:sz w:val="16"/>
          <w:szCs w:val="16"/>
        </w:rPr>
        <w:t xml:space="preserve"> au support SCPI</w:t>
      </w:r>
      <w:bookmarkStart w:id="5" w:name="_Hlk114588223"/>
      <w:r w:rsidR="0002120C" w:rsidRPr="004A3B30">
        <w:rPr>
          <w:rFonts w:ascii="Arial" w:hAnsi="Arial"/>
          <w:b/>
          <w:bCs/>
          <w:sz w:val="16"/>
          <w:szCs w:val="16"/>
        </w:rPr>
        <w:t xml:space="preserve"> (dont une partie sera versée au distributeur)</w:t>
      </w:r>
      <w:bookmarkEnd w:id="5"/>
      <w:r w:rsidRPr="004A3B30">
        <w:rPr>
          <w:rFonts w:ascii="Arial" w:hAnsi="Arial"/>
          <w:sz w:val="16"/>
          <w:szCs w:val="16"/>
        </w:rPr>
        <w:t>, vient</w:t>
      </w:r>
      <w:r w:rsidRPr="00341307">
        <w:rPr>
          <w:rFonts w:ascii="Arial" w:hAnsi="Arial"/>
          <w:sz w:val="16"/>
          <w:szCs w:val="16"/>
        </w:rPr>
        <w:t xml:space="preserve"> s’ajouter aux frais prélevés lors du versement, ou de l’arbitrage, au titre du contrat d’assurance vie ou de capitalisation</w:t>
      </w:r>
      <w:r w:rsidRPr="006E491E">
        <w:rPr>
          <w:rFonts w:ascii="Arial" w:hAnsi="Arial"/>
          <w:sz w:val="16"/>
          <w:szCs w:val="16"/>
        </w:rPr>
        <w:t>,</w:t>
      </w:r>
    </w:p>
    <w:p w14:paraId="5C98ECA5" w14:textId="77777777" w:rsidR="002B6C18" w:rsidRPr="002B6C18" w:rsidRDefault="002B6C18" w:rsidP="001436E7">
      <w:pPr>
        <w:pStyle w:val="Corpsdetexte21"/>
        <w:ind w:left="426" w:hanging="153"/>
        <w:rPr>
          <w:rFonts w:ascii="Arial" w:hAnsi="Arial"/>
          <w:sz w:val="4"/>
          <w:szCs w:val="4"/>
        </w:rPr>
      </w:pPr>
    </w:p>
    <w:p w14:paraId="7462D1AF" w14:textId="305147D0" w:rsidR="00870456" w:rsidRPr="00D57B0D" w:rsidRDefault="00A257DB" w:rsidP="001436E7">
      <w:pPr>
        <w:pStyle w:val="Corpsdetexte21"/>
        <w:numPr>
          <w:ilvl w:val="0"/>
          <w:numId w:val="29"/>
        </w:numPr>
        <w:ind w:left="426" w:hanging="153"/>
        <w:rPr>
          <w:rFonts w:ascii="Arial" w:hAnsi="Arial"/>
          <w:color w:val="505050"/>
          <w:sz w:val="16"/>
          <w:szCs w:val="16"/>
        </w:rPr>
      </w:pPr>
      <w:r w:rsidRPr="006E491E">
        <w:rPr>
          <w:rFonts w:ascii="Arial" w:hAnsi="Arial"/>
          <w:sz w:val="16"/>
          <w:szCs w:val="16"/>
        </w:rPr>
        <w:t>Frais de sortie / rachat : néant</w:t>
      </w:r>
      <w:r w:rsidR="00870456" w:rsidRPr="00D57B0D">
        <w:rPr>
          <w:rFonts w:ascii="Arial" w:hAnsi="Arial"/>
          <w:color w:val="505050"/>
          <w:sz w:val="16"/>
          <w:szCs w:val="16"/>
        </w:rPr>
        <w:t>.</w:t>
      </w:r>
    </w:p>
    <w:p w14:paraId="19636D37" w14:textId="77777777" w:rsidR="001C2EAA" w:rsidRPr="00C46409" w:rsidRDefault="001C2EAA" w:rsidP="00411B9E">
      <w:pPr>
        <w:pStyle w:val="Corpsdetexte21"/>
        <w:rPr>
          <w:rFonts w:ascii="Arial" w:hAnsi="Arial"/>
          <w:color w:val="4472C4"/>
          <w:sz w:val="16"/>
          <w:szCs w:val="16"/>
        </w:rPr>
      </w:pPr>
    </w:p>
    <w:p w14:paraId="1D092131" w14:textId="4C4D9C22" w:rsidR="007D6722" w:rsidRPr="001436E7" w:rsidRDefault="00A257DB" w:rsidP="005D5A3C">
      <w:pPr>
        <w:pStyle w:val="Pieddepage"/>
        <w:numPr>
          <w:ilvl w:val="1"/>
          <w:numId w:val="17"/>
        </w:numPr>
        <w:ind w:left="284" w:hanging="284"/>
        <w:jc w:val="both"/>
        <w:rPr>
          <w:rFonts w:ascii="Arial" w:hAnsi="Arial"/>
          <w:b/>
          <w:color w:val="FF0000"/>
          <w:sz w:val="18"/>
          <w:szCs w:val="18"/>
        </w:rPr>
      </w:pPr>
      <w:r w:rsidRPr="001436E7">
        <w:rPr>
          <w:rFonts w:ascii="Arial" w:hAnsi="Arial" w:cs="Arial"/>
          <w:b/>
          <w:color w:val="FF0000"/>
          <w:sz w:val="18"/>
          <w:szCs w:val="18"/>
        </w:rPr>
        <w:t xml:space="preserve">Versement et arbitrages </w:t>
      </w:r>
      <w:r w:rsidR="00EC73D4" w:rsidRPr="001436E7">
        <w:rPr>
          <w:rFonts w:ascii="Arial" w:hAnsi="Arial" w:cs="Arial"/>
          <w:b/>
          <w:color w:val="FF0000"/>
          <w:sz w:val="18"/>
          <w:szCs w:val="18"/>
        </w:rPr>
        <w:t>en entrée</w:t>
      </w:r>
    </w:p>
    <w:p w14:paraId="586B9772" w14:textId="77777777" w:rsidR="00C46409" w:rsidRPr="00C46409" w:rsidRDefault="00C46409" w:rsidP="00C46409">
      <w:pPr>
        <w:pStyle w:val="Pieddepage"/>
        <w:ind w:left="284"/>
        <w:jc w:val="both"/>
        <w:rPr>
          <w:rFonts w:ascii="Arial" w:hAnsi="Arial"/>
          <w:b/>
          <w:color w:val="4472C4"/>
          <w:sz w:val="8"/>
          <w:szCs w:val="8"/>
        </w:rPr>
      </w:pPr>
    </w:p>
    <w:p w14:paraId="024B2115" w14:textId="2FA9579B" w:rsidR="007C1AC3" w:rsidRPr="006E491E" w:rsidRDefault="00A257DB" w:rsidP="005D5A3C">
      <w:pPr>
        <w:pStyle w:val="Corpsdetexte21"/>
        <w:ind w:left="284"/>
        <w:rPr>
          <w:rFonts w:ascii="Arial" w:hAnsi="Arial" w:cs="Arial"/>
          <w:sz w:val="16"/>
          <w:szCs w:val="16"/>
        </w:rPr>
      </w:pPr>
      <w:r w:rsidRPr="006E491E">
        <w:rPr>
          <w:rFonts w:ascii="Arial" w:hAnsi="Arial" w:cs="Arial"/>
          <w:sz w:val="16"/>
          <w:szCs w:val="16"/>
        </w:rPr>
        <w:t>Les demandes de versement et d’arbitrage seront réalisées sur la base de la valeur de retrait</w:t>
      </w:r>
      <w:r w:rsidR="00394AB6" w:rsidRPr="006E491E">
        <w:rPr>
          <w:rFonts w:ascii="Arial" w:hAnsi="Arial" w:cs="Arial"/>
          <w:sz w:val="16"/>
          <w:szCs w:val="16"/>
        </w:rPr>
        <w:t xml:space="preserve"> </w:t>
      </w:r>
      <w:r w:rsidR="00394AB6" w:rsidRPr="006E491E">
        <w:rPr>
          <w:rFonts w:ascii="Arial" w:hAnsi="Arial" w:cs="Arial"/>
          <w:sz w:val="16"/>
          <w:szCs w:val="16"/>
          <w:vertAlign w:val="superscript"/>
        </w:rPr>
        <w:t>(1)</w:t>
      </w:r>
      <w:r w:rsidR="00394AB6" w:rsidRPr="006E491E">
        <w:rPr>
          <w:rFonts w:ascii="Arial" w:hAnsi="Arial"/>
          <w:i/>
          <w:sz w:val="16"/>
          <w:szCs w:val="16"/>
        </w:rPr>
        <w:t xml:space="preserve"> </w:t>
      </w:r>
      <w:r w:rsidRPr="006E491E">
        <w:rPr>
          <w:rFonts w:ascii="Arial" w:hAnsi="Arial" w:cs="Arial"/>
          <w:sz w:val="16"/>
          <w:szCs w:val="16"/>
        </w:rPr>
        <w:t xml:space="preserve">augmentée de la commission de souscription </w:t>
      </w:r>
      <w:r w:rsidR="003D79DB" w:rsidRPr="006E491E">
        <w:rPr>
          <w:rFonts w:ascii="Arial" w:hAnsi="Arial" w:cs="Arial"/>
          <w:sz w:val="16"/>
          <w:szCs w:val="16"/>
        </w:rPr>
        <w:t>spécifique à la SCPI</w:t>
      </w:r>
      <w:r w:rsidRPr="006E491E">
        <w:rPr>
          <w:rFonts w:ascii="Arial" w:hAnsi="Arial" w:cs="Arial"/>
          <w:sz w:val="16"/>
          <w:szCs w:val="16"/>
        </w:rPr>
        <w:t xml:space="preserve">. Ces opérations seront soumises aux frais sur versements ou frais d’arbitrage du contrat et à la commission de souscription. </w:t>
      </w:r>
    </w:p>
    <w:p w14:paraId="0E92AF73" w14:textId="77777777" w:rsidR="00C46409" w:rsidRPr="006E491E" w:rsidRDefault="00C46409" w:rsidP="005D5A3C">
      <w:pPr>
        <w:pStyle w:val="Corpsdetexte21"/>
        <w:ind w:left="284"/>
        <w:rPr>
          <w:rFonts w:ascii="Arial" w:hAnsi="Arial" w:cs="Arial"/>
          <w:b/>
          <w:sz w:val="8"/>
          <w:szCs w:val="8"/>
        </w:rPr>
      </w:pPr>
    </w:p>
    <w:p w14:paraId="5A1CFC16" w14:textId="790C6C88" w:rsidR="00C46409" w:rsidRPr="00BB4E1C" w:rsidRDefault="007C1AC3" w:rsidP="00BB4E1C">
      <w:pPr>
        <w:pStyle w:val="Corpsdetexte22"/>
        <w:numPr>
          <w:ilvl w:val="0"/>
          <w:numId w:val="26"/>
        </w:numPr>
        <w:ind w:left="567" w:hanging="283"/>
        <w:rPr>
          <w:rFonts w:ascii="Arial" w:hAnsi="Arial"/>
          <w:i/>
          <w:sz w:val="16"/>
          <w:szCs w:val="16"/>
        </w:rPr>
      </w:pPr>
      <w:r w:rsidRPr="006E491E">
        <w:rPr>
          <w:rFonts w:ascii="Arial" w:hAnsi="Arial"/>
          <w:i/>
          <w:sz w:val="16"/>
          <w:szCs w:val="16"/>
        </w:rPr>
        <w:t>La valeur ou prix de retrait correspond au prix de souscription du moment diminué de la commission de souscription. Le prix de souscription est établi sur la base de la valeur de reconstitution telle que définie à l’article L.214-109 du Code monétaire et financier. Tout écart de plus ou moins 10 % entre le prix de souscription et la valeur de reconstitution des parts devra être notifié et justifié par la société de gestion à l’Autorité des Marchés Financiers. La valeur nominale majorée de la prime d’émission constitue le prix de souscription.</w:t>
      </w:r>
    </w:p>
    <w:p w14:paraId="4CE4EE66" w14:textId="77777777" w:rsidR="004A3B30" w:rsidRPr="004A3B30" w:rsidRDefault="004A3B30" w:rsidP="004A3B30">
      <w:pPr>
        <w:pStyle w:val="Corpsdetexte22"/>
        <w:rPr>
          <w:rFonts w:ascii="Arial" w:hAnsi="Arial"/>
          <w:i/>
          <w:color w:val="505050"/>
          <w:sz w:val="8"/>
          <w:szCs w:val="8"/>
        </w:rPr>
      </w:pPr>
    </w:p>
    <w:p w14:paraId="18D24134" w14:textId="1C3F1241" w:rsidR="00C06E9D" w:rsidRPr="001436E7" w:rsidRDefault="00C06E9D" w:rsidP="005D5A3C">
      <w:pPr>
        <w:pStyle w:val="Pieddepage"/>
        <w:numPr>
          <w:ilvl w:val="1"/>
          <w:numId w:val="18"/>
        </w:numPr>
        <w:ind w:left="284" w:hanging="284"/>
        <w:jc w:val="both"/>
        <w:rPr>
          <w:rFonts w:ascii="Arial" w:hAnsi="Arial"/>
          <w:b/>
          <w:color w:val="FF0000"/>
          <w:sz w:val="18"/>
          <w:szCs w:val="18"/>
        </w:rPr>
      </w:pPr>
      <w:r w:rsidRPr="001436E7">
        <w:rPr>
          <w:rFonts w:ascii="Arial" w:hAnsi="Arial" w:cs="Arial"/>
          <w:b/>
          <w:color w:val="FF0000"/>
          <w:sz w:val="18"/>
          <w:szCs w:val="18"/>
        </w:rPr>
        <w:t xml:space="preserve">Rachat ou arbitrages </w:t>
      </w:r>
      <w:r w:rsidR="00EC73D4" w:rsidRPr="001436E7">
        <w:rPr>
          <w:rFonts w:ascii="Arial" w:hAnsi="Arial" w:cs="Arial"/>
          <w:b/>
          <w:color w:val="FF0000"/>
          <w:sz w:val="18"/>
          <w:szCs w:val="18"/>
        </w:rPr>
        <w:t xml:space="preserve">en </w:t>
      </w:r>
      <w:r w:rsidRPr="001436E7">
        <w:rPr>
          <w:rFonts w:ascii="Arial" w:hAnsi="Arial" w:cs="Arial"/>
          <w:b/>
          <w:color w:val="FF0000"/>
          <w:sz w:val="18"/>
          <w:szCs w:val="18"/>
        </w:rPr>
        <w:t>sort</w:t>
      </w:r>
      <w:r w:rsidR="00EC73D4" w:rsidRPr="001436E7">
        <w:rPr>
          <w:rFonts w:ascii="Arial" w:hAnsi="Arial" w:cs="Arial"/>
          <w:b/>
          <w:color w:val="FF0000"/>
          <w:sz w:val="18"/>
          <w:szCs w:val="18"/>
        </w:rPr>
        <w:t>ie</w:t>
      </w:r>
      <w:r w:rsidRPr="001436E7">
        <w:rPr>
          <w:rFonts w:ascii="Arial" w:hAnsi="Arial" w:cs="Arial"/>
          <w:b/>
          <w:color w:val="FF0000"/>
          <w:sz w:val="18"/>
          <w:szCs w:val="18"/>
        </w:rPr>
        <w:t> </w:t>
      </w:r>
    </w:p>
    <w:p w14:paraId="3AAC1850" w14:textId="77777777" w:rsidR="00C46409" w:rsidRPr="00C46409" w:rsidRDefault="00C46409" w:rsidP="00C46409">
      <w:pPr>
        <w:pStyle w:val="Pieddepage"/>
        <w:ind w:left="284"/>
        <w:jc w:val="both"/>
        <w:rPr>
          <w:rFonts w:ascii="Arial" w:hAnsi="Arial"/>
          <w:b/>
          <w:color w:val="4472C4"/>
          <w:sz w:val="8"/>
          <w:szCs w:val="8"/>
        </w:rPr>
      </w:pPr>
    </w:p>
    <w:p w14:paraId="344CA00F" w14:textId="37D3BBFC" w:rsidR="00C06E9D" w:rsidRPr="006E491E" w:rsidRDefault="00C06E9D" w:rsidP="00D57B0D">
      <w:pPr>
        <w:pStyle w:val="Corpsdetexte22"/>
        <w:ind w:left="284"/>
        <w:rPr>
          <w:rFonts w:ascii="Arial" w:hAnsi="Arial" w:cs="Arial"/>
          <w:sz w:val="16"/>
          <w:szCs w:val="16"/>
        </w:rPr>
      </w:pPr>
      <w:r w:rsidRPr="006E491E">
        <w:rPr>
          <w:rFonts w:ascii="Arial" w:hAnsi="Arial" w:cs="Arial"/>
          <w:sz w:val="16"/>
          <w:szCs w:val="16"/>
        </w:rPr>
        <w:t>Le rachat ou l’arbitrage en sortie de ce support sont possibles à tout moment sans pénalités, moyennant l’application des frais prévus en cas d’arbitrage dans les conditions générales valant note / notice d’information du contrat. Les demandes de rachat et d’arbitrages sont valorisées sur la base de la valeur liquidative de l’unité de compte représentative de la part de SCPI à la date d’effet du rachat</w:t>
      </w:r>
      <w:r w:rsidR="0081169F" w:rsidRPr="006E491E">
        <w:rPr>
          <w:rFonts w:ascii="Arial" w:hAnsi="Arial" w:cs="Arial"/>
          <w:sz w:val="16"/>
          <w:szCs w:val="16"/>
        </w:rPr>
        <w:t xml:space="preserve"> ou de l’arbitrage</w:t>
      </w:r>
      <w:r w:rsidRPr="006E491E">
        <w:rPr>
          <w:rFonts w:ascii="Arial" w:hAnsi="Arial" w:cs="Arial"/>
          <w:sz w:val="16"/>
          <w:szCs w:val="16"/>
        </w:rPr>
        <w:t>.</w:t>
      </w:r>
    </w:p>
    <w:p w14:paraId="5841EF79" w14:textId="772D8096" w:rsidR="004928E8" w:rsidRPr="001436E7" w:rsidRDefault="004928E8" w:rsidP="005D5A3C">
      <w:pPr>
        <w:pStyle w:val="Pieddepage"/>
        <w:numPr>
          <w:ilvl w:val="1"/>
          <w:numId w:val="20"/>
        </w:numPr>
        <w:ind w:left="284" w:hanging="284"/>
        <w:jc w:val="both"/>
        <w:rPr>
          <w:rFonts w:ascii="Arial" w:hAnsi="Arial" w:cs="Arial"/>
          <w:b/>
          <w:color w:val="FF0000"/>
          <w:sz w:val="18"/>
          <w:szCs w:val="18"/>
        </w:rPr>
      </w:pPr>
      <w:r w:rsidRPr="001436E7">
        <w:rPr>
          <w:rFonts w:ascii="Arial" w:hAnsi="Arial" w:cs="Arial"/>
          <w:b/>
          <w:color w:val="FF0000"/>
          <w:sz w:val="18"/>
          <w:szCs w:val="18"/>
        </w:rPr>
        <w:t>Garantie plancher en cas de décès</w:t>
      </w:r>
      <w:r w:rsidR="00C06E9D" w:rsidRPr="001436E7">
        <w:rPr>
          <w:rFonts w:ascii="Arial" w:hAnsi="Arial" w:cs="Arial"/>
          <w:b/>
          <w:color w:val="FF0000"/>
          <w:sz w:val="18"/>
          <w:szCs w:val="18"/>
        </w:rPr>
        <w:t> </w:t>
      </w:r>
    </w:p>
    <w:p w14:paraId="27AAFE4B" w14:textId="77777777" w:rsidR="00C46409" w:rsidRPr="00C46409" w:rsidRDefault="00C46409" w:rsidP="00C46409">
      <w:pPr>
        <w:pStyle w:val="Pieddepage"/>
        <w:ind w:left="284"/>
        <w:jc w:val="both"/>
        <w:rPr>
          <w:rFonts w:ascii="Arial" w:hAnsi="Arial" w:cs="Arial"/>
          <w:b/>
          <w:color w:val="4472C4"/>
          <w:sz w:val="8"/>
          <w:szCs w:val="8"/>
        </w:rPr>
      </w:pPr>
    </w:p>
    <w:p w14:paraId="1E7ED9DC" w14:textId="20990A4D" w:rsidR="001C2EAA" w:rsidRPr="006E491E" w:rsidRDefault="004928E8" w:rsidP="005D5A3C">
      <w:pPr>
        <w:pStyle w:val="Corpsdetexte22"/>
        <w:ind w:left="284"/>
        <w:rPr>
          <w:rFonts w:ascii="Arial" w:hAnsi="Arial" w:cs="Arial"/>
          <w:sz w:val="16"/>
          <w:szCs w:val="16"/>
        </w:rPr>
      </w:pPr>
      <w:r w:rsidRPr="006E491E">
        <w:rPr>
          <w:rFonts w:ascii="Arial" w:hAnsi="Arial" w:cs="Arial"/>
          <w:sz w:val="16"/>
          <w:szCs w:val="16"/>
        </w:rPr>
        <w:t>La SCPI bénéficie de la garantie plancher en cas de décès selon les modalités prévues dans les conditions générales valant notice d’information des contrats d’assurance vie</w:t>
      </w:r>
      <w:r w:rsidR="001B132E" w:rsidRPr="006E491E">
        <w:rPr>
          <w:rFonts w:ascii="Arial" w:hAnsi="Arial" w:cs="Arial"/>
          <w:sz w:val="16"/>
          <w:szCs w:val="16"/>
        </w:rPr>
        <w:t>.</w:t>
      </w:r>
    </w:p>
    <w:p w14:paraId="5825A272" w14:textId="77777777" w:rsidR="004928E8" w:rsidRPr="00C46409" w:rsidRDefault="004928E8" w:rsidP="00FC5C52">
      <w:pPr>
        <w:pStyle w:val="Corpsdetexte22"/>
        <w:rPr>
          <w:rFonts w:ascii="Arial" w:hAnsi="Arial"/>
          <w:sz w:val="16"/>
          <w:szCs w:val="16"/>
        </w:rPr>
      </w:pPr>
    </w:p>
    <w:p w14:paraId="43AA87DF" w14:textId="65EA4A34" w:rsidR="004928E8" w:rsidRPr="001436E7" w:rsidRDefault="00C06E9D" w:rsidP="005D5A3C">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lastRenderedPageBreak/>
        <w:t>Fiscalité applicable</w:t>
      </w:r>
    </w:p>
    <w:p w14:paraId="682D8741" w14:textId="77777777" w:rsidR="00C46409" w:rsidRPr="00C46409" w:rsidRDefault="00C46409" w:rsidP="00C46409">
      <w:pPr>
        <w:pStyle w:val="Pieddepage"/>
        <w:ind w:left="284"/>
        <w:jc w:val="both"/>
        <w:rPr>
          <w:rFonts w:ascii="Arial" w:hAnsi="Arial" w:cs="Arial"/>
          <w:b/>
          <w:color w:val="4472C4"/>
          <w:sz w:val="8"/>
          <w:szCs w:val="8"/>
        </w:rPr>
      </w:pPr>
    </w:p>
    <w:p w14:paraId="55E42618" w14:textId="2A2CEB97" w:rsidR="001C2EAA" w:rsidRPr="006E491E" w:rsidRDefault="004928E8" w:rsidP="005D5A3C">
      <w:pPr>
        <w:pStyle w:val="Corpsdetexte22"/>
        <w:ind w:left="284"/>
        <w:rPr>
          <w:rFonts w:ascii="Arial" w:hAnsi="Arial" w:cs="Arial"/>
          <w:sz w:val="16"/>
          <w:szCs w:val="16"/>
        </w:rPr>
      </w:pPr>
      <w:r w:rsidRPr="006E491E">
        <w:rPr>
          <w:rFonts w:ascii="Arial" w:hAnsi="Arial" w:cs="Arial"/>
          <w:sz w:val="16"/>
          <w:szCs w:val="16"/>
        </w:rPr>
        <w:t>En tant que support en unités de compte au sein d’un contrat d’assurance vie ou de capitalisation, la fiscalité applicable est celle de l’assurance vie et de la capitalisation. Si le client est soumis à l’Impôt sur la Fortune Immobilière (IFI), la fraction de la valeur de rachat afférente à la SCPI devra être déclarée à hauteur d’un pourcentage qui lui sera communiqué chaque année par l’assureur.</w:t>
      </w:r>
    </w:p>
    <w:p w14:paraId="16C60557" w14:textId="4E580312" w:rsidR="00870456" w:rsidRDefault="00870456" w:rsidP="00FC5C52">
      <w:pPr>
        <w:pStyle w:val="Pieddepage"/>
        <w:jc w:val="both"/>
        <w:rPr>
          <w:rFonts w:ascii="Arial" w:hAnsi="Arial" w:cs="Arial"/>
          <w:b/>
          <w:i/>
          <w:color w:val="505050"/>
          <w:sz w:val="16"/>
          <w:szCs w:val="18"/>
        </w:rPr>
      </w:pPr>
    </w:p>
    <w:p w14:paraId="217AADF2" w14:textId="35AAA4B3" w:rsidR="003D79DB" w:rsidRPr="001436E7" w:rsidRDefault="003D79DB" w:rsidP="00D57B0D">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t>Revenus potentiels</w:t>
      </w:r>
    </w:p>
    <w:p w14:paraId="6E7D49EE" w14:textId="77777777" w:rsidR="00C46409" w:rsidRPr="00C46409" w:rsidRDefault="00C46409" w:rsidP="00C46409">
      <w:pPr>
        <w:pStyle w:val="Pieddepage"/>
        <w:ind w:left="284"/>
        <w:jc w:val="both"/>
        <w:rPr>
          <w:rFonts w:ascii="Arial" w:hAnsi="Arial" w:cs="Arial"/>
          <w:b/>
          <w:color w:val="4472C4"/>
          <w:sz w:val="8"/>
          <w:szCs w:val="8"/>
        </w:rPr>
      </w:pPr>
    </w:p>
    <w:p w14:paraId="4A84E702" w14:textId="77777777" w:rsidR="003D79DB" w:rsidRPr="006E491E" w:rsidRDefault="003D79DB" w:rsidP="003D79DB">
      <w:pPr>
        <w:keepNext/>
        <w:spacing w:after="0"/>
        <w:ind w:left="284"/>
        <w:jc w:val="both"/>
        <w:outlineLvl w:val="1"/>
        <w:rPr>
          <w:rFonts w:ascii="Arial" w:eastAsia="Times New Roman" w:hAnsi="Arial" w:cs="Arial"/>
          <w:sz w:val="16"/>
          <w:szCs w:val="16"/>
          <w:lang w:eastAsia="fr-FR"/>
        </w:rPr>
      </w:pPr>
      <w:r w:rsidRPr="006E491E">
        <w:rPr>
          <w:rFonts w:ascii="Arial" w:eastAsia="Times New Roman" w:hAnsi="Arial" w:cs="Arial"/>
          <w:sz w:val="16"/>
          <w:szCs w:val="16"/>
          <w:lang w:eastAsia="fr-FR"/>
        </w:rPr>
        <w:t>Les unités de compte du support financier de la SCPI investies dans le contrat à la fin d’un trimestre civil donnent droit à l’attribution de revenus au regard des dividendes reçus par l’assureur au titre des revenus potentiels de la SCPI. Cette distribution potentielle de dividendes est décidée par les instances de la SCPI. L’attribution de revenus correspondante est effective si la valeur de rachat du contrat du client est toujours investie sur des unités de compte représentatives des parts de la SCPI au moment de la distribution des revenus par l’assureur. Cette distribution de revenus est effectuée par l’assureur dans un délai maximum de deux mois après la réception des dividendes par l’assureur et sans application d’un délai de jouissance. Les revenus ainsi distribués seront investis sur le fonds en euros du contrat.</w:t>
      </w:r>
    </w:p>
    <w:p w14:paraId="5B183706" w14:textId="77777777" w:rsidR="00BB4E1C" w:rsidRPr="004A3B30" w:rsidRDefault="00BB4E1C" w:rsidP="006B0C33">
      <w:pPr>
        <w:keepNext/>
        <w:spacing w:after="0"/>
        <w:jc w:val="both"/>
        <w:outlineLvl w:val="1"/>
        <w:rPr>
          <w:rFonts w:ascii="Arial" w:eastAsia="Times New Roman" w:hAnsi="Arial" w:cs="Arial"/>
          <w:color w:val="505050"/>
          <w:sz w:val="8"/>
          <w:szCs w:val="8"/>
          <w:lang w:eastAsia="fr-FR"/>
        </w:rPr>
      </w:pPr>
    </w:p>
    <w:p w14:paraId="14DB5CC8" w14:textId="77777777" w:rsidR="00870456" w:rsidRPr="00D57B0D" w:rsidRDefault="00917A63" w:rsidP="00FC5C52">
      <w:pPr>
        <w:spacing w:after="0"/>
        <w:jc w:val="both"/>
        <w:rPr>
          <w:rFonts w:ascii="Arial" w:hAnsi="Arial"/>
          <w:b/>
          <w:color w:val="505050"/>
          <w:sz w:val="24"/>
          <w:szCs w:val="24"/>
        </w:rPr>
      </w:pPr>
      <w:r w:rsidRPr="00D57B0D">
        <w:rPr>
          <w:rFonts w:ascii="Arial" w:hAnsi="Arial"/>
          <w:b/>
          <w:color w:val="505050"/>
          <w:sz w:val="24"/>
          <w:szCs w:val="24"/>
        </w:rPr>
        <w:t>Informations importantes</w:t>
      </w:r>
    </w:p>
    <w:p w14:paraId="3E833475" w14:textId="77777777" w:rsidR="00917A63" w:rsidRPr="004A3B30" w:rsidRDefault="00917A63" w:rsidP="00FC5C52">
      <w:pPr>
        <w:pStyle w:val="Default"/>
        <w:jc w:val="both"/>
        <w:rPr>
          <w:b/>
          <w:bCs/>
          <w:color w:val="FF0000"/>
          <w:sz w:val="8"/>
          <w:szCs w:val="8"/>
        </w:rPr>
      </w:pPr>
    </w:p>
    <w:p w14:paraId="311EA67D" w14:textId="578A26AC" w:rsidR="00B82E25" w:rsidRPr="001436E7" w:rsidRDefault="00D57B0D" w:rsidP="00FC5C52">
      <w:pPr>
        <w:pStyle w:val="Pieddepage"/>
        <w:numPr>
          <w:ilvl w:val="1"/>
          <w:numId w:val="21"/>
        </w:numPr>
        <w:ind w:left="284" w:hanging="284"/>
        <w:jc w:val="both"/>
        <w:rPr>
          <w:rFonts w:ascii="Arial" w:hAnsi="Arial" w:cs="Arial"/>
          <w:b/>
          <w:color w:val="FF0000"/>
          <w:sz w:val="18"/>
          <w:szCs w:val="18"/>
        </w:rPr>
      </w:pPr>
      <w:bookmarkStart w:id="6" w:name="_Hlk89177871"/>
      <w:bookmarkStart w:id="7" w:name="_Hlk526351955"/>
      <w:bookmarkStart w:id="8" w:name="_Hlk526354517"/>
      <w:r w:rsidRPr="001436E7">
        <w:rPr>
          <w:rFonts w:ascii="Arial" w:hAnsi="Arial" w:cs="Arial"/>
          <w:b/>
          <w:color w:val="FF0000"/>
          <w:sz w:val="18"/>
          <w:szCs w:val="18"/>
        </w:rPr>
        <w:t xml:space="preserve">Principaux facteurs </w:t>
      </w:r>
      <w:bookmarkEnd w:id="6"/>
      <w:r w:rsidRPr="001436E7">
        <w:rPr>
          <w:rFonts w:ascii="Arial" w:hAnsi="Arial" w:cs="Arial"/>
          <w:b/>
          <w:color w:val="FF0000"/>
          <w:sz w:val="18"/>
          <w:szCs w:val="18"/>
        </w:rPr>
        <w:t>de risque</w:t>
      </w:r>
    </w:p>
    <w:p w14:paraId="69FA6E05" w14:textId="77777777" w:rsidR="00C46409" w:rsidRPr="00C46409" w:rsidRDefault="00C46409" w:rsidP="00C46409">
      <w:pPr>
        <w:pStyle w:val="Pieddepage"/>
        <w:ind w:left="284"/>
        <w:jc w:val="both"/>
        <w:rPr>
          <w:rFonts w:ascii="Arial" w:hAnsi="Arial" w:cs="Arial"/>
          <w:b/>
          <w:color w:val="4472C4"/>
          <w:sz w:val="8"/>
          <w:szCs w:val="8"/>
        </w:rPr>
      </w:pPr>
    </w:p>
    <w:p w14:paraId="544BB0E9" w14:textId="01A4B66E" w:rsidR="00FF23E4" w:rsidRPr="006E491E" w:rsidRDefault="00C06E9D" w:rsidP="00D57B0D">
      <w:pPr>
        <w:spacing w:after="0"/>
        <w:ind w:left="284"/>
        <w:jc w:val="both"/>
        <w:rPr>
          <w:rFonts w:ascii="Arial" w:hAnsi="Arial" w:cs="Arial"/>
          <w:sz w:val="16"/>
          <w:szCs w:val="16"/>
        </w:rPr>
      </w:pPr>
      <w:r w:rsidRPr="006E491E">
        <w:rPr>
          <w:rFonts w:ascii="Arial" w:hAnsi="Arial" w:cs="Arial"/>
          <w:sz w:val="16"/>
          <w:szCs w:val="16"/>
        </w:rPr>
        <w:t xml:space="preserve">Le capital et le rendement de la SCPI ne sont pas garantis. Ils peuvent évoluer à la hausse comme à la baisse. </w:t>
      </w:r>
    </w:p>
    <w:p w14:paraId="76CEB1EF" w14:textId="77777777" w:rsidR="00DE637B" w:rsidRPr="006E491E" w:rsidRDefault="00DE637B" w:rsidP="00D57B0D">
      <w:pPr>
        <w:spacing w:after="0"/>
        <w:ind w:left="284"/>
        <w:jc w:val="both"/>
        <w:rPr>
          <w:rFonts w:ascii="Arial" w:hAnsi="Arial" w:cs="Arial"/>
          <w:sz w:val="8"/>
          <w:szCs w:val="8"/>
        </w:rPr>
      </w:pPr>
    </w:p>
    <w:p w14:paraId="787C0877" w14:textId="3DF7ABB5" w:rsidR="00D57B0D" w:rsidRDefault="00C06E9D" w:rsidP="00C72A36">
      <w:pPr>
        <w:spacing w:after="0"/>
        <w:ind w:left="284"/>
        <w:jc w:val="both"/>
        <w:rPr>
          <w:rFonts w:ascii="Arial" w:hAnsi="Arial" w:cs="Arial"/>
          <w:sz w:val="16"/>
          <w:szCs w:val="16"/>
        </w:rPr>
      </w:pPr>
      <w:r w:rsidRPr="006E491E">
        <w:rPr>
          <w:rFonts w:ascii="Arial" w:hAnsi="Arial" w:cs="Arial"/>
          <w:sz w:val="16"/>
          <w:szCs w:val="16"/>
        </w:rPr>
        <w:t>Les principaux facteurs de risque propres à la SCPI sont les suivants</w:t>
      </w:r>
      <w:r w:rsidR="00FC5C0D" w:rsidRPr="006E491E">
        <w:rPr>
          <w:rFonts w:ascii="Arial" w:hAnsi="Arial" w:cs="Arial"/>
          <w:sz w:val="16"/>
          <w:szCs w:val="16"/>
        </w:rPr>
        <w:t> :</w:t>
      </w:r>
    </w:p>
    <w:p w14:paraId="61830FE6" w14:textId="77777777" w:rsidR="00C72A36" w:rsidRPr="006E491E" w:rsidRDefault="00C72A36" w:rsidP="00C72A36">
      <w:pPr>
        <w:spacing w:after="0"/>
        <w:ind w:left="284"/>
        <w:jc w:val="both"/>
        <w:rPr>
          <w:rFonts w:ascii="Arial" w:hAnsi="Arial" w:cs="Arial"/>
          <w:sz w:val="8"/>
          <w:szCs w:val="8"/>
        </w:rPr>
      </w:pPr>
    </w:p>
    <w:p w14:paraId="13CAEA5A" w14:textId="042F9B63" w:rsidR="00D57B0D" w:rsidRPr="00C72A36" w:rsidRDefault="00C06E9D" w:rsidP="00C72A36">
      <w:pPr>
        <w:pStyle w:val="Paragraphedeliste"/>
        <w:numPr>
          <w:ilvl w:val="0"/>
          <w:numId w:val="28"/>
        </w:numPr>
        <w:spacing w:before="40" w:after="120"/>
        <w:ind w:left="426" w:hanging="142"/>
        <w:jc w:val="both"/>
        <w:rPr>
          <w:rFonts w:ascii="Arial" w:hAnsi="Arial" w:cs="Arial"/>
          <w:bCs/>
          <w:sz w:val="16"/>
          <w:szCs w:val="16"/>
          <w:lang w:val="fr-FR"/>
        </w:rPr>
      </w:pPr>
      <w:r w:rsidRPr="00C72A36">
        <w:rPr>
          <w:rFonts w:ascii="Arial" w:hAnsi="Arial" w:cs="Arial"/>
          <w:bCs/>
          <w:sz w:val="16"/>
          <w:szCs w:val="16"/>
          <w:lang w:val="fr-FR"/>
        </w:rPr>
        <w:t>Les risques généraux : la gestion discrétionnaire mise en place dans le cadre des SCPI repose sur l’anticipation de l’évolution des différents marchés immobiliers. Aussi, il existe un risque que les SCPI ne soient pas investies en permanence sur les marchés ou immeubles les plus performants</w:t>
      </w:r>
      <w:r w:rsidR="005D5A3C" w:rsidRPr="00C72A36">
        <w:rPr>
          <w:rFonts w:ascii="Arial" w:hAnsi="Arial" w:cs="Arial"/>
          <w:bCs/>
          <w:sz w:val="16"/>
          <w:szCs w:val="16"/>
          <w:lang w:val="fr-FR"/>
        </w:rPr>
        <w:t>.</w:t>
      </w:r>
    </w:p>
    <w:p w14:paraId="64023BB7" w14:textId="77777777" w:rsidR="00C72A36" w:rsidRDefault="00C06E9D" w:rsidP="00C72A36">
      <w:pPr>
        <w:pStyle w:val="Paragraphedeliste"/>
        <w:numPr>
          <w:ilvl w:val="0"/>
          <w:numId w:val="28"/>
        </w:numPr>
        <w:spacing w:before="40" w:after="120"/>
        <w:ind w:left="426" w:hanging="142"/>
        <w:jc w:val="both"/>
        <w:rPr>
          <w:rFonts w:ascii="Arial" w:hAnsi="Arial" w:cs="Arial"/>
          <w:sz w:val="16"/>
          <w:szCs w:val="16"/>
          <w:lang w:val="fr-FR"/>
        </w:rPr>
      </w:pPr>
      <w:r w:rsidRPr="00C560D7">
        <w:rPr>
          <w:rFonts w:ascii="Arial" w:hAnsi="Arial" w:cs="Arial"/>
          <w:sz w:val="16"/>
          <w:szCs w:val="16"/>
          <w:lang w:val="fr-FR"/>
        </w:rPr>
        <w:t xml:space="preserve">Le risque immobilier / risque de marché : les investissements réalisés par les SCPI seront soumis aux risques inhérents à la détention et à la gestion d’actifs immobiliers étant précisé que, par exemple, le marché des actifs de bureaux est marqué par des cycles conjoncturels liés à l’économie générale et à l’évolution des taux longs. </w:t>
      </w:r>
      <w:r w:rsidRPr="00C560D7">
        <w:rPr>
          <w:rFonts w:ascii="Arial" w:hAnsi="Arial" w:cs="Arial"/>
          <w:b/>
          <w:sz w:val="16"/>
          <w:szCs w:val="16"/>
          <w:lang w:val="fr-FR"/>
        </w:rPr>
        <w:t>A cet égard, les SCPI ne présentent aucune garantie de capital ou de performances</w:t>
      </w:r>
      <w:r w:rsidRPr="00C560D7">
        <w:rPr>
          <w:rFonts w:ascii="Arial" w:hAnsi="Arial" w:cs="Arial"/>
          <w:sz w:val="16"/>
          <w:szCs w:val="16"/>
          <w:lang w:val="fr-FR"/>
        </w:rPr>
        <w:t>. Votre investissement sur la SCPI est donc exposé à un risque de perte en capital, notamment en cas de sortie du support</w:t>
      </w:r>
      <w:r w:rsidR="005D5A3C" w:rsidRPr="00C560D7">
        <w:rPr>
          <w:rFonts w:ascii="Arial" w:hAnsi="Arial" w:cs="Arial"/>
          <w:sz w:val="16"/>
          <w:szCs w:val="16"/>
          <w:lang w:val="fr-FR"/>
        </w:rPr>
        <w:t>.</w:t>
      </w:r>
    </w:p>
    <w:p w14:paraId="175CC9B1" w14:textId="5EFF248B" w:rsidR="00D57B0D" w:rsidRPr="00C72A36" w:rsidRDefault="00C560D7" w:rsidP="00C72A36">
      <w:pPr>
        <w:pStyle w:val="Paragraphedeliste"/>
        <w:numPr>
          <w:ilvl w:val="0"/>
          <w:numId w:val="28"/>
        </w:numPr>
        <w:spacing w:before="40" w:after="120"/>
        <w:ind w:left="426" w:hanging="142"/>
        <w:jc w:val="both"/>
        <w:rPr>
          <w:rFonts w:ascii="Arial" w:hAnsi="Arial" w:cs="Arial"/>
          <w:sz w:val="16"/>
          <w:szCs w:val="16"/>
          <w:lang w:val="fr-FR"/>
        </w:rPr>
      </w:pPr>
      <w:r w:rsidRPr="00C72A36">
        <w:rPr>
          <w:rFonts w:ascii="Arial" w:hAnsi="Arial" w:cs="Arial"/>
          <w:sz w:val="16"/>
          <w:szCs w:val="16"/>
          <w:lang w:val="fr-FR"/>
        </w:rPr>
        <w:t xml:space="preserve">Risque lié à l’endettement : </w:t>
      </w:r>
      <w:r w:rsidR="003B6886" w:rsidRPr="00681800">
        <w:rPr>
          <w:rFonts w:ascii="Arial" w:hAnsi="Arial" w:cs="Arial"/>
          <w:sz w:val="16"/>
          <w:szCs w:val="16"/>
          <w:lang w:val="fr-FR"/>
        </w:rPr>
        <w:t xml:space="preserve">la SCPI peut réaliser des acquisitions financées à crédit dans la limite du montant </w:t>
      </w:r>
      <w:r w:rsidR="00341307">
        <w:rPr>
          <w:rFonts w:ascii="Arial" w:hAnsi="Arial" w:cs="Arial"/>
          <w:sz w:val="16"/>
          <w:szCs w:val="16"/>
          <w:lang w:val="fr-FR"/>
        </w:rPr>
        <w:t>voté</w:t>
      </w:r>
      <w:r w:rsidR="003B6886" w:rsidRPr="00681800">
        <w:rPr>
          <w:rFonts w:ascii="Arial" w:hAnsi="Arial" w:cs="Arial"/>
          <w:sz w:val="16"/>
          <w:szCs w:val="16"/>
          <w:lang w:val="fr-FR"/>
        </w:rPr>
        <w:t xml:space="preserve"> par l’assemblée générale des associés. Dans ce cas, le financement par dette souscrit par la SCPI s’accompagne d’engagements contractuels dont le non-respect rendrait la dette exigible. En outre, il peut augmenter le risque de perte en cas de dévalorisation des actifs et peser sur la distribution de la SCPI. Dès lors, le montant du capital qui sera perçu lors de la cession des parts ou, le cas échéant, lors de la liquidation de la SCPI, sera subordonné au remboursement intégral du montant en cours préalable de l’emprunt contracté par la SCPI.</w:t>
      </w:r>
      <w:r w:rsidR="00341307">
        <w:rPr>
          <w:rFonts w:ascii="Arial" w:hAnsi="Arial" w:cs="Arial"/>
          <w:sz w:val="16"/>
          <w:szCs w:val="16"/>
          <w:lang w:val="fr-FR"/>
        </w:rPr>
        <w:t xml:space="preserve"> </w:t>
      </w:r>
      <w:r w:rsidR="00341307" w:rsidRPr="00341307">
        <w:rPr>
          <w:rFonts w:ascii="Arial" w:hAnsi="Arial" w:cs="Arial"/>
          <w:sz w:val="16"/>
          <w:szCs w:val="16"/>
          <w:lang w:val="fr-FR"/>
        </w:rPr>
        <w:t>Pour plus de détails sur le risque lié à l’endettement, consultez la note d’information et/ou les statuts de la SCPI.</w:t>
      </w:r>
    </w:p>
    <w:p w14:paraId="779E334E" w14:textId="31FACF26" w:rsidR="00FE322B" w:rsidRPr="006E491E" w:rsidRDefault="00981360" w:rsidP="004A3B30">
      <w:pPr>
        <w:pStyle w:val="Paragraphedeliste"/>
        <w:numPr>
          <w:ilvl w:val="0"/>
          <w:numId w:val="28"/>
        </w:numPr>
        <w:spacing w:before="40"/>
        <w:ind w:left="426" w:hanging="142"/>
        <w:jc w:val="both"/>
        <w:rPr>
          <w:rFonts w:ascii="Arial" w:hAnsi="Arial" w:cs="Arial"/>
          <w:sz w:val="16"/>
          <w:szCs w:val="16"/>
          <w:lang w:val="fr-FR"/>
        </w:rPr>
      </w:pPr>
      <w:r w:rsidRPr="006E491E">
        <w:rPr>
          <w:rFonts w:ascii="Arial" w:hAnsi="Arial" w:cs="Arial"/>
          <w:sz w:val="16"/>
          <w:szCs w:val="16"/>
          <w:lang w:val="fr-FR"/>
        </w:rPr>
        <w:t xml:space="preserve">Risque de liquidité : l’attention des investisseurs est attirée sur le fait que l’actif de la Société est très majoritairement investi en actifs immobiliers. </w:t>
      </w:r>
      <w:r w:rsidR="00D57B0D" w:rsidRPr="006E491E">
        <w:rPr>
          <w:rFonts w:ascii="Arial" w:hAnsi="Arial" w:cs="Arial"/>
          <w:sz w:val="16"/>
          <w:szCs w:val="16"/>
          <w:lang w:val="fr-FR"/>
        </w:rPr>
        <w:t>En cas d’impossibilité de cession des parts de SCPI, BPCE Vie peut suspendre ou restreindre les rachats ou les arbitrages en sortie de l’unité de compte représentative de parts de la SCPI.</w:t>
      </w:r>
    </w:p>
    <w:p w14:paraId="0B231F91" w14:textId="77777777" w:rsidR="00711A6D" w:rsidRPr="006E491E" w:rsidRDefault="00711A6D" w:rsidP="00FC5C52">
      <w:pPr>
        <w:pStyle w:val="Paragraphedeliste"/>
        <w:ind w:left="142"/>
        <w:jc w:val="both"/>
        <w:rPr>
          <w:rFonts w:ascii="Arial" w:hAnsi="Arial" w:cs="Arial"/>
          <w:sz w:val="16"/>
          <w:szCs w:val="16"/>
          <w:lang w:val="fr-FR"/>
        </w:rPr>
      </w:pPr>
    </w:p>
    <w:p w14:paraId="5E708D15" w14:textId="1E98AA0E" w:rsidR="00FC5C0D" w:rsidRPr="006E491E" w:rsidRDefault="00FC5C0D" w:rsidP="00C46409">
      <w:pPr>
        <w:pStyle w:val="Commentaire"/>
        <w:spacing w:after="0"/>
        <w:jc w:val="both"/>
        <w:rPr>
          <w:rFonts w:ascii="Arial" w:eastAsia="Calibri" w:hAnsi="Arial" w:cs="Arial"/>
          <w:b/>
          <w:bCs/>
          <w:sz w:val="16"/>
          <w:szCs w:val="16"/>
        </w:rPr>
      </w:pPr>
      <w:r w:rsidRPr="006E491E">
        <w:rPr>
          <w:rFonts w:ascii="Arial" w:eastAsia="Calibri" w:hAnsi="Arial" w:cs="Arial"/>
          <w:b/>
          <w:bCs/>
          <w:sz w:val="16"/>
          <w:szCs w:val="16"/>
        </w:rPr>
        <w:t xml:space="preserve">Pour plus de détails sur les risques, se reporter </w:t>
      </w:r>
      <w:r w:rsidR="00D87D09" w:rsidRPr="006E491E">
        <w:rPr>
          <w:rFonts w:ascii="Arial" w:eastAsia="Calibri" w:hAnsi="Arial" w:cs="Arial"/>
          <w:b/>
          <w:bCs/>
          <w:sz w:val="16"/>
          <w:szCs w:val="16"/>
        </w:rPr>
        <w:t xml:space="preserve">à </w:t>
      </w:r>
      <w:r w:rsidR="00805C4E" w:rsidRPr="006E491E">
        <w:rPr>
          <w:rFonts w:ascii="Arial" w:eastAsia="Calibri" w:hAnsi="Arial" w:cs="Arial"/>
          <w:b/>
          <w:bCs/>
          <w:sz w:val="16"/>
          <w:szCs w:val="16"/>
        </w:rPr>
        <w:t>la rubrique "facteurs de risque" dans la note d'information</w:t>
      </w:r>
      <w:r w:rsidR="00D57B0D" w:rsidRPr="006E491E">
        <w:rPr>
          <w:rFonts w:ascii="Arial" w:eastAsia="Calibri" w:hAnsi="Arial" w:cs="Arial"/>
          <w:b/>
          <w:bCs/>
          <w:sz w:val="16"/>
          <w:szCs w:val="16"/>
        </w:rPr>
        <w:t xml:space="preserve"> de la SCPI</w:t>
      </w:r>
      <w:r w:rsidR="004B5F69" w:rsidRPr="006E491E">
        <w:rPr>
          <w:rFonts w:ascii="Arial" w:eastAsia="Calibri" w:hAnsi="Arial" w:cs="Arial"/>
          <w:b/>
          <w:bCs/>
          <w:sz w:val="16"/>
          <w:szCs w:val="16"/>
        </w:rPr>
        <w:t>.</w:t>
      </w:r>
      <w:bookmarkEnd w:id="7"/>
      <w:bookmarkEnd w:id="8"/>
    </w:p>
    <w:p w14:paraId="61C097ED" w14:textId="77777777" w:rsidR="00C46409" w:rsidRPr="00D57B0D" w:rsidRDefault="00C46409" w:rsidP="00C46409">
      <w:pPr>
        <w:pStyle w:val="Commentaire"/>
        <w:spacing w:after="0"/>
        <w:jc w:val="both"/>
        <w:rPr>
          <w:rFonts w:ascii="Arial" w:eastAsia="Calibri" w:hAnsi="Arial" w:cs="Arial"/>
          <w:b/>
          <w:bCs/>
          <w:color w:val="505050"/>
          <w:sz w:val="16"/>
          <w:szCs w:val="16"/>
        </w:rPr>
      </w:pPr>
    </w:p>
    <w:p w14:paraId="43EC467C" w14:textId="475BB857" w:rsidR="00C06E9D" w:rsidRPr="001436E7" w:rsidRDefault="00D57B0D" w:rsidP="00FC5C52">
      <w:pPr>
        <w:pStyle w:val="Pieddepage"/>
        <w:numPr>
          <w:ilvl w:val="1"/>
          <w:numId w:val="21"/>
        </w:numPr>
        <w:ind w:left="284" w:hanging="284"/>
        <w:jc w:val="both"/>
        <w:rPr>
          <w:rFonts w:ascii="Arial" w:hAnsi="Arial" w:cs="Arial"/>
          <w:b/>
          <w:color w:val="FF0000"/>
          <w:sz w:val="18"/>
          <w:szCs w:val="18"/>
        </w:rPr>
      </w:pPr>
      <w:r w:rsidRPr="001436E7">
        <w:rPr>
          <w:rFonts w:ascii="Arial" w:hAnsi="Arial" w:cs="Arial"/>
          <w:b/>
          <w:color w:val="FF0000"/>
          <w:sz w:val="18"/>
          <w:szCs w:val="18"/>
        </w:rPr>
        <w:t>Risque de perte en capital</w:t>
      </w:r>
    </w:p>
    <w:p w14:paraId="24BBCB7B" w14:textId="77777777" w:rsidR="00C46409" w:rsidRPr="00C46409" w:rsidRDefault="00C46409" w:rsidP="00C46409">
      <w:pPr>
        <w:pStyle w:val="Pieddepage"/>
        <w:ind w:left="284"/>
        <w:jc w:val="both"/>
        <w:rPr>
          <w:rFonts w:ascii="Arial" w:hAnsi="Arial" w:cs="Arial"/>
          <w:b/>
          <w:color w:val="4472C4"/>
          <w:sz w:val="8"/>
          <w:szCs w:val="8"/>
        </w:rPr>
      </w:pPr>
    </w:p>
    <w:p w14:paraId="40D0CB60" w14:textId="77777777"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Il existe des risques à investir sur les supports financiers en unités de compte. La valeur de ces derniers est exposée à des fluctuations, à la hausse ou à la baisse, dont l’amplitude peut varier en fonction de la nature de l’unité de compte et en fonction de l’évolution des marchés immobiliers et financiers.</w:t>
      </w:r>
    </w:p>
    <w:p w14:paraId="7C565D93" w14:textId="77777777" w:rsidR="006A4A10" w:rsidRPr="006E491E" w:rsidRDefault="006A4A10" w:rsidP="00D57B0D">
      <w:pPr>
        <w:spacing w:after="0"/>
        <w:ind w:left="284"/>
        <w:jc w:val="both"/>
        <w:rPr>
          <w:rFonts w:ascii="Arial" w:hAnsi="Arial"/>
          <w:bCs/>
          <w:sz w:val="8"/>
          <w:szCs w:val="8"/>
        </w:rPr>
      </w:pPr>
    </w:p>
    <w:p w14:paraId="57F957FA" w14:textId="11977B1C"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L’assureur ne s’engage que sur le nombre et non sur la valeur de ces unités de compte, le risque de fluctuation est intégralement supporté par l’(les)adhérent(s)</w:t>
      </w:r>
      <w:r w:rsidR="002B6C18">
        <w:rPr>
          <w:rFonts w:ascii="Arial" w:hAnsi="Arial"/>
          <w:bCs/>
          <w:sz w:val="16"/>
          <w:szCs w:val="16"/>
        </w:rPr>
        <w:t xml:space="preserve"> </w:t>
      </w:r>
      <w:r w:rsidRPr="006E491E">
        <w:rPr>
          <w:rFonts w:ascii="Arial" w:hAnsi="Arial"/>
          <w:bCs/>
          <w:sz w:val="16"/>
          <w:szCs w:val="16"/>
        </w:rPr>
        <w:t>/</w:t>
      </w:r>
      <w:r w:rsidR="002B6C18">
        <w:rPr>
          <w:rFonts w:ascii="Arial" w:hAnsi="Arial"/>
          <w:bCs/>
          <w:sz w:val="16"/>
          <w:szCs w:val="16"/>
        </w:rPr>
        <w:t xml:space="preserve"> </w:t>
      </w:r>
      <w:r w:rsidRPr="006E491E">
        <w:rPr>
          <w:rFonts w:ascii="Arial" w:hAnsi="Arial"/>
          <w:bCs/>
          <w:sz w:val="16"/>
          <w:szCs w:val="16"/>
        </w:rPr>
        <w:t>souscripteur</w:t>
      </w:r>
      <w:r w:rsidR="00F8123C">
        <w:rPr>
          <w:rFonts w:ascii="Arial" w:hAnsi="Arial"/>
          <w:bCs/>
          <w:sz w:val="16"/>
          <w:szCs w:val="16"/>
        </w:rPr>
        <w:t>(s)</w:t>
      </w:r>
      <w:r w:rsidRPr="006E491E">
        <w:rPr>
          <w:rFonts w:ascii="Arial" w:hAnsi="Arial"/>
          <w:bCs/>
          <w:sz w:val="16"/>
          <w:szCs w:val="16"/>
        </w:rPr>
        <w:t>.</w:t>
      </w:r>
    </w:p>
    <w:p w14:paraId="08FC59A7" w14:textId="77777777" w:rsidR="006A4A10" w:rsidRPr="006E491E" w:rsidRDefault="006A4A10" w:rsidP="00D57B0D">
      <w:pPr>
        <w:spacing w:after="0"/>
        <w:ind w:left="284"/>
        <w:jc w:val="both"/>
        <w:rPr>
          <w:rFonts w:ascii="Arial" w:hAnsi="Arial"/>
          <w:bCs/>
          <w:sz w:val="8"/>
          <w:szCs w:val="8"/>
        </w:rPr>
      </w:pPr>
    </w:p>
    <w:p w14:paraId="412E0CCD" w14:textId="2A086FAA" w:rsidR="006A4A10" w:rsidRPr="006E491E" w:rsidRDefault="00C06E9D" w:rsidP="00D57B0D">
      <w:pPr>
        <w:spacing w:after="0"/>
        <w:ind w:left="284"/>
        <w:jc w:val="both"/>
        <w:rPr>
          <w:rFonts w:ascii="Arial" w:hAnsi="Arial"/>
          <w:bCs/>
          <w:sz w:val="16"/>
          <w:szCs w:val="16"/>
        </w:rPr>
      </w:pPr>
      <w:r w:rsidRPr="006E491E">
        <w:rPr>
          <w:rFonts w:ascii="Arial" w:hAnsi="Arial"/>
          <w:bCs/>
          <w:sz w:val="16"/>
          <w:szCs w:val="16"/>
        </w:rPr>
        <w:t>De ce fait</w:t>
      </w:r>
      <w:r w:rsidR="006A4A10" w:rsidRPr="006E491E">
        <w:rPr>
          <w:rFonts w:ascii="Arial" w:hAnsi="Arial"/>
          <w:bCs/>
          <w:sz w:val="16"/>
          <w:szCs w:val="16"/>
        </w:rPr>
        <w:t>,</w:t>
      </w:r>
      <w:r w:rsidRPr="006E491E">
        <w:rPr>
          <w:rFonts w:ascii="Arial" w:hAnsi="Arial"/>
          <w:bCs/>
          <w:sz w:val="16"/>
          <w:szCs w:val="16"/>
        </w:rPr>
        <w:t xml:space="preserve"> ni le capital ni les revenus ne sont garantis. </w:t>
      </w:r>
      <w:r w:rsidR="006A4A10" w:rsidRPr="006E491E">
        <w:rPr>
          <w:rFonts w:ascii="Arial" w:hAnsi="Arial"/>
          <w:bCs/>
          <w:sz w:val="16"/>
          <w:szCs w:val="16"/>
        </w:rPr>
        <w:t>L’(les)adhérent(s)/souscripteur</w:t>
      </w:r>
      <w:r w:rsidR="00F8123C">
        <w:rPr>
          <w:rFonts w:ascii="Arial" w:hAnsi="Arial"/>
          <w:bCs/>
          <w:sz w:val="16"/>
          <w:szCs w:val="16"/>
        </w:rPr>
        <w:t>(s)</w:t>
      </w:r>
      <w:r w:rsidR="006A4A10" w:rsidRPr="006E491E">
        <w:rPr>
          <w:rFonts w:ascii="Arial" w:hAnsi="Arial"/>
          <w:bCs/>
          <w:sz w:val="16"/>
          <w:szCs w:val="16"/>
        </w:rPr>
        <w:t xml:space="preserve"> </w:t>
      </w:r>
      <w:r w:rsidRPr="006E491E">
        <w:rPr>
          <w:rFonts w:ascii="Arial" w:hAnsi="Arial"/>
          <w:bCs/>
          <w:sz w:val="16"/>
          <w:szCs w:val="16"/>
        </w:rPr>
        <w:t>prend</w:t>
      </w:r>
      <w:r w:rsidR="006A4A10" w:rsidRPr="006E491E">
        <w:rPr>
          <w:rFonts w:ascii="Arial" w:hAnsi="Arial"/>
          <w:bCs/>
          <w:sz w:val="16"/>
          <w:szCs w:val="16"/>
        </w:rPr>
        <w:t xml:space="preserve"> (prennent) </w:t>
      </w:r>
      <w:r w:rsidRPr="006E491E">
        <w:rPr>
          <w:rFonts w:ascii="Arial" w:hAnsi="Arial"/>
          <w:bCs/>
          <w:sz w:val="16"/>
          <w:szCs w:val="16"/>
        </w:rPr>
        <w:t xml:space="preserve">un </w:t>
      </w:r>
      <w:r w:rsidRPr="006E491E">
        <w:rPr>
          <w:rFonts w:ascii="Arial" w:hAnsi="Arial"/>
          <w:b/>
          <w:sz w:val="16"/>
          <w:szCs w:val="16"/>
        </w:rPr>
        <w:t>risque de perte en capital pouvant être totale</w:t>
      </w:r>
      <w:r w:rsidR="006A4A10" w:rsidRPr="006E491E">
        <w:rPr>
          <w:rFonts w:ascii="Arial" w:hAnsi="Arial"/>
          <w:bCs/>
          <w:sz w:val="16"/>
          <w:szCs w:val="16"/>
        </w:rPr>
        <w:t> :</w:t>
      </w:r>
    </w:p>
    <w:p w14:paraId="644ABAB9" w14:textId="77777777" w:rsidR="00C46409" w:rsidRPr="006E491E" w:rsidRDefault="00C46409" w:rsidP="00D57B0D">
      <w:pPr>
        <w:spacing w:after="0"/>
        <w:ind w:left="284"/>
        <w:jc w:val="both"/>
        <w:rPr>
          <w:rFonts w:ascii="Arial" w:hAnsi="Arial"/>
          <w:bCs/>
          <w:sz w:val="8"/>
          <w:szCs w:val="8"/>
        </w:rPr>
      </w:pPr>
    </w:p>
    <w:p w14:paraId="5A58ED12" w14:textId="090B19FD" w:rsidR="00C06E9D" w:rsidRPr="002B6C18" w:rsidRDefault="002B6C18" w:rsidP="001436E7">
      <w:pPr>
        <w:pStyle w:val="Paragraphedeliste"/>
        <w:numPr>
          <w:ilvl w:val="0"/>
          <w:numId w:val="27"/>
        </w:numPr>
        <w:ind w:left="426" w:hanging="142"/>
        <w:jc w:val="both"/>
        <w:rPr>
          <w:rFonts w:ascii="Arial" w:hAnsi="Arial" w:cs="Arial"/>
          <w:b/>
          <w:bCs/>
          <w:sz w:val="16"/>
          <w:szCs w:val="16"/>
          <w:lang w:val="fr-FR"/>
        </w:rPr>
      </w:pPr>
      <w:r>
        <w:rPr>
          <w:rFonts w:ascii="Arial" w:hAnsi="Arial"/>
          <w:bCs/>
          <w:sz w:val="16"/>
          <w:szCs w:val="16"/>
          <w:lang w:val="fr-FR"/>
        </w:rPr>
        <w:t>e</w:t>
      </w:r>
      <w:r w:rsidR="00C06E9D" w:rsidRPr="006E491E">
        <w:rPr>
          <w:rFonts w:ascii="Arial" w:hAnsi="Arial"/>
          <w:bCs/>
          <w:sz w:val="16"/>
          <w:szCs w:val="16"/>
          <w:lang w:val="fr-FR"/>
        </w:rPr>
        <w:t>n cas de rachat, d’arbitrage, d’arrivée au terme pour les contrats de capitalisation ou en cas de décès</w:t>
      </w:r>
      <w:r w:rsidR="0090519B" w:rsidRPr="006E491E">
        <w:rPr>
          <w:rFonts w:ascii="Arial" w:hAnsi="Arial"/>
          <w:bCs/>
          <w:sz w:val="16"/>
          <w:szCs w:val="16"/>
          <w:lang w:val="fr-FR"/>
        </w:rPr>
        <w:t xml:space="preserve"> de l’assuré </w:t>
      </w:r>
      <w:r w:rsidR="008210CC" w:rsidRPr="006E491E">
        <w:rPr>
          <w:rFonts w:ascii="Arial" w:hAnsi="Arial"/>
          <w:bCs/>
          <w:sz w:val="16"/>
          <w:szCs w:val="16"/>
          <w:lang w:val="fr-FR"/>
        </w:rPr>
        <w:t xml:space="preserve">du contrat d’assurance vie </w:t>
      </w:r>
      <w:r w:rsidR="00C06E9D" w:rsidRPr="006E491E">
        <w:rPr>
          <w:rFonts w:ascii="Arial" w:hAnsi="Arial"/>
          <w:bCs/>
          <w:sz w:val="16"/>
          <w:szCs w:val="16"/>
          <w:lang w:val="fr-FR"/>
        </w:rPr>
        <w:t>lorsque la garantie plancher ne peut pas s’appliquer.</w:t>
      </w:r>
    </w:p>
    <w:p w14:paraId="09F0AAD2" w14:textId="77777777" w:rsidR="002B6C18" w:rsidRPr="002B6C18" w:rsidRDefault="002B6C18" w:rsidP="001436E7">
      <w:pPr>
        <w:pStyle w:val="Paragraphedeliste"/>
        <w:ind w:left="426" w:hanging="142"/>
        <w:jc w:val="both"/>
        <w:rPr>
          <w:rFonts w:ascii="Arial" w:hAnsi="Arial" w:cs="Arial"/>
          <w:b/>
          <w:bCs/>
          <w:sz w:val="4"/>
          <w:szCs w:val="4"/>
          <w:lang w:val="fr-FR"/>
        </w:rPr>
      </w:pPr>
    </w:p>
    <w:p w14:paraId="316A42C8" w14:textId="287592DD" w:rsidR="00390951" w:rsidRPr="00E77C59" w:rsidRDefault="002B6C18" w:rsidP="001436E7">
      <w:pPr>
        <w:pStyle w:val="Commentaire"/>
        <w:numPr>
          <w:ilvl w:val="0"/>
          <w:numId w:val="27"/>
        </w:numPr>
        <w:spacing w:after="0"/>
        <w:ind w:left="426" w:hanging="142"/>
        <w:jc w:val="both"/>
        <w:rPr>
          <w:b/>
          <w:bCs/>
          <w:sz w:val="16"/>
          <w:szCs w:val="16"/>
        </w:rPr>
      </w:pPr>
      <w:r>
        <w:rPr>
          <w:rFonts w:ascii="Arial" w:hAnsi="Arial"/>
          <w:bCs/>
          <w:sz w:val="16"/>
          <w:szCs w:val="16"/>
        </w:rPr>
        <w:t>o</w:t>
      </w:r>
      <w:r w:rsidR="008210CC" w:rsidRPr="006E491E">
        <w:rPr>
          <w:rFonts w:ascii="Arial" w:hAnsi="Arial"/>
          <w:bCs/>
          <w:sz w:val="16"/>
          <w:szCs w:val="16"/>
        </w:rPr>
        <w:t>u lorsque les conditions d’activation de la garantie plancher n’étaient pas réunies ou bien si son application n’a pas permis de couvrir toutes les pertes réalisées sur l’ensemble des supports investis sur le contrat.</w:t>
      </w:r>
    </w:p>
    <w:p w14:paraId="418FE8F3" w14:textId="48E882C0" w:rsidR="00E77C59" w:rsidRDefault="00E77C59" w:rsidP="00E77C59">
      <w:pPr>
        <w:pStyle w:val="Commentaire"/>
        <w:spacing w:after="0"/>
        <w:ind w:left="426"/>
        <w:jc w:val="both"/>
        <w:rPr>
          <w:rFonts w:ascii="Arial" w:hAnsi="Arial"/>
          <w:bCs/>
          <w:sz w:val="16"/>
          <w:szCs w:val="16"/>
        </w:rPr>
      </w:pPr>
    </w:p>
    <w:p w14:paraId="5EC4A674" w14:textId="17BC50DD" w:rsidR="00A531C5" w:rsidRPr="004A3B30" w:rsidRDefault="00A531C5" w:rsidP="00A531C5">
      <w:pPr>
        <w:pStyle w:val="Pieddepage"/>
        <w:numPr>
          <w:ilvl w:val="1"/>
          <w:numId w:val="21"/>
        </w:numPr>
        <w:ind w:left="284" w:hanging="284"/>
        <w:jc w:val="both"/>
        <w:rPr>
          <w:rFonts w:ascii="Arial" w:hAnsi="Arial" w:cs="Arial"/>
          <w:b/>
          <w:color w:val="FF0000"/>
          <w:sz w:val="18"/>
          <w:szCs w:val="18"/>
        </w:rPr>
      </w:pPr>
      <w:r w:rsidRPr="004A3B30">
        <w:rPr>
          <w:rFonts w:ascii="Arial" w:hAnsi="Arial" w:cs="Arial"/>
          <w:b/>
          <w:color w:val="FF0000"/>
          <w:sz w:val="18"/>
          <w:szCs w:val="18"/>
        </w:rPr>
        <w:t>Conflit</w:t>
      </w:r>
      <w:r w:rsidR="002C7311" w:rsidRPr="004A3B30">
        <w:rPr>
          <w:rFonts w:ascii="Arial" w:hAnsi="Arial" w:cs="Arial"/>
          <w:b/>
          <w:color w:val="FF0000"/>
          <w:sz w:val="18"/>
          <w:szCs w:val="18"/>
        </w:rPr>
        <w:t>s d’intérêts potentiels</w:t>
      </w:r>
    </w:p>
    <w:p w14:paraId="5D3B4907" w14:textId="77777777" w:rsidR="006A5AC6" w:rsidRPr="004A3B30" w:rsidRDefault="002C7311" w:rsidP="002D7206">
      <w:pPr>
        <w:pStyle w:val="Commentaire"/>
        <w:spacing w:before="120" w:after="0"/>
        <w:ind w:left="284"/>
        <w:jc w:val="both"/>
        <w:rPr>
          <w:rFonts w:ascii="Arial" w:hAnsi="Arial"/>
          <w:bCs/>
          <w:sz w:val="16"/>
          <w:szCs w:val="16"/>
        </w:rPr>
      </w:pPr>
      <w:r w:rsidRPr="004A3B30">
        <w:rPr>
          <w:rFonts w:ascii="Arial" w:hAnsi="Arial"/>
          <w:bCs/>
          <w:sz w:val="16"/>
          <w:szCs w:val="16"/>
        </w:rPr>
        <w:t>L'attention du souscripteur est attirée sur les liens capitalistiques et financiers existants entre les entités composant le Groupe BPCE et la Société de Gestion Midi 2i, qui pourraient faire émerger de potentiels conflits d’intérêts, qui sont en partie réduits par la gestion indépendante de ces entités.</w:t>
      </w:r>
    </w:p>
    <w:p w14:paraId="22AE46A2" w14:textId="1EEBF5A4" w:rsidR="002C7311" w:rsidRPr="004A3B30" w:rsidRDefault="002C7311" w:rsidP="006A5AC6">
      <w:pPr>
        <w:pStyle w:val="Commentaire"/>
        <w:spacing w:after="0"/>
        <w:ind w:left="284"/>
        <w:jc w:val="both"/>
        <w:rPr>
          <w:rFonts w:ascii="Arial" w:hAnsi="Arial"/>
          <w:bCs/>
          <w:sz w:val="16"/>
          <w:szCs w:val="16"/>
        </w:rPr>
      </w:pPr>
      <w:r w:rsidRPr="004A3B30">
        <w:rPr>
          <w:rFonts w:ascii="Arial" w:hAnsi="Arial"/>
          <w:b/>
          <w:sz w:val="16"/>
          <w:szCs w:val="16"/>
        </w:rPr>
        <w:t>MIDI 2i</w:t>
      </w:r>
      <w:r w:rsidRPr="004A3B30">
        <w:rPr>
          <w:rFonts w:ascii="Arial" w:hAnsi="Arial"/>
          <w:bCs/>
          <w:sz w:val="16"/>
          <w:szCs w:val="16"/>
        </w:rPr>
        <w:t>, Filiale immobilière de la Caisse d’Epargne et de Prévoyance de Midi-Pyrénées, société d'ingénierie financière et de gestion immobilière gère la SCPI AEDIFICIS.</w:t>
      </w:r>
    </w:p>
    <w:p w14:paraId="1AECDCBD" w14:textId="332953C1" w:rsidR="00E77C59" w:rsidRPr="006E491E" w:rsidRDefault="002C7311" w:rsidP="00FA29CE">
      <w:pPr>
        <w:pStyle w:val="Commentaire"/>
        <w:spacing w:after="0"/>
        <w:ind w:left="284"/>
        <w:jc w:val="both"/>
        <w:rPr>
          <w:b/>
          <w:bCs/>
          <w:sz w:val="16"/>
          <w:szCs w:val="16"/>
        </w:rPr>
      </w:pPr>
      <w:r w:rsidRPr="004A3B30">
        <w:rPr>
          <w:rFonts w:ascii="Arial" w:hAnsi="Arial"/>
          <w:b/>
          <w:sz w:val="16"/>
          <w:szCs w:val="16"/>
        </w:rPr>
        <w:t>BPCE Vie</w:t>
      </w:r>
      <w:r w:rsidRPr="004A3B30">
        <w:rPr>
          <w:rFonts w:ascii="Arial" w:hAnsi="Arial"/>
          <w:bCs/>
          <w:sz w:val="16"/>
          <w:szCs w:val="16"/>
        </w:rPr>
        <w:t xml:space="preserve">, entreprise d’assurance agréée, est une filiale du groupe </w:t>
      </w:r>
      <w:r w:rsidRPr="004A3B30">
        <w:rPr>
          <w:rFonts w:ascii="Arial" w:hAnsi="Arial"/>
          <w:b/>
          <w:sz w:val="16"/>
          <w:szCs w:val="16"/>
        </w:rPr>
        <w:t>BPCE</w:t>
      </w:r>
      <w:r w:rsidRPr="004A3B30">
        <w:rPr>
          <w:rFonts w:ascii="Arial" w:hAnsi="Arial"/>
          <w:bCs/>
          <w:sz w:val="16"/>
          <w:szCs w:val="16"/>
        </w:rPr>
        <w:t xml:space="preserve">. BPCE Vie propose à ses clients des contrats d’assurance-vie et de capitalisation en unités de compte dont la distribution est notamment assurée par le </w:t>
      </w:r>
      <w:r w:rsidRPr="004A3B30">
        <w:rPr>
          <w:rFonts w:ascii="Arial" w:hAnsi="Arial"/>
          <w:b/>
          <w:sz w:val="16"/>
          <w:szCs w:val="16"/>
        </w:rPr>
        <w:t>réseau bancaire des Caisses Epargne</w:t>
      </w:r>
      <w:r w:rsidRPr="004A3B30">
        <w:rPr>
          <w:rFonts w:ascii="Arial" w:hAnsi="Arial"/>
          <w:bCs/>
          <w:sz w:val="16"/>
          <w:szCs w:val="16"/>
        </w:rPr>
        <w:t>, actionnaire</w:t>
      </w:r>
      <w:r w:rsidR="008A6B2C" w:rsidRPr="004A3B30">
        <w:rPr>
          <w:rFonts w:ascii="Arial" w:hAnsi="Arial"/>
          <w:bCs/>
          <w:sz w:val="16"/>
          <w:szCs w:val="16"/>
        </w:rPr>
        <w:t>s</w:t>
      </w:r>
      <w:r w:rsidRPr="004A3B30">
        <w:rPr>
          <w:rFonts w:ascii="Arial" w:hAnsi="Arial"/>
          <w:bCs/>
          <w:sz w:val="16"/>
          <w:szCs w:val="16"/>
        </w:rPr>
        <w:t xml:space="preserve"> de </w:t>
      </w:r>
      <w:r w:rsidRPr="004A3B30">
        <w:rPr>
          <w:rFonts w:ascii="Arial" w:hAnsi="Arial"/>
          <w:b/>
          <w:sz w:val="16"/>
          <w:szCs w:val="16"/>
        </w:rPr>
        <w:t>BPCE</w:t>
      </w:r>
      <w:r w:rsidRPr="004A3B30">
        <w:rPr>
          <w:rFonts w:ascii="Arial" w:hAnsi="Arial"/>
          <w:bCs/>
          <w:sz w:val="16"/>
          <w:szCs w:val="16"/>
        </w:rPr>
        <w:t>.</w:t>
      </w:r>
    </w:p>
    <w:sectPr w:rsidR="00E77C59" w:rsidRPr="006E491E" w:rsidSect="00DF42EA">
      <w:footerReference w:type="default" r:id="rId15"/>
      <w:pgSz w:w="11906" w:h="16838"/>
      <w:pgMar w:top="426" w:right="991" w:bottom="1440" w:left="709" w:header="708" w:footer="5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C655A9" w14:textId="77777777" w:rsidR="00C825A5" w:rsidRDefault="00C825A5" w:rsidP="00917A63">
      <w:pPr>
        <w:spacing w:after="0" w:line="240" w:lineRule="auto"/>
      </w:pPr>
      <w:r>
        <w:separator/>
      </w:r>
    </w:p>
  </w:endnote>
  <w:endnote w:type="continuationSeparator" w:id="0">
    <w:p w14:paraId="0B475A8D" w14:textId="77777777" w:rsidR="00C825A5" w:rsidRDefault="00C825A5" w:rsidP="00917A63">
      <w:pPr>
        <w:spacing w:after="0" w:line="240" w:lineRule="auto"/>
      </w:pPr>
      <w:r>
        <w:continuationSeparator/>
      </w:r>
    </w:p>
  </w:endnote>
  <w:endnote w:type="continuationNotice" w:id="1">
    <w:p w14:paraId="2D3E51B9" w14:textId="77777777" w:rsidR="00C825A5" w:rsidRDefault="00C825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Univers 67 Condensed">
    <w:altName w:val="Calibri"/>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Univers LT Std">
    <w:altName w:val="Calibri"/>
    <w:panose1 w:val="00000000000000000000"/>
    <w:charset w:val="00"/>
    <w:family w:val="swiss"/>
    <w:notTrueType/>
    <w:pitch w:val="default"/>
    <w:sig w:usb0="00000003" w:usb1="00000000" w:usb2="00000000" w:usb3="00000000" w:csb0="00000001" w:csb1="00000000"/>
  </w:font>
  <w:font w:name="Univers LT Std 47 Cn L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rPr>
      <w:id w:val="445283160"/>
      <w:docPartObj>
        <w:docPartGallery w:val="Page Numbers (Bottom of Page)"/>
        <w:docPartUnique/>
      </w:docPartObj>
    </w:sdtPr>
    <w:sdtEndPr/>
    <w:sdtContent>
      <w:sdt>
        <w:sdtPr>
          <w:rPr>
            <w:sz w:val="16"/>
          </w:rPr>
          <w:id w:val="-1769616900"/>
          <w:docPartObj>
            <w:docPartGallery w:val="Page Numbers (Top of Page)"/>
            <w:docPartUnique/>
          </w:docPartObj>
        </w:sdtPr>
        <w:sdtEndPr/>
        <w:sdtContent>
          <w:sdt>
            <w:sdtPr>
              <w:rPr>
                <w:sz w:val="16"/>
                <w:highlight w:val="yellow"/>
              </w:rPr>
              <w:id w:val="1299569918"/>
              <w:docPartObj>
                <w:docPartGallery w:val="Page Numbers (Top of Page)"/>
                <w:docPartUnique/>
              </w:docPartObj>
            </w:sdtPr>
            <w:sdtEndPr>
              <w:rPr>
                <w:highlight w:val="none"/>
              </w:rPr>
            </w:sdtEndPr>
            <w:sdtContent>
              <w:p w14:paraId="5C427B51" w14:textId="77777777" w:rsidR="00DF42EA" w:rsidRPr="00E44A31" w:rsidRDefault="00DF42EA" w:rsidP="00DF42EA">
                <w:pPr>
                  <w:pStyle w:val="Pieddepage"/>
                  <w:rPr>
                    <w:sz w:val="16"/>
                    <w:highlight w:val="yellow"/>
                  </w:rPr>
                </w:pPr>
                <w:r w:rsidRPr="00E44A31">
                  <w:rPr>
                    <w:rFonts w:asciiTheme="minorHAnsi" w:hAnsiTheme="minorHAnsi" w:cstheme="minorHAnsi"/>
                    <w:sz w:val="12"/>
                    <w:szCs w:val="18"/>
                    <w:highlight w:val="yellow"/>
                  </w:rPr>
                  <w:t>BPCE Vie</w:t>
                </w:r>
              </w:p>
              <w:p w14:paraId="7D81C763" w14:textId="77777777" w:rsidR="00DF42EA" w:rsidRPr="00E44A31" w:rsidRDefault="00DF42EA" w:rsidP="00DF42EA">
                <w:pPr>
                  <w:pStyle w:val="Pieddepage"/>
                  <w:rPr>
                    <w:rFonts w:asciiTheme="minorHAnsi" w:hAnsiTheme="minorHAnsi" w:cstheme="minorHAnsi"/>
                    <w:sz w:val="12"/>
                    <w:szCs w:val="18"/>
                    <w:highlight w:val="yellow"/>
                  </w:rPr>
                </w:pPr>
                <w:r w:rsidRPr="00E44A31">
                  <w:rPr>
                    <w:rFonts w:asciiTheme="minorHAnsi" w:hAnsiTheme="minorHAnsi" w:cstheme="minorHAnsi"/>
                    <w:sz w:val="12"/>
                    <w:szCs w:val="18"/>
                    <w:highlight w:val="yellow"/>
                  </w:rPr>
                  <w:t xml:space="preserve">Société anonyme au capital de 161 469 776 euros </w:t>
                </w:r>
              </w:p>
              <w:p w14:paraId="76CB0F8E" w14:textId="77777777" w:rsidR="00DF42EA" w:rsidRPr="00E44A31" w:rsidRDefault="00DF42EA" w:rsidP="00DF42EA">
                <w:pPr>
                  <w:pStyle w:val="Pieddepage"/>
                  <w:rPr>
                    <w:rFonts w:asciiTheme="minorHAnsi" w:hAnsiTheme="minorHAnsi" w:cstheme="minorHAnsi"/>
                    <w:sz w:val="12"/>
                    <w:szCs w:val="18"/>
                    <w:highlight w:val="yellow"/>
                  </w:rPr>
                </w:pPr>
                <w:r w:rsidRPr="00E44A31">
                  <w:rPr>
                    <w:rFonts w:asciiTheme="minorHAnsi" w:hAnsiTheme="minorHAnsi" w:cstheme="minorHAnsi"/>
                    <w:sz w:val="12"/>
                    <w:szCs w:val="18"/>
                    <w:highlight w:val="yellow"/>
                  </w:rPr>
                  <w:t>Entreprise régie par le code des assurances – 349 004 341 RCS Paris</w:t>
                </w:r>
              </w:p>
              <w:p w14:paraId="366720B7" w14:textId="177D96F3" w:rsidR="001624FA" w:rsidRPr="00DF42EA" w:rsidRDefault="00DF42EA" w:rsidP="00DF42EA">
                <w:pPr>
                  <w:pStyle w:val="Pieddepage"/>
                  <w:rPr>
                    <w:rFonts w:asciiTheme="minorHAnsi" w:hAnsiTheme="minorHAnsi" w:cstheme="minorHAnsi"/>
                    <w:sz w:val="12"/>
                    <w:szCs w:val="18"/>
                  </w:rPr>
                </w:pPr>
                <w:r w:rsidRPr="00E44A31">
                  <w:rPr>
                    <w:rFonts w:asciiTheme="minorHAnsi" w:hAnsiTheme="minorHAnsi" w:cstheme="minorHAnsi"/>
                    <w:sz w:val="12"/>
                    <w:szCs w:val="18"/>
                    <w:highlight w:val="yellow"/>
                  </w:rPr>
                  <w:t>Siège social : 7, promenade Germaine Sablon – 75013 Paris</w:t>
                </w:r>
              </w:p>
            </w:sdtContent>
          </w:sdt>
        </w:sdtContent>
      </w:sdt>
    </w:sdtContent>
  </w:sdt>
  <w:p w14:paraId="2D5EF010" w14:textId="77777777" w:rsidR="001624FA" w:rsidRDefault="00FE65A3">
    <w:pPr>
      <w:pStyle w:val="Pieddepage"/>
    </w:pPr>
    <w:r>
      <w:rPr>
        <w:noProof/>
      </w:rPr>
      <mc:AlternateContent>
        <mc:Choice Requires="wps">
          <w:drawing>
            <wp:anchor distT="0" distB="0" distL="114300" distR="114300" simplePos="0" relativeHeight="251658240" behindDoc="0" locked="0" layoutInCell="0" allowOverlap="1" wp14:anchorId="374E8590" wp14:editId="5A66B3C3">
              <wp:simplePos x="0" y="0"/>
              <wp:positionH relativeFrom="page">
                <wp:posOffset>0</wp:posOffset>
              </wp:positionH>
              <wp:positionV relativeFrom="page">
                <wp:posOffset>10228580</wp:posOffset>
              </wp:positionV>
              <wp:extent cx="7560310" cy="273050"/>
              <wp:effectExtent l="0" t="0" r="0" b="12700"/>
              <wp:wrapNone/>
              <wp:docPr id="9" name="MSIPCMe36146d4a524ec4defdc3938"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F268CA4" w14:textId="77777777" w:rsidR="00FE65A3" w:rsidRPr="00BF0823" w:rsidRDefault="00BF0823" w:rsidP="00BF0823">
                          <w:pPr>
                            <w:spacing w:after="0"/>
                            <w:rPr>
                              <w:rFonts w:ascii="Calibri" w:hAnsi="Calibri" w:cs="Calibri"/>
                              <w:color w:val="FFFFFF"/>
                              <w:sz w:val="2"/>
                            </w:rPr>
                          </w:pPr>
                          <w:r w:rsidRPr="00BF0823">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74E8590" id="_x0000_t202" coordsize="21600,21600" o:spt="202" path="m,l,21600r21600,l21600,xe">
              <v:stroke joinstyle="miter"/>
              <v:path gradientshapeok="t" o:connecttype="rect"/>
            </v:shapetype>
            <v:shape id="MSIPCMe36146d4a524ec4defdc3938" o:spid="_x0000_s1029" type="#_x0000_t202" alt="{&quot;HashCode&quot;:-929196920,&quot;Height&quot;:841.0,&quot;Width&quot;:595.0,&quot;Placement&quot;:&quot;Footer&quot;,&quot;Index&quot;:&quot;Primary&quot;,&quot;Section&quot;:1,&quot;Top&quot;:0.0,&quot;Left&quot;:0.0}" style="position:absolute;margin-left:0;margin-top:805.4pt;width:595.3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" o:allowincell="f" filled="f" stroked="f" strokeweight=".5pt">
              <v:textbox inset="20pt,0,,0">
                <w:txbxContent>
                  <w:p w14:paraId="1F268CA4" w14:textId="77777777" w:rsidR="00FE65A3" w:rsidRPr="00BF0823" w:rsidRDefault="00BF0823" w:rsidP="00BF0823">
                    <w:pPr>
                      <w:spacing w:after="0"/>
                      <w:rPr>
                        <w:rFonts w:ascii="Calibri" w:hAnsi="Calibri" w:cs="Calibri"/>
                        <w:color w:val="FFFFFF"/>
                        <w:sz w:val="2"/>
                      </w:rPr>
                    </w:pPr>
                    <w:r w:rsidRPr="00BF0823">
                      <w:rPr>
                        <w:rFonts w:ascii="Calibri" w:hAnsi="Calibri" w:cs="Calibri"/>
                        <w:color w:val="FFFFFF"/>
                        <w:sz w:val="2"/>
                      </w:rPr>
                      <w:t>C2 - Internal Natixis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914CCA" w14:textId="77777777" w:rsidR="00C825A5" w:rsidRDefault="00C825A5" w:rsidP="00917A63">
      <w:pPr>
        <w:spacing w:after="0" w:line="240" w:lineRule="auto"/>
      </w:pPr>
      <w:r>
        <w:separator/>
      </w:r>
    </w:p>
  </w:footnote>
  <w:footnote w:type="continuationSeparator" w:id="0">
    <w:p w14:paraId="76F44F92" w14:textId="77777777" w:rsidR="00C825A5" w:rsidRDefault="00C825A5" w:rsidP="00917A63">
      <w:pPr>
        <w:spacing w:after="0" w:line="240" w:lineRule="auto"/>
      </w:pPr>
      <w:r>
        <w:continuationSeparator/>
      </w:r>
    </w:p>
  </w:footnote>
  <w:footnote w:type="continuationNotice" w:id="1">
    <w:p w14:paraId="58AEC74F" w14:textId="77777777" w:rsidR="00C825A5" w:rsidRDefault="00C825A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B6494"/>
    <w:multiLevelType w:val="hybridMultilevel"/>
    <w:tmpl w:val="D8D85F46"/>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73642A"/>
    <w:multiLevelType w:val="hybridMultilevel"/>
    <w:tmpl w:val="3F6A292E"/>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3B650A"/>
    <w:multiLevelType w:val="hybridMultilevel"/>
    <w:tmpl w:val="8EB0682A"/>
    <w:lvl w:ilvl="0" w:tplc="794E3144">
      <w:numFmt w:val="bullet"/>
      <w:lvlText w:val=""/>
      <w:lvlJc w:val="left"/>
      <w:pPr>
        <w:ind w:left="720" w:hanging="360"/>
      </w:pPr>
      <w:rPr>
        <w:rFonts w:ascii="Wingdings" w:eastAsiaTheme="minorHAnsi" w:hAnsi="Wingdings"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C72F19"/>
    <w:multiLevelType w:val="hybridMultilevel"/>
    <w:tmpl w:val="45F64030"/>
    <w:lvl w:ilvl="0" w:tplc="0BD2D29E">
      <w:start w:val="1"/>
      <w:numFmt w:val="bullet"/>
      <w:lvlText w:val="à"/>
      <w:lvlJc w:val="left"/>
      <w:pPr>
        <w:ind w:left="720" w:hanging="360"/>
      </w:pPr>
      <w:rPr>
        <w:rFonts w:ascii="Wingdings" w:hAnsi="Wingdings" w:hint="default"/>
        <w:color w:val="FF0000"/>
      </w:rPr>
    </w:lvl>
    <w:lvl w:ilvl="1" w:tplc="B63A43D4">
      <w:start w:val="1"/>
      <w:numFmt w:val="bullet"/>
      <w:lvlText w:val="à"/>
      <w:lvlJc w:val="left"/>
      <w:pPr>
        <w:ind w:left="1440" w:hanging="360"/>
      </w:pPr>
      <w:rPr>
        <w:rFonts w:ascii="Wingdings" w:hAnsi="Wingdings" w:hint="default"/>
        <w:color w:val="4472C4"/>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17403F"/>
    <w:multiLevelType w:val="hybridMultilevel"/>
    <w:tmpl w:val="8F94ABDA"/>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4B2ECF"/>
    <w:multiLevelType w:val="hybridMultilevel"/>
    <w:tmpl w:val="AEA806E8"/>
    <w:lvl w:ilvl="0" w:tplc="E5A21BE6">
      <w:start w:val="2"/>
      <w:numFmt w:val="bullet"/>
      <w:lvlText w:val="-"/>
      <w:lvlJc w:val="left"/>
      <w:pPr>
        <w:ind w:left="720" w:hanging="360"/>
      </w:pPr>
      <w:rPr>
        <w:rFonts w:ascii="Arial" w:eastAsia="Times New Roman" w:hAnsi="Aria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804A86"/>
    <w:multiLevelType w:val="hybridMultilevel"/>
    <w:tmpl w:val="3C22717C"/>
    <w:lvl w:ilvl="0" w:tplc="0BD2D29E">
      <w:start w:val="1"/>
      <w:numFmt w:val="bullet"/>
      <w:lvlText w:val="à"/>
      <w:lvlJc w:val="left"/>
      <w:pPr>
        <w:ind w:left="720" w:hanging="360"/>
      </w:pPr>
      <w:rPr>
        <w:rFonts w:ascii="Wingdings" w:hAnsi="Wingdings" w:hint="default"/>
        <w:color w:val="FF0000"/>
      </w:rPr>
    </w:lvl>
    <w:lvl w:ilvl="1" w:tplc="B63A43D4">
      <w:start w:val="1"/>
      <w:numFmt w:val="bullet"/>
      <w:lvlText w:val="à"/>
      <w:lvlJc w:val="left"/>
      <w:pPr>
        <w:ind w:left="1440" w:hanging="360"/>
      </w:pPr>
      <w:rPr>
        <w:rFonts w:ascii="Wingdings" w:hAnsi="Wingdings" w:hint="default"/>
        <w:color w:val="4472C4"/>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C593184"/>
    <w:multiLevelType w:val="hybridMultilevel"/>
    <w:tmpl w:val="81E0F6A4"/>
    <w:lvl w:ilvl="0" w:tplc="B63A43D4">
      <w:start w:val="1"/>
      <w:numFmt w:val="bullet"/>
      <w:lvlText w:val="à"/>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27E7C7F"/>
    <w:multiLevelType w:val="hybridMultilevel"/>
    <w:tmpl w:val="6A943CB0"/>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743274"/>
    <w:multiLevelType w:val="hybridMultilevel"/>
    <w:tmpl w:val="B6AC952C"/>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CEE5731"/>
    <w:multiLevelType w:val="hybridMultilevel"/>
    <w:tmpl w:val="9892B152"/>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4F30440"/>
    <w:multiLevelType w:val="hybridMultilevel"/>
    <w:tmpl w:val="39A61802"/>
    <w:lvl w:ilvl="0" w:tplc="C6A083EA">
      <w:numFmt w:val="bullet"/>
      <w:lvlText w:val=""/>
      <w:lvlJc w:val="left"/>
      <w:pPr>
        <w:ind w:left="720" w:hanging="360"/>
      </w:pPr>
      <w:rPr>
        <w:rFonts w:ascii="Wingdings" w:eastAsia="Calibri" w:hAnsi="Wingdings"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AF74CF0"/>
    <w:multiLevelType w:val="hybridMultilevel"/>
    <w:tmpl w:val="D6B45208"/>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4960EA"/>
    <w:multiLevelType w:val="hybridMultilevel"/>
    <w:tmpl w:val="7F6E3FAC"/>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2C65D06"/>
    <w:multiLevelType w:val="hybridMultilevel"/>
    <w:tmpl w:val="0608DE48"/>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8355832"/>
    <w:multiLevelType w:val="hybridMultilevel"/>
    <w:tmpl w:val="B45CAF0C"/>
    <w:lvl w:ilvl="0" w:tplc="C7CC8A22">
      <w:start w:val="1"/>
      <w:numFmt w:val="decimal"/>
      <w:lvlText w:val="(%1)"/>
      <w:lvlJc w:val="left"/>
      <w:pPr>
        <w:ind w:left="644" w:hanging="360"/>
      </w:pPr>
      <w:rPr>
        <w:rFonts w:cs="Arial" w:hint="default"/>
        <w:b w:val="0"/>
        <w:i/>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6" w15:restartNumberingAfterBreak="0">
    <w:nsid w:val="4B041181"/>
    <w:multiLevelType w:val="hybridMultilevel"/>
    <w:tmpl w:val="2E9699D2"/>
    <w:lvl w:ilvl="0" w:tplc="EE668422">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C3854A4"/>
    <w:multiLevelType w:val="hybridMultilevel"/>
    <w:tmpl w:val="CDACDD72"/>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0EE0779"/>
    <w:multiLevelType w:val="hybridMultilevel"/>
    <w:tmpl w:val="0ECE3C44"/>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6A42810"/>
    <w:multiLevelType w:val="hybridMultilevel"/>
    <w:tmpl w:val="47783702"/>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909737E"/>
    <w:multiLevelType w:val="hybridMultilevel"/>
    <w:tmpl w:val="DD187F04"/>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EA41044"/>
    <w:multiLevelType w:val="hybridMultilevel"/>
    <w:tmpl w:val="57827C14"/>
    <w:lvl w:ilvl="0" w:tplc="E5A21BE6">
      <w:start w:val="2"/>
      <w:numFmt w:val="bullet"/>
      <w:lvlText w:val="-"/>
      <w:lvlJc w:val="left"/>
      <w:pPr>
        <w:ind w:left="720" w:hanging="360"/>
      </w:pPr>
      <w:rPr>
        <w:rFonts w:ascii="Arial" w:eastAsia="Times New Roman" w:hAnsi="Arial" w:cs="Arial" w:hint="default"/>
        <w:color w:val="auto"/>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50F4A4E"/>
    <w:multiLevelType w:val="hybridMultilevel"/>
    <w:tmpl w:val="C4AEECC2"/>
    <w:lvl w:ilvl="0" w:tplc="18385D82">
      <w:start w:val="1"/>
      <w:numFmt w:val="bullet"/>
      <w:lvlText w:val=""/>
      <w:lvlJc w:val="left"/>
      <w:pPr>
        <w:ind w:left="720"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780577E"/>
    <w:multiLevelType w:val="hybridMultilevel"/>
    <w:tmpl w:val="8E443C92"/>
    <w:lvl w:ilvl="0" w:tplc="DE5268A0">
      <w:start w:val="1"/>
      <w:numFmt w:val="bullet"/>
      <w:lvlText w:val=""/>
      <w:lvlJc w:val="left"/>
      <w:pPr>
        <w:ind w:left="720" w:hanging="360"/>
      </w:pPr>
      <w:rPr>
        <w:rFonts w:ascii="Wingdings" w:hAnsi="Wingdings" w:hint="default"/>
        <w:color w:val="FF0000"/>
      </w:rPr>
    </w:lvl>
    <w:lvl w:ilvl="1" w:tplc="DC1477AC">
      <w:numFmt w:val="bullet"/>
      <w:lvlText w:val=""/>
      <w:lvlJc w:val="left"/>
      <w:pPr>
        <w:ind w:left="1440" w:hanging="360"/>
      </w:pPr>
      <w:rPr>
        <w:rFonts w:ascii="Wingdings" w:eastAsia="Times New Roman" w:hAnsi="Wingdings"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8037ED9"/>
    <w:multiLevelType w:val="hybridMultilevel"/>
    <w:tmpl w:val="5CB4FBC6"/>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B0C67EC"/>
    <w:multiLevelType w:val="hybridMultilevel"/>
    <w:tmpl w:val="EBC8201E"/>
    <w:lvl w:ilvl="0" w:tplc="144643FE">
      <w:numFmt w:val="bullet"/>
      <w:lvlText w:val=""/>
      <w:lvlJc w:val="left"/>
      <w:pPr>
        <w:ind w:left="720" w:hanging="360"/>
      </w:pPr>
      <w:rPr>
        <w:rFonts w:ascii="Wingdings" w:eastAsiaTheme="minorHAnsi" w:hAnsi="Wingdings"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D634EE1"/>
    <w:multiLevelType w:val="hybridMultilevel"/>
    <w:tmpl w:val="FE802778"/>
    <w:lvl w:ilvl="0" w:tplc="0BD2D29E">
      <w:start w:val="1"/>
      <w:numFmt w:val="bullet"/>
      <w:lvlText w:val="à"/>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D786225"/>
    <w:multiLevelType w:val="hybridMultilevel"/>
    <w:tmpl w:val="6F6AAC88"/>
    <w:lvl w:ilvl="0" w:tplc="B63A43D4">
      <w:start w:val="1"/>
      <w:numFmt w:val="bullet"/>
      <w:lvlText w:val="à"/>
      <w:lvlJc w:val="left"/>
      <w:pPr>
        <w:ind w:left="1512" w:hanging="360"/>
      </w:pPr>
      <w:rPr>
        <w:rFonts w:ascii="Wingdings" w:hAnsi="Wingdings" w:hint="default"/>
        <w:color w:val="4472C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F1C4859"/>
    <w:multiLevelType w:val="hybridMultilevel"/>
    <w:tmpl w:val="7B6072C6"/>
    <w:lvl w:ilvl="0" w:tplc="18385D82">
      <w:start w:val="1"/>
      <w:numFmt w:val="bullet"/>
      <w:lvlText w:val=""/>
      <w:lvlJc w:val="left"/>
      <w:pPr>
        <w:ind w:left="720" w:hanging="360"/>
      </w:pPr>
      <w:rPr>
        <w:rFonts w:ascii="Wingdings" w:hAnsi="Wingdings" w:hint="default"/>
        <w:color w:val="4472C4"/>
      </w:rPr>
    </w:lvl>
    <w:lvl w:ilvl="1" w:tplc="DC1477AC">
      <w:numFmt w:val="bullet"/>
      <w:lvlText w:val=""/>
      <w:lvlJc w:val="left"/>
      <w:pPr>
        <w:ind w:left="1440" w:hanging="360"/>
      </w:pPr>
      <w:rPr>
        <w:rFonts w:ascii="Wingdings" w:eastAsia="Times New Roman" w:hAnsi="Wingdings"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0E8567A"/>
    <w:multiLevelType w:val="hybridMultilevel"/>
    <w:tmpl w:val="9BA20A28"/>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BE960F1"/>
    <w:multiLevelType w:val="hybridMultilevel"/>
    <w:tmpl w:val="4E5A626C"/>
    <w:lvl w:ilvl="0" w:tplc="0BD2D29E">
      <w:start w:val="1"/>
      <w:numFmt w:val="bullet"/>
      <w:lvlText w:val="à"/>
      <w:lvlJc w:val="left"/>
      <w:pPr>
        <w:ind w:left="720" w:hanging="360"/>
      </w:pPr>
      <w:rPr>
        <w:rFonts w:ascii="Wingdings" w:hAnsi="Wingdings" w:hint="default"/>
        <w:color w:val="FF0000"/>
      </w:rPr>
    </w:lvl>
    <w:lvl w:ilvl="1" w:tplc="0BD2D29E">
      <w:start w:val="1"/>
      <w:numFmt w:val="bullet"/>
      <w:lvlText w:val="à"/>
      <w:lvlJc w:val="left"/>
      <w:pPr>
        <w:ind w:left="1440" w:hanging="360"/>
      </w:pPr>
      <w:rPr>
        <w:rFonts w:ascii="Wingdings" w:hAnsi="Wingdings" w:hint="default"/>
        <w:color w:val="FF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EF37AD1"/>
    <w:multiLevelType w:val="hybridMultilevel"/>
    <w:tmpl w:val="EA86DC4E"/>
    <w:lvl w:ilvl="0" w:tplc="DE5268A0">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19"/>
  </w:num>
  <w:num w:numId="4">
    <w:abstractNumId w:val="4"/>
  </w:num>
  <w:num w:numId="5">
    <w:abstractNumId w:val="28"/>
  </w:num>
  <w:num w:numId="6">
    <w:abstractNumId w:val="17"/>
  </w:num>
  <w:num w:numId="7">
    <w:abstractNumId w:val="13"/>
  </w:num>
  <w:num w:numId="8">
    <w:abstractNumId w:val="22"/>
  </w:num>
  <w:num w:numId="9">
    <w:abstractNumId w:val="18"/>
  </w:num>
  <w:num w:numId="10">
    <w:abstractNumId w:val="27"/>
  </w:num>
  <w:num w:numId="11">
    <w:abstractNumId w:val="25"/>
  </w:num>
  <w:num w:numId="12">
    <w:abstractNumId w:val="26"/>
  </w:num>
  <w:num w:numId="13">
    <w:abstractNumId w:val="11"/>
  </w:num>
  <w:num w:numId="14">
    <w:abstractNumId w:val="14"/>
  </w:num>
  <w:num w:numId="15">
    <w:abstractNumId w:val="2"/>
  </w:num>
  <w:num w:numId="16">
    <w:abstractNumId w:val="1"/>
  </w:num>
  <w:num w:numId="17">
    <w:abstractNumId w:val="8"/>
  </w:num>
  <w:num w:numId="18">
    <w:abstractNumId w:val="30"/>
  </w:num>
  <w:num w:numId="19">
    <w:abstractNumId w:val="9"/>
  </w:num>
  <w:num w:numId="20">
    <w:abstractNumId w:val="0"/>
  </w:num>
  <w:num w:numId="21">
    <w:abstractNumId w:val="12"/>
  </w:num>
  <w:num w:numId="22">
    <w:abstractNumId w:val="3"/>
  </w:num>
  <w:num w:numId="23">
    <w:abstractNumId w:val="6"/>
  </w:num>
  <w:num w:numId="24">
    <w:abstractNumId w:val="20"/>
  </w:num>
  <w:num w:numId="25">
    <w:abstractNumId w:val="7"/>
  </w:num>
  <w:num w:numId="26">
    <w:abstractNumId w:val="15"/>
  </w:num>
  <w:num w:numId="27">
    <w:abstractNumId w:val="29"/>
  </w:num>
  <w:num w:numId="28">
    <w:abstractNumId w:val="16"/>
  </w:num>
  <w:num w:numId="29">
    <w:abstractNumId w:val="23"/>
  </w:num>
  <w:num w:numId="30">
    <w:abstractNumId w:val="31"/>
  </w:num>
  <w:num w:numId="31">
    <w:abstractNumId w:val="24"/>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662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456"/>
    <w:rsid w:val="000042E4"/>
    <w:rsid w:val="0002120C"/>
    <w:rsid w:val="0003790D"/>
    <w:rsid w:val="00045ED1"/>
    <w:rsid w:val="00047EE2"/>
    <w:rsid w:val="000538A0"/>
    <w:rsid w:val="000540DF"/>
    <w:rsid w:val="0006626B"/>
    <w:rsid w:val="00087E42"/>
    <w:rsid w:val="00090959"/>
    <w:rsid w:val="000A2076"/>
    <w:rsid w:val="000A7574"/>
    <w:rsid w:val="000B0DA1"/>
    <w:rsid w:val="000F3773"/>
    <w:rsid w:val="001436E7"/>
    <w:rsid w:val="00144238"/>
    <w:rsid w:val="001624FA"/>
    <w:rsid w:val="001716A5"/>
    <w:rsid w:val="00174275"/>
    <w:rsid w:val="00175F1E"/>
    <w:rsid w:val="00184039"/>
    <w:rsid w:val="001908CF"/>
    <w:rsid w:val="001A6CA1"/>
    <w:rsid w:val="001B132E"/>
    <w:rsid w:val="001B6F62"/>
    <w:rsid w:val="001C2EAA"/>
    <w:rsid w:val="00203D78"/>
    <w:rsid w:val="0021200E"/>
    <w:rsid w:val="00226C19"/>
    <w:rsid w:val="00246E94"/>
    <w:rsid w:val="00255062"/>
    <w:rsid w:val="00263F03"/>
    <w:rsid w:val="00273CD5"/>
    <w:rsid w:val="00277481"/>
    <w:rsid w:val="002A19DC"/>
    <w:rsid w:val="002A2F6A"/>
    <w:rsid w:val="002B6C18"/>
    <w:rsid w:val="002C4273"/>
    <w:rsid w:val="002C7311"/>
    <w:rsid w:val="002D551E"/>
    <w:rsid w:val="002D7206"/>
    <w:rsid w:val="002F017D"/>
    <w:rsid w:val="002F145D"/>
    <w:rsid w:val="00315867"/>
    <w:rsid w:val="003201F4"/>
    <w:rsid w:val="00322525"/>
    <w:rsid w:val="003336BD"/>
    <w:rsid w:val="00341307"/>
    <w:rsid w:val="003522DE"/>
    <w:rsid w:val="003564C3"/>
    <w:rsid w:val="00367685"/>
    <w:rsid w:val="00371FDB"/>
    <w:rsid w:val="0037578B"/>
    <w:rsid w:val="00384039"/>
    <w:rsid w:val="00387EC0"/>
    <w:rsid w:val="003900D5"/>
    <w:rsid w:val="003900EF"/>
    <w:rsid w:val="00390951"/>
    <w:rsid w:val="00392BA1"/>
    <w:rsid w:val="00394AB6"/>
    <w:rsid w:val="003A60EA"/>
    <w:rsid w:val="003B2838"/>
    <w:rsid w:val="003B4B9A"/>
    <w:rsid w:val="003B6871"/>
    <w:rsid w:val="003B6886"/>
    <w:rsid w:val="003B6C6F"/>
    <w:rsid w:val="003C6022"/>
    <w:rsid w:val="003C684D"/>
    <w:rsid w:val="003D79DB"/>
    <w:rsid w:val="004034BD"/>
    <w:rsid w:val="00407CD8"/>
    <w:rsid w:val="00411B9E"/>
    <w:rsid w:val="00414B3A"/>
    <w:rsid w:val="00422686"/>
    <w:rsid w:val="00426BE5"/>
    <w:rsid w:val="00433067"/>
    <w:rsid w:val="004453BE"/>
    <w:rsid w:val="0044554E"/>
    <w:rsid w:val="00461A3B"/>
    <w:rsid w:val="004633AD"/>
    <w:rsid w:val="004674EF"/>
    <w:rsid w:val="00487DBA"/>
    <w:rsid w:val="004928E8"/>
    <w:rsid w:val="004974FD"/>
    <w:rsid w:val="004A3B30"/>
    <w:rsid w:val="004B5F69"/>
    <w:rsid w:val="004D43C6"/>
    <w:rsid w:val="004E1B06"/>
    <w:rsid w:val="004E45B7"/>
    <w:rsid w:val="0051023C"/>
    <w:rsid w:val="0052035B"/>
    <w:rsid w:val="00530207"/>
    <w:rsid w:val="0053564C"/>
    <w:rsid w:val="00540B26"/>
    <w:rsid w:val="005802F5"/>
    <w:rsid w:val="00585BBB"/>
    <w:rsid w:val="005970B5"/>
    <w:rsid w:val="005B1659"/>
    <w:rsid w:val="005D5A3C"/>
    <w:rsid w:val="005E2740"/>
    <w:rsid w:val="005E4697"/>
    <w:rsid w:val="005E5D47"/>
    <w:rsid w:val="005F4BFD"/>
    <w:rsid w:val="005F6EC1"/>
    <w:rsid w:val="005F7BE5"/>
    <w:rsid w:val="00606A2E"/>
    <w:rsid w:val="00615AB1"/>
    <w:rsid w:val="00617FFD"/>
    <w:rsid w:val="00621DC5"/>
    <w:rsid w:val="0064627D"/>
    <w:rsid w:val="00646F74"/>
    <w:rsid w:val="00657478"/>
    <w:rsid w:val="00662C80"/>
    <w:rsid w:val="006A3DC7"/>
    <w:rsid w:val="006A4A10"/>
    <w:rsid w:val="006A5AC6"/>
    <w:rsid w:val="006B0C33"/>
    <w:rsid w:val="006B731A"/>
    <w:rsid w:val="006B74FE"/>
    <w:rsid w:val="006D6ADA"/>
    <w:rsid w:val="006E491E"/>
    <w:rsid w:val="006F6B51"/>
    <w:rsid w:val="0070297F"/>
    <w:rsid w:val="00711A6D"/>
    <w:rsid w:val="00714E16"/>
    <w:rsid w:val="00722A0B"/>
    <w:rsid w:val="00731DFD"/>
    <w:rsid w:val="00744057"/>
    <w:rsid w:val="007651B5"/>
    <w:rsid w:val="00771342"/>
    <w:rsid w:val="0077599B"/>
    <w:rsid w:val="00775B4A"/>
    <w:rsid w:val="007921E8"/>
    <w:rsid w:val="00793C0D"/>
    <w:rsid w:val="007A40A8"/>
    <w:rsid w:val="007C1AC3"/>
    <w:rsid w:val="007C70E1"/>
    <w:rsid w:val="007D6722"/>
    <w:rsid w:val="007D7754"/>
    <w:rsid w:val="00805C4E"/>
    <w:rsid w:val="0081169F"/>
    <w:rsid w:val="00820453"/>
    <w:rsid w:val="008210CC"/>
    <w:rsid w:val="00833E2B"/>
    <w:rsid w:val="00836313"/>
    <w:rsid w:val="00846DDE"/>
    <w:rsid w:val="00856CEF"/>
    <w:rsid w:val="00870456"/>
    <w:rsid w:val="00872C05"/>
    <w:rsid w:val="008A6B2C"/>
    <w:rsid w:val="008B1654"/>
    <w:rsid w:val="008B2B5D"/>
    <w:rsid w:val="008C3120"/>
    <w:rsid w:val="008D2C50"/>
    <w:rsid w:val="008E175C"/>
    <w:rsid w:val="0090519B"/>
    <w:rsid w:val="00917A63"/>
    <w:rsid w:val="0092059F"/>
    <w:rsid w:val="00942F40"/>
    <w:rsid w:val="00945C09"/>
    <w:rsid w:val="00946693"/>
    <w:rsid w:val="0095655B"/>
    <w:rsid w:val="00981360"/>
    <w:rsid w:val="009833C7"/>
    <w:rsid w:val="009900B3"/>
    <w:rsid w:val="009A3AF0"/>
    <w:rsid w:val="009B0527"/>
    <w:rsid w:val="009F2691"/>
    <w:rsid w:val="009F7267"/>
    <w:rsid w:val="00A230FA"/>
    <w:rsid w:val="00A257DB"/>
    <w:rsid w:val="00A463F0"/>
    <w:rsid w:val="00A47F2A"/>
    <w:rsid w:val="00A506E6"/>
    <w:rsid w:val="00A52866"/>
    <w:rsid w:val="00A531C5"/>
    <w:rsid w:val="00A825B1"/>
    <w:rsid w:val="00A87EF0"/>
    <w:rsid w:val="00A87FF9"/>
    <w:rsid w:val="00A93E20"/>
    <w:rsid w:val="00AA140E"/>
    <w:rsid w:val="00AA4AB4"/>
    <w:rsid w:val="00AB7315"/>
    <w:rsid w:val="00AD187C"/>
    <w:rsid w:val="00AD3402"/>
    <w:rsid w:val="00AE424F"/>
    <w:rsid w:val="00AF0B22"/>
    <w:rsid w:val="00B4132A"/>
    <w:rsid w:val="00B51424"/>
    <w:rsid w:val="00B52DD0"/>
    <w:rsid w:val="00B62E67"/>
    <w:rsid w:val="00B64536"/>
    <w:rsid w:val="00B825BA"/>
    <w:rsid w:val="00B82E25"/>
    <w:rsid w:val="00BB4E1C"/>
    <w:rsid w:val="00BB7515"/>
    <w:rsid w:val="00BF0823"/>
    <w:rsid w:val="00BF6EF6"/>
    <w:rsid w:val="00C06E9D"/>
    <w:rsid w:val="00C073D0"/>
    <w:rsid w:val="00C2758E"/>
    <w:rsid w:val="00C46409"/>
    <w:rsid w:val="00C4749E"/>
    <w:rsid w:val="00C50D5F"/>
    <w:rsid w:val="00C51794"/>
    <w:rsid w:val="00C560D7"/>
    <w:rsid w:val="00C63B83"/>
    <w:rsid w:val="00C72A36"/>
    <w:rsid w:val="00C825A5"/>
    <w:rsid w:val="00C82C2F"/>
    <w:rsid w:val="00CA2835"/>
    <w:rsid w:val="00CD5CBF"/>
    <w:rsid w:val="00D2725D"/>
    <w:rsid w:val="00D30426"/>
    <w:rsid w:val="00D309B8"/>
    <w:rsid w:val="00D314B3"/>
    <w:rsid w:val="00D42909"/>
    <w:rsid w:val="00D562D3"/>
    <w:rsid w:val="00D57B0D"/>
    <w:rsid w:val="00D718E6"/>
    <w:rsid w:val="00D85F8F"/>
    <w:rsid w:val="00D87D09"/>
    <w:rsid w:val="00DA4EE0"/>
    <w:rsid w:val="00DB0964"/>
    <w:rsid w:val="00DB1445"/>
    <w:rsid w:val="00DD25C0"/>
    <w:rsid w:val="00DE637B"/>
    <w:rsid w:val="00DF42EA"/>
    <w:rsid w:val="00DF4EB9"/>
    <w:rsid w:val="00E00F3C"/>
    <w:rsid w:val="00E111D9"/>
    <w:rsid w:val="00E204EC"/>
    <w:rsid w:val="00E25E08"/>
    <w:rsid w:val="00E33DE1"/>
    <w:rsid w:val="00E67FB9"/>
    <w:rsid w:val="00E729BD"/>
    <w:rsid w:val="00E73917"/>
    <w:rsid w:val="00E777E6"/>
    <w:rsid w:val="00E77C59"/>
    <w:rsid w:val="00E86146"/>
    <w:rsid w:val="00EA2696"/>
    <w:rsid w:val="00EA4450"/>
    <w:rsid w:val="00EA4ACF"/>
    <w:rsid w:val="00EC73D4"/>
    <w:rsid w:val="00EE1CFD"/>
    <w:rsid w:val="00F27101"/>
    <w:rsid w:val="00F324DC"/>
    <w:rsid w:val="00F45552"/>
    <w:rsid w:val="00F5014C"/>
    <w:rsid w:val="00F8123C"/>
    <w:rsid w:val="00F842A4"/>
    <w:rsid w:val="00F92C41"/>
    <w:rsid w:val="00F94BB7"/>
    <w:rsid w:val="00F94D29"/>
    <w:rsid w:val="00FA1A30"/>
    <w:rsid w:val="00FA29CE"/>
    <w:rsid w:val="00FA36E4"/>
    <w:rsid w:val="00FA480C"/>
    <w:rsid w:val="00FC2085"/>
    <w:rsid w:val="00FC3FF1"/>
    <w:rsid w:val="00FC458E"/>
    <w:rsid w:val="00FC5C0D"/>
    <w:rsid w:val="00FC5C52"/>
    <w:rsid w:val="00FD5FD6"/>
    <w:rsid w:val="00FE322B"/>
    <w:rsid w:val="00FE65A3"/>
    <w:rsid w:val="00FF0284"/>
    <w:rsid w:val="00FF23E4"/>
    <w:rsid w:val="4FB198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41C39467"/>
  <w15:chartTrackingRefBased/>
  <w15:docId w15:val="{137ED53E-83BC-4156-A623-6E3F08A1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8704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6">
    <w:name w:val="heading 6"/>
    <w:basedOn w:val="Normal"/>
    <w:next w:val="Normal"/>
    <w:link w:val="Titre6Car"/>
    <w:qFormat/>
    <w:rsid w:val="00870456"/>
    <w:pPr>
      <w:keepNext/>
      <w:overflowPunct w:val="0"/>
      <w:autoSpaceDE w:val="0"/>
      <w:autoSpaceDN w:val="0"/>
      <w:adjustRightInd w:val="0"/>
      <w:spacing w:before="80" w:after="0" w:line="240" w:lineRule="auto"/>
      <w:ind w:left="-154" w:right="-149"/>
      <w:jc w:val="center"/>
      <w:textAlignment w:val="baseline"/>
      <w:outlineLvl w:val="5"/>
    </w:pPr>
    <w:rPr>
      <w:rFonts w:ascii="Gill Sans MT" w:eastAsia="Times New Roman" w:hAnsi="Gill Sans MT" w:cs="Times New Roman"/>
      <w:b/>
      <w:color w:val="FFFFFF"/>
      <w:spacing w:val="70"/>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870456"/>
    <w:pPr>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808080"/>
      <w:sz w:val="58"/>
      <w:szCs w:val="20"/>
      <w:lang w:eastAsia="fr-FR"/>
    </w:rPr>
  </w:style>
  <w:style w:type="character" w:customStyle="1" w:styleId="CorpsdetexteCar">
    <w:name w:val="Corps de texte Car"/>
    <w:basedOn w:val="Policepardfaut"/>
    <w:link w:val="Corpsdetexte"/>
    <w:semiHidden/>
    <w:rsid w:val="00870456"/>
    <w:rPr>
      <w:rFonts w:ascii="Times New Roman" w:eastAsia="Times New Roman" w:hAnsi="Times New Roman" w:cs="Times New Roman"/>
      <w:color w:val="808080"/>
      <w:sz w:val="58"/>
      <w:szCs w:val="20"/>
      <w:lang w:eastAsia="fr-FR"/>
    </w:rPr>
  </w:style>
  <w:style w:type="character" w:customStyle="1" w:styleId="Titre6Car">
    <w:name w:val="Titre 6 Car"/>
    <w:basedOn w:val="Policepardfaut"/>
    <w:link w:val="Titre6"/>
    <w:rsid w:val="00870456"/>
    <w:rPr>
      <w:rFonts w:ascii="Gill Sans MT" w:eastAsia="Times New Roman" w:hAnsi="Gill Sans MT" w:cs="Times New Roman"/>
      <w:b/>
      <w:color w:val="FFFFFF"/>
      <w:spacing w:val="70"/>
      <w:sz w:val="24"/>
      <w:szCs w:val="20"/>
      <w:lang w:eastAsia="fr-FR"/>
    </w:rPr>
  </w:style>
  <w:style w:type="character" w:styleId="Lienhypertexte">
    <w:name w:val="Hyperlink"/>
    <w:semiHidden/>
    <w:rsid w:val="00870456"/>
    <w:rPr>
      <w:color w:val="0000FF"/>
      <w:u w:val="single"/>
    </w:rPr>
  </w:style>
  <w:style w:type="paragraph" w:styleId="Paragraphedeliste">
    <w:name w:val="List Paragraph"/>
    <w:basedOn w:val="Normal"/>
    <w:uiPriority w:val="34"/>
    <w:qFormat/>
    <w:rsid w:val="00870456"/>
    <w:pPr>
      <w:spacing w:after="0" w:line="240" w:lineRule="auto"/>
      <w:ind w:left="720"/>
    </w:pPr>
    <w:rPr>
      <w:rFonts w:ascii="Calibri" w:eastAsia="Calibri" w:hAnsi="Calibri" w:cs="Times New Roman"/>
      <w:lang w:val="en-US"/>
    </w:rPr>
  </w:style>
  <w:style w:type="character" w:customStyle="1" w:styleId="Titre2Car">
    <w:name w:val="Titre 2 Car"/>
    <w:basedOn w:val="Policepardfaut"/>
    <w:link w:val="Titre2"/>
    <w:uiPriority w:val="9"/>
    <w:semiHidden/>
    <w:rsid w:val="00870456"/>
    <w:rPr>
      <w:rFonts w:asciiTheme="majorHAnsi" w:eastAsiaTheme="majorEastAsia" w:hAnsiTheme="majorHAnsi" w:cstheme="majorBidi"/>
      <w:color w:val="2F5496" w:themeColor="accent1" w:themeShade="BF"/>
      <w:sz w:val="26"/>
      <w:szCs w:val="26"/>
    </w:rPr>
  </w:style>
  <w:style w:type="paragraph" w:styleId="Pieddepage">
    <w:name w:val="footer"/>
    <w:basedOn w:val="Normal"/>
    <w:link w:val="PieddepageCar"/>
    <w:uiPriority w:val="99"/>
    <w:rsid w:val="00870456"/>
    <w:pPr>
      <w:tabs>
        <w:tab w:val="center" w:pos="4536"/>
        <w:tab w:val="right" w:pos="9072"/>
      </w:tabs>
      <w:overflowPunct w:val="0"/>
      <w:autoSpaceDE w:val="0"/>
      <w:autoSpaceDN w:val="0"/>
      <w:adjustRightInd w:val="0"/>
      <w:spacing w:after="0" w:line="240" w:lineRule="auto"/>
      <w:textAlignment w:val="baseline"/>
    </w:pPr>
    <w:rPr>
      <w:rFonts w:ascii="Gill Sans MT" w:eastAsia="Times New Roman" w:hAnsi="Gill Sans MT" w:cs="Times New Roman"/>
      <w:sz w:val="20"/>
      <w:szCs w:val="20"/>
      <w:lang w:eastAsia="fr-FR"/>
    </w:rPr>
  </w:style>
  <w:style w:type="character" w:customStyle="1" w:styleId="PieddepageCar">
    <w:name w:val="Pied de page Car"/>
    <w:basedOn w:val="Policepardfaut"/>
    <w:link w:val="Pieddepage"/>
    <w:uiPriority w:val="99"/>
    <w:rsid w:val="00870456"/>
    <w:rPr>
      <w:rFonts w:ascii="Gill Sans MT" w:eastAsia="Times New Roman" w:hAnsi="Gill Sans MT" w:cs="Times New Roman"/>
      <w:sz w:val="20"/>
      <w:szCs w:val="20"/>
      <w:lang w:eastAsia="fr-FR"/>
    </w:rPr>
  </w:style>
  <w:style w:type="paragraph" w:customStyle="1" w:styleId="Corpsdetexte21">
    <w:name w:val="Corps de texte 21"/>
    <w:basedOn w:val="Normal"/>
    <w:rsid w:val="00870456"/>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paragraph" w:customStyle="1" w:styleId="Default">
    <w:name w:val="Default"/>
    <w:rsid w:val="00870456"/>
    <w:pPr>
      <w:autoSpaceDE w:val="0"/>
      <w:autoSpaceDN w:val="0"/>
      <w:adjustRightInd w:val="0"/>
      <w:spacing w:after="0" w:line="240" w:lineRule="auto"/>
    </w:pPr>
    <w:rPr>
      <w:rFonts w:ascii="Arial" w:eastAsia="Times New Roman" w:hAnsi="Arial" w:cs="Arial"/>
      <w:color w:val="000000"/>
      <w:sz w:val="24"/>
      <w:szCs w:val="24"/>
      <w:lang w:eastAsia="fr-FR"/>
    </w:rPr>
  </w:style>
  <w:style w:type="paragraph" w:customStyle="1" w:styleId="Pa0">
    <w:name w:val="Pa0"/>
    <w:basedOn w:val="Default"/>
    <w:next w:val="Default"/>
    <w:uiPriority w:val="99"/>
    <w:rsid w:val="00870456"/>
    <w:pPr>
      <w:spacing w:line="241" w:lineRule="atLeast"/>
    </w:pPr>
    <w:rPr>
      <w:rFonts w:ascii="Univers 67 Condensed" w:hAnsi="Univers 67 Condensed" w:cs="Times New Roman"/>
      <w:color w:val="auto"/>
    </w:rPr>
  </w:style>
  <w:style w:type="character" w:customStyle="1" w:styleId="A10">
    <w:name w:val="A10"/>
    <w:uiPriority w:val="99"/>
    <w:rsid w:val="00870456"/>
    <w:rPr>
      <w:rFonts w:cs="Univers 67 Condensed"/>
      <w:color w:val="000000"/>
      <w:sz w:val="20"/>
      <w:szCs w:val="20"/>
    </w:rPr>
  </w:style>
  <w:style w:type="character" w:customStyle="1" w:styleId="A0">
    <w:name w:val="A0"/>
    <w:uiPriority w:val="99"/>
    <w:rsid w:val="00870456"/>
    <w:rPr>
      <w:rFonts w:cs="Myriad Pro"/>
      <w:color w:val="000000"/>
      <w:sz w:val="18"/>
      <w:szCs w:val="18"/>
    </w:rPr>
  </w:style>
  <w:style w:type="paragraph" w:styleId="En-tte">
    <w:name w:val="header"/>
    <w:basedOn w:val="Normal"/>
    <w:link w:val="En-tteCar"/>
    <w:uiPriority w:val="99"/>
    <w:unhideWhenUsed/>
    <w:rsid w:val="00917A63"/>
    <w:pPr>
      <w:tabs>
        <w:tab w:val="center" w:pos="4513"/>
        <w:tab w:val="right" w:pos="9026"/>
      </w:tabs>
      <w:spacing w:after="0" w:line="240" w:lineRule="auto"/>
    </w:pPr>
  </w:style>
  <w:style w:type="character" w:customStyle="1" w:styleId="En-tteCar">
    <w:name w:val="En-tête Car"/>
    <w:basedOn w:val="Policepardfaut"/>
    <w:link w:val="En-tte"/>
    <w:uiPriority w:val="99"/>
    <w:rsid w:val="00917A63"/>
  </w:style>
  <w:style w:type="table" w:styleId="Grilledutableau">
    <w:name w:val="Table Grid"/>
    <w:basedOn w:val="TableauNormal"/>
    <w:uiPriority w:val="39"/>
    <w:rsid w:val="00FA1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487DB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87DBA"/>
    <w:rPr>
      <w:sz w:val="20"/>
      <w:szCs w:val="20"/>
    </w:rPr>
  </w:style>
  <w:style w:type="character" w:styleId="Appelnotedebasdep">
    <w:name w:val="footnote reference"/>
    <w:basedOn w:val="Policepardfaut"/>
    <w:uiPriority w:val="99"/>
    <w:semiHidden/>
    <w:unhideWhenUsed/>
    <w:rsid w:val="00487DBA"/>
    <w:rPr>
      <w:vertAlign w:val="superscript"/>
    </w:rPr>
  </w:style>
  <w:style w:type="character" w:styleId="Marquedecommentaire">
    <w:name w:val="annotation reference"/>
    <w:basedOn w:val="Policepardfaut"/>
    <w:uiPriority w:val="99"/>
    <w:semiHidden/>
    <w:unhideWhenUsed/>
    <w:rsid w:val="00C4749E"/>
    <w:rPr>
      <w:sz w:val="16"/>
      <w:szCs w:val="16"/>
    </w:rPr>
  </w:style>
  <w:style w:type="paragraph" w:styleId="Commentaire">
    <w:name w:val="annotation text"/>
    <w:basedOn w:val="Normal"/>
    <w:link w:val="CommentaireCar"/>
    <w:uiPriority w:val="99"/>
    <w:unhideWhenUsed/>
    <w:rsid w:val="00C4749E"/>
    <w:pPr>
      <w:spacing w:line="240" w:lineRule="auto"/>
    </w:pPr>
    <w:rPr>
      <w:sz w:val="20"/>
      <w:szCs w:val="20"/>
    </w:rPr>
  </w:style>
  <w:style w:type="character" w:customStyle="1" w:styleId="CommentaireCar">
    <w:name w:val="Commentaire Car"/>
    <w:basedOn w:val="Policepardfaut"/>
    <w:link w:val="Commentaire"/>
    <w:uiPriority w:val="99"/>
    <w:rsid w:val="00C4749E"/>
    <w:rPr>
      <w:sz w:val="20"/>
      <w:szCs w:val="20"/>
    </w:rPr>
  </w:style>
  <w:style w:type="paragraph" w:styleId="Objetducommentaire">
    <w:name w:val="annotation subject"/>
    <w:basedOn w:val="Commentaire"/>
    <w:next w:val="Commentaire"/>
    <w:link w:val="ObjetducommentaireCar"/>
    <w:uiPriority w:val="99"/>
    <w:semiHidden/>
    <w:unhideWhenUsed/>
    <w:rsid w:val="00C4749E"/>
    <w:rPr>
      <w:b/>
      <w:bCs/>
    </w:rPr>
  </w:style>
  <w:style w:type="character" w:customStyle="1" w:styleId="ObjetducommentaireCar">
    <w:name w:val="Objet du commentaire Car"/>
    <w:basedOn w:val="CommentaireCar"/>
    <w:link w:val="Objetducommentaire"/>
    <w:uiPriority w:val="99"/>
    <w:semiHidden/>
    <w:rsid w:val="00C4749E"/>
    <w:rPr>
      <w:b/>
      <w:bCs/>
      <w:sz w:val="20"/>
      <w:szCs w:val="20"/>
    </w:rPr>
  </w:style>
  <w:style w:type="paragraph" w:styleId="Textedebulles">
    <w:name w:val="Balloon Text"/>
    <w:basedOn w:val="Normal"/>
    <w:link w:val="TextedebullesCar"/>
    <w:uiPriority w:val="99"/>
    <w:semiHidden/>
    <w:unhideWhenUsed/>
    <w:rsid w:val="00C4749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749E"/>
    <w:rPr>
      <w:rFonts w:ascii="Segoe UI" w:hAnsi="Segoe UI" w:cs="Segoe UI"/>
      <w:sz w:val="18"/>
      <w:szCs w:val="18"/>
    </w:rPr>
  </w:style>
  <w:style w:type="character" w:customStyle="1" w:styleId="Mentionnonrsolue1">
    <w:name w:val="Mention non résolue1"/>
    <w:basedOn w:val="Policepardfaut"/>
    <w:uiPriority w:val="99"/>
    <w:semiHidden/>
    <w:unhideWhenUsed/>
    <w:rsid w:val="007D6722"/>
    <w:rPr>
      <w:color w:val="808080"/>
      <w:shd w:val="clear" w:color="auto" w:fill="E6E6E6"/>
    </w:rPr>
  </w:style>
  <w:style w:type="character" w:customStyle="1" w:styleId="A2">
    <w:name w:val="A2"/>
    <w:uiPriority w:val="99"/>
    <w:rsid w:val="0077599B"/>
    <w:rPr>
      <w:rFonts w:cs="Univers LT Std"/>
      <w:color w:val="000000"/>
      <w:sz w:val="22"/>
      <w:szCs w:val="22"/>
    </w:rPr>
  </w:style>
  <w:style w:type="paragraph" w:customStyle="1" w:styleId="Pa7">
    <w:name w:val="Pa7"/>
    <w:basedOn w:val="Default"/>
    <w:next w:val="Default"/>
    <w:uiPriority w:val="99"/>
    <w:rsid w:val="00714E16"/>
    <w:pPr>
      <w:spacing w:line="241" w:lineRule="atLeast"/>
    </w:pPr>
    <w:rPr>
      <w:rFonts w:ascii="Univers LT Std 47 Cn Lt" w:eastAsiaTheme="minorHAnsi" w:hAnsi="Univers LT Std 47 Cn Lt" w:cstheme="minorBidi"/>
      <w:color w:val="auto"/>
      <w:lang w:eastAsia="en-US"/>
    </w:rPr>
  </w:style>
  <w:style w:type="table" w:customStyle="1" w:styleId="Grilledutableau1">
    <w:name w:val="Grille du tableau1"/>
    <w:basedOn w:val="TableauNormal"/>
    <w:next w:val="Grilledutableau"/>
    <w:uiPriority w:val="39"/>
    <w:rsid w:val="00EA26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sdetexte22">
    <w:name w:val="Corps de texte 22"/>
    <w:basedOn w:val="Normal"/>
    <w:rsid w:val="00A257DB"/>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character" w:styleId="Mentionnonrsolue">
    <w:name w:val="Unresolved Mention"/>
    <w:basedOn w:val="Policepardfaut"/>
    <w:uiPriority w:val="99"/>
    <w:semiHidden/>
    <w:unhideWhenUsed/>
    <w:rsid w:val="003B6871"/>
    <w:rPr>
      <w:color w:val="605E5C"/>
      <w:shd w:val="clear" w:color="auto" w:fill="E1DFDD"/>
    </w:rPr>
  </w:style>
  <w:style w:type="paragraph" w:styleId="Rvision">
    <w:name w:val="Revision"/>
    <w:hidden/>
    <w:uiPriority w:val="99"/>
    <w:semiHidden/>
    <w:rsid w:val="001C2EAA"/>
    <w:pPr>
      <w:spacing w:after="0" w:line="240" w:lineRule="auto"/>
    </w:pPr>
  </w:style>
  <w:style w:type="character" w:styleId="Lienhypertextesuivivisit">
    <w:name w:val="FollowedHyperlink"/>
    <w:basedOn w:val="Policepardfaut"/>
    <w:uiPriority w:val="99"/>
    <w:semiHidden/>
    <w:unhideWhenUsed/>
    <w:rsid w:val="007C70E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3843659">
      <w:bodyDiv w:val="1"/>
      <w:marLeft w:val="0"/>
      <w:marRight w:val="0"/>
      <w:marTop w:val="0"/>
      <w:marBottom w:val="0"/>
      <w:divBdr>
        <w:top w:val="none" w:sz="0" w:space="0" w:color="auto"/>
        <w:left w:val="none" w:sz="0" w:space="0" w:color="auto"/>
        <w:bottom w:val="none" w:sz="0" w:space="0" w:color="auto"/>
        <w:right w:val="none" w:sz="0" w:space="0" w:color="auto"/>
      </w:divBdr>
    </w:div>
    <w:div w:id="828835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imonialreim.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iips.assurances.groupebpce.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rimonialreim.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iips.assurances.groupebpc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ACAC29-61F1-487F-AF95-31E904D49F03}">
  <ds:schemaRefs>
    <ds:schemaRef ds:uri="http://schemas.microsoft.com/sharepoint/v3/contenttype/forms"/>
  </ds:schemaRefs>
</ds:datastoreItem>
</file>

<file path=customXml/itemProps2.xml><?xml version="1.0" encoding="utf-8"?>
<ds:datastoreItem xmlns:ds="http://schemas.openxmlformats.org/officeDocument/2006/customXml" ds:itemID="{1F78C2D1-9469-4264-9FD7-8BF5F8D8A484}">
  <ds:schemaRefs>
    <ds:schemaRef ds:uri="http://schemas.microsoft.com/sharepoint/v4"/>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984E9702-821F-4854-AB31-6C6E6AE947C2}">
  <ds:schemaRefs>
    <ds:schemaRef ds:uri="http://schemas.openxmlformats.org/officeDocument/2006/bibliography"/>
  </ds:schemaRefs>
</ds:datastoreItem>
</file>

<file path=customXml/itemProps4.xml><?xml version="1.0" encoding="utf-8"?>
<ds:datastoreItem xmlns:ds="http://schemas.openxmlformats.org/officeDocument/2006/customXml" ds:itemID="{E4A06303-F048-4194-A51B-795AD32538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1477</Words>
  <Characters>8125</Characters>
  <Application>Microsoft Office Word</Application>
  <DocSecurity>4</DocSecurity>
  <Lines>67</Lines>
  <Paragraphs>19</Paragraphs>
  <ScaleCrop>false</ScaleCrop>
  <HeadingPairs>
    <vt:vector size="2" baseType="variant">
      <vt:variant>
        <vt:lpstr>Titre</vt:lpstr>
      </vt:variant>
      <vt:variant>
        <vt:i4>1</vt:i4>
      </vt:variant>
    </vt:vector>
  </HeadingPairs>
  <TitlesOfParts>
    <vt:vector size="1" baseType="lpstr">
      <vt:lpstr>SCPI AEDIFICIS BPCE-VIE</vt:lpstr>
    </vt:vector>
  </TitlesOfParts>
  <Company/>
  <LinksUpToDate>false</LinksUpToDate>
  <CharactersWithSpaces>9583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SCPI AEDIFICIS BPCE-VIE</dc:title>
  <dc:subject/>
  <dc:creator>Merabet Lamia</dc:creator>
  <cp:keywords/>
  <dc:description/>
  <cp:lastModifiedBy>CASSAN Nathalie [CEGEE]</cp:lastModifiedBy>
  <cp:revision>2</cp:revision>
  <cp:lastPrinted>2021-06-09T15:55:00Z</cp:lastPrinted>
  <dcterms:created xsi:type="dcterms:W3CDTF">2022-12-13T10:23:00Z</dcterms:created>
  <dcterms:modified xsi:type="dcterms:W3CDTF">2022-12-13T10:23:00Z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tatiana.romanet@natixis.com</vt:lpwstr>
  </property>
  <property fmtid="{D5CDD505-2E9C-101B-9397-08002B2CF9AE}" pid="5" name="MSIP_Label_797e4f81-4b1c-4a3a-b237-8636707719dc_SetDate">
    <vt:lpwstr>2019-02-12T15:02:52.5575140Z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Extended_MSFT_Method">
    <vt:lpwstr>Automatic</vt:lpwstr>
  </property>
  <property fmtid="{D5CDD505-2E9C-101B-9397-08002B2CF9AE}" pid="9" name="Sensitivity">
    <vt:lpwstr>C2 - Internal Natixis</vt:lpwstr>
  </property>
  <property fmtid="{D5CDD505-2E9C-101B-9397-08002B2CF9AE}" pid="10" name="ContentTypeId">
    <vt:lpwstr>0x0101005A67D65F1B6A2E499754AFFE9DE455E9</vt:lpwstr>
  </property>
  <property fmtid="{D5CDD505-2E9C-101B-9397-08002B2CF9AE}" pid="11" name="CevanopMarkets">
    <vt:lpwstr/>
  </property>
  <property fmtid="{D5CDD505-2E9C-101B-9397-08002B2CF9AE}" pid="12" name="CevanopProductsSubFamilies">
    <vt:lpwstr/>
  </property>
</Properties>
</file>