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74AA" w:rsidRPr="000D74AA" w:rsidRDefault="000D74AA" w:rsidP="000D74AA">
      <w:pPr>
        <w:pStyle w:val="Paragraphedeliste"/>
        <w:ind w:left="360"/>
        <w:jc w:val="center"/>
        <w:rPr>
          <w:rFonts w:ascii="Arial Black" w:hAnsi="Arial Black" w:cs="Times New Roman"/>
          <w:b/>
          <w:color w:val="000000"/>
          <w:sz w:val="28"/>
          <w:szCs w:val="28"/>
          <w:lang w:eastAsia="fr-FR"/>
        </w:rPr>
      </w:pPr>
      <w:r w:rsidRPr="000D74AA">
        <w:rPr>
          <w:rFonts w:ascii="Arial Black" w:hAnsi="Arial Black" w:cs="Times New Roman"/>
          <w:b/>
          <w:color w:val="000000"/>
          <w:sz w:val="28"/>
          <w:szCs w:val="28"/>
          <w:lang w:eastAsia="fr-FR"/>
        </w:rPr>
        <w:t>Pour résilier un ancien contrat</w:t>
      </w:r>
      <w:r w:rsidRPr="000D74AA">
        <w:rPr>
          <w:rFonts w:ascii="Arial Black" w:hAnsi="Arial Black" w:cs="Times New Roman"/>
          <w:b/>
          <w:color w:val="000000"/>
          <w:sz w:val="28"/>
          <w:szCs w:val="28"/>
          <w:lang w:eastAsia="fr-FR"/>
        </w:rPr>
        <w:t xml:space="preserve"> GAV et/ou PJ</w:t>
      </w:r>
    </w:p>
    <w:p w:rsidR="000D74AA" w:rsidRDefault="000D74AA" w:rsidP="000D74AA">
      <w:pPr>
        <w:pStyle w:val="Paragraphedeliste"/>
        <w:ind w:left="360"/>
        <w:rPr>
          <w:rFonts w:ascii="Times New Roman" w:hAnsi="Times New Roman" w:cs="Times New Roman"/>
          <w:b/>
          <w:color w:val="000000"/>
          <w:sz w:val="20"/>
          <w:szCs w:val="20"/>
          <w:lang w:eastAsia="fr-FR"/>
        </w:rPr>
      </w:pPr>
    </w:p>
    <w:p w:rsidR="000D74AA" w:rsidRDefault="000D74AA" w:rsidP="000D74AA">
      <w:pPr>
        <w:rPr>
          <w:rFonts w:ascii="Times New Roman" w:hAnsi="Times New Roman"/>
          <w:b/>
          <w:color w:val="000000"/>
          <w:sz w:val="20"/>
          <w:szCs w:val="20"/>
          <w:lang w:eastAsia="fr-FR"/>
        </w:rPr>
      </w:pPr>
    </w:p>
    <w:p w:rsidR="000D74AA" w:rsidRDefault="000D74AA" w:rsidP="000D74AA">
      <w:pPr>
        <w:rPr>
          <w:rFonts w:ascii="Times New Roman" w:hAnsi="Times New Roman"/>
          <w:b/>
          <w:color w:val="000000"/>
          <w:sz w:val="20"/>
          <w:szCs w:val="20"/>
          <w:lang w:eastAsia="fr-FR"/>
        </w:rPr>
      </w:pPr>
    </w:p>
    <w:p w:rsidR="000D74AA" w:rsidRDefault="000D74AA" w:rsidP="000D74AA">
      <w:pPr>
        <w:rPr>
          <w:rFonts w:ascii="Times New Roman" w:hAnsi="Times New Roman"/>
          <w:b/>
          <w:color w:val="000000"/>
          <w:sz w:val="20"/>
          <w:szCs w:val="20"/>
          <w:lang w:eastAsia="fr-FR"/>
        </w:rPr>
      </w:pPr>
    </w:p>
    <w:p w:rsidR="000D74AA" w:rsidRDefault="000D74AA" w:rsidP="000D74AA">
      <w:pPr>
        <w:rPr>
          <w:rFonts w:ascii="Times New Roman" w:hAnsi="Times New Roman"/>
          <w:b/>
          <w:color w:val="000000"/>
          <w:sz w:val="20"/>
          <w:szCs w:val="20"/>
          <w:lang w:eastAsia="fr-FR"/>
        </w:rPr>
      </w:pPr>
    </w:p>
    <w:p w:rsidR="000D74AA" w:rsidRDefault="000D74AA" w:rsidP="000D74AA">
      <w:pPr>
        <w:rPr>
          <w:rFonts w:ascii="Times New Roman" w:hAnsi="Times New Roman"/>
          <w:b/>
          <w:color w:val="000000"/>
          <w:sz w:val="20"/>
          <w:szCs w:val="20"/>
          <w:lang w:eastAsia="fr-FR"/>
        </w:rPr>
      </w:pPr>
    </w:p>
    <w:p w:rsidR="000D74AA" w:rsidRDefault="000D74AA" w:rsidP="000D74AA">
      <w:pPr>
        <w:rPr>
          <w:rFonts w:ascii="Times New Roman" w:hAnsi="Times New Roman"/>
          <w:b/>
          <w:color w:val="000000"/>
          <w:sz w:val="20"/>
          <w:szCs w:val="20"/>
          <w:lang w:eastAsia="fr-FR"/>
        </w:rPr>
      </w:pPr>
    </w:p>
    <w:p w:rsidR="000D74AA" w:rsidRPr="000D74AA" w:rsidRDefault="000D74AA" w:rsidP="000D74AA">
      <w:pPr>
        <w:rPr>
          <w:rFonts w:ascii="Times New Roman" w:hAnsi="Times New Roman"/>
          <w:b/>
          <w:color w:val="000000"/>
          <w:sz w:val="20"/>
          <w:szCs w:val="20"/>
          <w:lang w:eastAsia="fr-FR"/>
        </w:rPr>
      </w:pPr>
    </w:p>
    <w:p w:rsidR="000D74AA" w:rsidRPr="000D74AA" w:rsidRDefault="000D74AA" w:rsidP="000D74AA">
      <w:pPr>
        <w:jc w:val="both"/>
        <w:rPr>
          <w:rFonts w:ascii="Arial" w:hAnsi="Arial" w:cs="Arial"/>
          <w:b/>
          <w:color w:val="000000"/>
          <w:sz w:val="20"/>
          <w:szCs w:val="20"/>
          <w:lang w:eastAsia="fr-FR"/>
        </w:rPr>
      </w:pPr>
      <w:r w:rsidRPr="000D74AA">
        <w:rPr>
          <w:rFonts w:ascii="Arial" w:hAnsi="Arial" w:cs="Arial"/>
          <w:b/>
          <w:color w:val="000000"/>
          <w:sz w:val="20"/>
          <w:szCs w:val="20"/>
          <w:lang w:eastAsia="fr-FR"/>
        </w:rPr>
        <w:t>Pour PJ</w:t>
      </w:r>
      <w:r w:rsidRPr="000D74AA">
        <w:rPr>
          <w:rFonts w:ascii="Arial" w:hAnsi="Arial" w:cs="Arial"/>
          <w:b/>
          <w:color w:val="000000"/>
          <w:sz w:val="20"/>
          <w:szCs w:val="20"/>
          <w:lang w:eastAsia="fr-FR"/>
        </w:rPr>
        <w:t> :</w:t>
      </w:r>
    </w:p>
    <w:p w:rsidR="000D74AA" w:rsidRDefault="000D74AA" w:rsidP="000D74AA">
      <w:pPr>
        <w:pStyle w:val="Paragraphedeliste"/>
        <w:numPr>
          <w:ilvl w:val="0"/>
          <w:numId w:val="2"/>
        </w:numPr>
        <w:jc w:val="both"/>
        <w:rPr>
          <w:rFonts w:ascii="Arial" w:hAnsi="Arial" w:cs="Arial"/>
          <w:color w:val="000000"/>
          <w:sz w:val="20"/>
          <w:szCs w:val="20"/>
          <w:lang w:eastAsia="fr-FR"/>
        </w:rPr>
      </w:pPr>
      <w:r w:rsidRPr="000D74AA">
        <w:rPr>
          <w:rFonts w:ascii="Arial" w:hAnsi="Arial" w:cs="Arial"/>
          <w:color w:val="000000"/>
          <w:sz w:val="20"/>
          <w:szCs w:val="20"/>
          <w:lang w:eastAsia="fr-FR"/>
        </w:rPr>
        <w:t>A</w:t>
      </w:r>
      <w:r w:rsidRPr="000D74AA">
        <w:rPr>
          <w:rFonts w:ascii="Arial" w:hAnsi="Arial" w:cs="Arial"/>
          <w:color w:val="000000"/>
          <w:sz w:val="20"/>
          <w:szCs w:val="20"/>
          <w:lang w:eastAsia="fr-FR"/>
        </w:rPr>
        <w:t>ppeler BPCEAPS au 0825 006</w:t>
      </w:r>
      <w:r>
        <w:rPr>
          <w:rFonts w:ascii="Arial" w:hAnsi="Arial" w:cs="Arial"/>
          <w:color w:val="000000"/>
          <w:sz w:val="20"/>
          <w:szCs w:val="20"/>
          <w:lang w:eastAsia="fr-FR"/>
        </w:rPr>
        <w:t> </w:t>
      </w:r>
      <w:r w:rsidRPr="000D74AA">
        <w:rPr>
          <w:rFonts w:ascii="Arial" w:hAnsi="Arial" w:cs="Arial"/>
          <w:color w:val="000000"/>
          <w:sz w:val="20"/>
          <w:szCs w:val="20"/>
          <w:lang w:eastAsia="fr-FR"/>
        </w:rPr>
        <w:t>018</w:t>
      </w:r>
      <w:r>
        <w:rPr>
          <w:rFonts w:ascii="Arial" w:hAnsi="Arial" w:cs="Arial"/>
          <w:color w:val="000000"/>
          <w:sz w:val="20"/>
          <w:szCs w:val="20"/>
          <w:lang w:eastAsia="fr-FR"/>
        </w:rPr>
        <w:t>.</w:t>
      </w:r>
    </w:p>
    <w:p w:rsidR="000D74AA" w:rsidRPr="000D74AA" w:rsidRDefault="000D74AA" w:rsidP="000D74AA">
      <w:pPr>
        <w:pStyle w:val="Paragraphedeliste"/>
        <w:numPr>
          <w:ilvl w:val="0"/>
          <w:numId w:val="2"/>
        </w:numPr>
        <w:jc w:val="both"/>
        <w:rPr>
          <w:rFonts w:ascii="Arial" w:hAnsi="Arial" w:cs="Arial"/>
          <w:color w:val="000000"/>
          <w:sz w:val="20"/>
          <w:szCs w:val="20"/>
          <w:lang w:eastAsia="fr-FR"/>
        </w:rPr>
      </w:pPr>
      <w:r w:rsidRPr="000D74AA">
        <w:rPr>
          <w:rFonts w:ascii="Arial" w:hAnsi="Arial" w:cs="Arial"/>
          <w:color w:val="000000"/>
          <w:sz w:val="20"/>
          <w:szCs w:val="20"/>
          <w:lang w:eastAsia="fr-FR"/>
        </w:rPr>
        <w:t xml:space="preserve">ou </w:t>
      </w:r>
      <w:r>
        <w:rPr>
          <w:rFonts w:ascii="Arial" w:hAnsi="Arial" w:cs="Arial"/>
          <w:color w:val="000000"/>
          <w:sz w:val="20"/>
          <w:szCs w:val="20"/>
          <w:lang w:eastAsia="fr-FR"/>
        </w:rPr>
        <w:t>adresser un</w:t>
      </w:r>
      <w:r w:rsidRPr="000D74AA">
        <w:rPr>
          <w:rFonts w:ascii="Arial" w:hAnsi="Arial" w:cs="Arial"/>
          <w:color w:val="000000"/>
          <w:sz w:val="20"/>
          <w:szCs w:val="20"/>
          <w:lang w:eastAsia="fr-FR"/>
        </w:rPr>
        <w:t xml:space="preserve"> mail à </w:t>
      </w:r>
      <w:hyperlink r:id="rId6" w:history="1">
        <w:r w:rsidRPr="000D74AA">
          <w:rPr>
            <w:rStyle w:val="Lienhypertexte"/>
            <w:rFonts w:ascii="Arial" w:hAnsi="Arial" w:cs="Arial"/>
            <w:sz w:val="20"/>
            <w:szCs w:val="20"/>
            <w:lang w:eastAsia="fr-FR"/>
          </w:rPr>
          <w:t>bpcea-b-iard-dijon@assurances.natixis.com</w:t>
        </w:r>
      </w:hyperlink>
      <w:r w:rsidRPr="000D74AA">
        <w:rPr>
          <w:rFonts w:ascii="Arial" w:hAnsi="Arial" w:cs="Arial"/>
          <w:color w:val="000000"/>
          <w:sz w:val="20"/>
          <w:szCs w:val="20"/>
          <w:lang w:eastAsia="fr-FR"/>
        </w:rPr>
        <w:t xml:space="preserve"> en précisant les références du contrat à résilier.</w:t>
      </w:r>
    </w:p>
    <w:p w:rsidR="000D74AA" w:rsidRDefault="000D74AA" w:rsidP="000D74AA">
      <w:pPr>
        <w:jc w:val="both"/>
        <w:rPr>
          <w:rFonts w:ascii="Arial" w:hAnsi="Arial" w:cs="Arial"/>
          <w:color w:val="000000"/>
          <w:sz w:val="20"/>
          <w:szCs w:val="20"/>
          <w:lang w:eastAsia="fr-FR"/>
        </w:rPr>
      </w:pPr>
    </w:p>
    <w:p w:rsidR="000D74AA" w:rsidRDefault="000D74AA" w:rsidP="000D74AA">
      <w:pPr>
        <w:jc w:val="both"/>
        <w:rPr>
          <w:rFonts w:ascii="Arial" w:hAnsi="Arial" w:cs="Arial"/>
          <w:color w:val="000000"/>
          <w:sz w:val="20"/>
          <w:szCs w:val="20"/>
          <w:lang w:eastAsia="fr-FR"/>
        </w:rPr>
      </w:pPr>
    </w:p>
    <w:p w:rsidR="000D74AA" w:rsidRDefault="000D74AA" w:rsidP="000D74AA">
      <w:pPr>
        <w:jc w:val="both"/>
        <w:rPr>
          <w:rFonts w:ascii="Arial" w:hAnsi="Arial" w:cs="Arial"/>
          <w:color w:val="000000"/>
          <w:sz w:val="20"/>
          <w:szCs w:val="20"/>
          <w:lang w:eastAsia="fr-FR"/>
        </w:rPr>
      </w:pPr>
    </w:p>
    <w:p w:rsidR="000D74AA" w:rsidRDefault="000D74AA" w:rsidP="000D74AA">
      <w:pPr>
        <w:jc w:val="both"/>
        <w:rPr>
          <w:rFonts w:ascii="Arial" w:hAnsi="Arial" w:cs="Arial"/>
          <w:b/>
          <w:color w:val="000000"/>
          <w:sz w:val="20"/>
          <w:szCs w:val="20"/>
          <w:lang w:eastAsia="fr-FR"/>
        </w:rPr>
      </w:pPr>
      <w:r w:rsidRPr="000D74AA">
        <w:rPr>
          <w:rFonts w:ascii="Arial" w:hAnsi="Arial" w:cs="Arial"/>
          <w:b/>
          <w:color w:val="000000"/>
          <w:sz w:val="20"/>
          <w:szCs w:val="20"/>
          <w:lang w:eastAsia="fr-FR"/>
        </w:rPr>
        <w:t>Pour GAV</w:t>
      </w:r>
      <w:r>
        <w:rPr>
          <w:rFonts w:ascii="Arial" w:hAnsi="Arial" w:cs="Arial"/>
          <w:b/>
          <w:color w:val="000000"/>
          <w:sz w:val="20"/>
          <w:szCs w:val="20"/>
          <w:lang w:eastAsia="fr-FR"/>
        </w:rPr>
        <w:t> :</w:t>
      </w:r>
    </w:p>
    <w:p w:rsidR="000D74AA" w:rsidRDefault="000D74AA" w:rsidP="000D74AA">
      <w:pPr>
        <w:jc w:val="both"/>
        <w:rPr>
          <w:rFonts w:ascii="Arial" w:hAnsi="Arial" w:cs="Arial"/>
          <w:color w:val="000000"/>
          <w:sz w:val="20"/>
          <w:szCs w:val="20"/>
          <w:lang w:eastAsia="fr-FR"/>
        </w:rPr>
      </w:pPr>
      <w:r>
        <w:rPr>
          <w:rFonts w:ascii="Arial" w:hAnsi="Arial" w:cs="Arial"/>
          <w:color w:val="000000"/>
          <w:sz w:val="20"/>
          <w:szCs w:val="20"/>
          <w:lang w:eastAsia="fr-FR"/>
        </w:rPr>
        <w:t>L</w:t>
      </w:r>
      <w:r w:rsidRPr="000D74AA">
        <w:rPr>
          <w:rFonts w:ascii="Arial" w:hAnsi="Arial" w:cs="Arial"/>
          <w:color w:val="000000"/>
          <w:sz w:val="20"/>
          <w:szCs w:val="20"/>
          <w:lang w:eastAsia="fr-FR"/>
        </w:rPr>
        <w:t xml:space="preserve">es modifications d’offres doivent être effectuées par </w:t>
      </w:r>
      <w:r w:rsidRPr="000D74AA">
        <w:rPr>
          <w:rFonts w:ascii="Arial" w:hAnsi="Arial" w:cs="Arial"/>
          <w:b/>
          <w:color w:val="000000"/>
          <w:sz w:val="20"/>
          <w:szCs w:val="20"/>
          <w:lang w:eastAsia="fr-FR"/>
        </w:rPr>
        <w:t>« Avenant »</w:t>
      </w:r>
      <w:r w:rsidRPr="000D74AA">
        <w:rPr>
          <w:rFonts w:ascii="Arial" w:hAnsi="Arial" w:cs="Arial"/>
          <w:color w:val="000000"/>
          <w:sz w:val="20"/>
          <w:szCs w:val="20"/>
          <w:lang w:eastAsia="fr-FR"/>
        </w:rPr>
        <w:t xml:space="preserve"> et non par « Affaire nouvelle ». En cas de saisie d’une affaire nouvelle, une demande de résiliation signée par le titulaire de l’ancien contrat doit être transmise à BPCEAPS soit</w:t>
      </w:r>
      <w:r>
        <w:rPr>
          <w:rFonts w:ascii="Arial" w:hAnsi="Arial" w:cs="Arial"/>
          <w:color w:val="000000"/>
          <w:sz w:val="20"/>
          <w:szCs w:val="20"/>
          <w:lang w:eastAsia="fr-FR"/>
        </w:rPr>
        <w:t> :</w:t>
      </w:r>
    </w:p>
    <w:p w:rsidR="000D74AA" w:rsidRPr="000D74AA" w:rsidRDefault="000D74AA" w:rsidP="000D74AA">
      <w:pPr>
        <w:pStyle w:val="Paragraphedeliste"/>
        <w:numPr>
          <w:ilvl w:val="0"/>
          <w:numId w:val="2"/>
        </w:numPr>
        <w:jc w:val="both"/>
        <w:rPr>
          <w:rFonts w:ascii="Arial" w:hAnsi="Arial" w:cs="Arial"/>
        </w:rPr>
      </w:pPr>
      <w:r w:rsidRPr="000D74AA">
        <w:rPr>
          <w:rFonts w:ascii="Arial" w:hAnsi="Arial" w:cs="Arial"/>
          <w:color w:val="000000"/>
          <w:sz w:val="20"/>
          <w:szCs w:val="20"/>
          <w:lang w:eastAsia="fr-FR"/>
        </w:rPr>
        <w:t xml:space="preserve">par mail </w:t>
      </w:r>
      <w:hyperlink r:id="rId7" w:history="1">
        <w:r w:rsidRPr="000D74AA">
          <w:rPr>
            <w:rStyle w:val="Lienhypertexte"/>
            <w:rFonts w:ascii="Arial" w:hAnsi="Arial" w:cs="Arial"/>
            <w:sz w:val="20"/>
            <w:szCs w:val="20"/>
            <w:lang w:eastAsia="fr-FR"/>
          </w:rPr>
          <w:t>bpcea-b-iard-dijon@assurances.natixis.com</w:t>
        </w:r>
      </w:hyperlink>
      <w:r w:rsidRPr="000D74AA">
        <w:rPr>
          <w:rFonts w:ascii="Arial" w:hAnsi="Arial" w:cs="Arial"/>
          <w:color w:val="000000"/>
          <w:sz w:val="20"/>
          <w:szCs w:val="20"/>
          <w:lang w:eastAsia="fr-FR"/>
        </w:rPr>
        <w:t xml:space="preserve"> </w:t>
      </w:r>
    </w:p>
    <w:p w:rsidR="00571A0E" w:rsidRPr="000D74AA" w:rsidRDefault="000D74AA" w:rsidP="000D74AA">
      <w:pPr>
        <w:pStyle w:val="Paragraphedeliste"/>
        <w:numPr>
          <w:ilvl w:val="0"/>
          <w:numId w:val="2"/>
        </w:numPr>
        <w:jc w:val="both"/>
        <w:rPr>
          <w:rFonts w:ascii="Arial" w:hAnsi="Arial" w:cs="Arial"/>
        </w:rPr>
      </w:pPr>
      <w:r w:rsidRPr="000D74AA">
        <w:rPr>
          <w:rFonts w:ascii="Arial" w:hAnsi="Arial" w:cs="Arial"/>
          <w:color w:val="000000"/>
          <w:sz w:val="20"/>
          <w:szCs w:val="20"/>
          <w:lang w:eastAsia="fr-FR"/>
        </w:rPr>
        <w:t>par courrier à BPCE APS - 22A bd. Winston Churchill - BP 77828 - 21078 Dijon Cedex</w:t>
      </w:r>
    </w:p>
    <w:p w:rsidR="000D74AA" w:rsidRDefault="000D74AA" w:rsidP="000D74AA">
      <w:pPr>
        <w:jc w:val="both"/>
        <w:rPr>
          <w:rFonts w:ascii="Arial" w:hAnsi="Arial" w:cs="Arial"/>
        </w:rPr>
      </w:pPr>
    </w:p>
    <w:p w:rsidR="000D74AA" w:rsidRDefault="000D74AA" w:rsidP="000D74AA">
      <w:pPr>
        <w:jc w:val="both"/>
        <w:rPr>
          <w:rFonts w:ascii="Arial" w:hAnsi="Arial" w:cs="Arial"/>
        </w:rPr>
      </w:pPr>
    </w:p>
    <w:p w:rsidR="000D74AA" w:rsidRDefault="000D74AA" w:rsidP="000D74AA">
      <w:pPr>
        <w:jc w:val="both"/>
        <w:rPr>
          <w:rFonts w:ascii="Arial" w:hAnsi="Arial" w:cs="Arial"/>
        </w:rPr>
      </w:pPr>
    </w:p>
    <w:p w:rsidR="000D74AA" w:rsidRPr="000D74AA" w:rsidRDefault="000D74AA" w:rsidP="000D74AA">
      <w:pPr>
        <w:jc w:val="both"/>
        <w:rPr>
          <w:rFonts w:ascii="Arial" w:hAnsi="Arial" w:cs="Arial"/>
        </w:rPr>
      </w:pPr>
      <w:bookmarkStart w:id="0" w:name="_GoBack"/>
      <w:bookmarkEnd w:id="0"/>
    </w:p>
    <w:sectPr w:rsidR="000D74AA" w:rsidRPr="000D74A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Black">
    <w:panose1 w:val="020B0A040201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4669BC"/>
    <w:multiLevelType w:val="hybridMultilevel"/>
    <w:tmpl w:val="18CEFEC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trike w:val="0"/>
        <w:dstrike w:val="0"/>
        <w:color w:val="000000"/>
        <w:sz w:val="20"/>
        <w:szCs w:val="20"/>
        <w:u w:val="none"/>
        <w:effect w:val="none"/>
      </w:rPr>
    </w:lvl>
    <w:lvl w:ilvl="1" w:tplc="ACAAA6DA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  <w:color w:val="000000"/>
      </w:rPr>
    </w:lvl>
    <w:lvl w:ilvl="2" w:tplc="43A8F3B0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  <w:color w:val="000000"/>
      </w:rPr>
    </w:lvl>
    <w:lvl w:ilvl="3" w:tplc="C7AE0D6E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000000"/>
      </w:rPr>
    </w:lvl>
    <w:lvl w:ilvl="4" w:tplc="040C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7982427F"/>
    <w:multiLevelType w:val="hybridMultilevel"/>
    <w:tmpl w:val="D6B80E4A"/>
    <w:lvl w:ilvl="0" w:tplc="9662DC3E">
      <w:numFmt w:val="bullet"/>
      <w:lvlText w:val=""/>
      <w:lvlJc w:val="left"/>
      <w:pPr>
        <w:ind w:left="720" w:hanging="360"/>
      </w:pPr>
      <w:rPr>
        <w:rFonts w:ascii="Wingdings" w:eastAsia="Calibri" w:hAnsi="Wingdings" w:cs="Aria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74AA"/>
    <w:rsid w:val="000D74AA"/>
    <w:rsid w:val="00C24560"/>
    <w:rsid w:val="00D66F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74AA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0D74AA"/>
    <w:rPr>
      <w:color w:val="0000FF" w:themeColor="hyperlink"/>
      <w:u w:val="single"/>
    </w:rPr>
  </w:style>
  <w:style w:type="character" w:customStyle="1" w:styleId="ParagraphedelisteCar">
    <w:name w:val="Paragraphe de liste Car"/>
    <w:aliases w:val="List Car,Liste1 Car,Liste11 Car,Bullet Number Car,Liste à puce - Normal Car,lp1 Car,Texte-Nelite Car,normal Car,List Paragraph11 Car,Paragraphe de liste2 Car"/>
    <w:basedOn w:val="Policepardfaut"/>
    <w:link w:val="Paragraphedeliste"/>
    <w:uiPriority w:val="34"/>
    <w:locked/>
    <w:rsid w:val="000D74AA"/>
    <w:rPr>
      <w:rFonts w:ascii="Calibri" w:hAnsi="Calibri" w:cs="Calibri"/>
    </w:rPr>
  </w:style>
  <w:style w:type="paragraph" w:styleId="Paragraphedeliste">
    <w:name w:val="List Paragraph"/>
    <w:aliases w:val="List,Liste1,Liste11,Bullet Number,Liste à puce - Normal,lp1,Texte-Nelite,normal,List Paragraph11,Paragraphe de liste2"/>
    <w:basedOn w:val="Normal"/>
    <w:link w:val="ParagraphedelisteCar"/>
    <w:uiPriority w:val="34"/>
    <w:qFormat/>
    <w:rsid w:val="000D74AA"/>
    <w:pPr>
      <w:ind w:left="720"/>
    </w:pPr>
    <w:rPr>
      <w:rFonts w:eastAsiaTheme="minorHAnsi" w:cs="Calibri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74AA"/>
    <w:pPr>
      <w:spacing w:after="0" w:line="240" w:lineRule="auto"/>
    </w:pPr>
    <w:rPr>
      <w:rFonts w:ascii="Calibri" w:eastAsia="Calibri" w:hAnsi="Calibri" w:cs="Times New Roman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styleId="Lienhypertexte">
    <w:name w:val="Hyperlink"/>
    <w:basedOn w:val="Policepardfaut"/>
    <w:uiPriority w:val="99"/>
    <w:semiHidden/>
    <w:unhideWhenUsed/>
    <w:rsid w:val="000D74AA"/>
    <w:rPr>
      <w:color w:val="0000FF" w:themeColor="hyperlink"/>
      <w:u w:val="single"/>
    </w:rPr>
  </w:style>
  <w:style w:type="character" w:customStyle="1" w:styleId="ParagraphedelisteCar">
    <w:name w:val="Paragraphe de liste Car"/>
    <w:aliases w:val="List Car,Liste1 Car,Liste11 Car,Bullet Number Car,Liste à puce - Normal Car,lp1 Car,Texte-Nelite Car,normal Car,List Paragraph11 Car,Paragraphe de liste2 Car"/>
    <w:basedOn w:val="Policepardfaut"/>
    <w:link w:val="Paragraphedeliste"/>
    <w:uiPriority w:val="34"/>
    <w:locked/>
    <w:rsid w:val="000D74AA"/>
    <w:rPr>
      <w:rFonts w:ascii="Calibri" w:hAnsi="Calibri" w:cs="Calibri"/>
    </w:rPr>
  </w:style>
  <w:style w:type="paragraph" w:styleId="Paragraphedeliste">
    <w:name w:val="List Paragraph"/>
    <w:aliases w:val="List,Liste1,Liste11,Bullet Number,Liste à puce - Normal,lp1,Texte-Nelite,normal,List Paragraph11,Paragraphe de liste2"/>
    <w:basedOn w:val="Normal"/>
    <w:link w:val="ParagraphedelisteCar"/>
    <w:uiPriority w:val="34"/>
    <w:qFormat/>
    <w:rsid w:val="000D74AA"/>
    <w:pPr>
      <w:ind w:left="720"/>
    </w:pPr>
    <w:rPr>
      <w:rFonts w:eastAsiaTheme="minorHAns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61808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mailto:bpcea-b-iard-dijon@assurances.natixis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bpcea-b-iard-dijon@assurances.natixis.com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114</Words>
  <Characters>629</Characters>
  <Application>Microsoft Office Word</Application>
  <DocSecurity>0</DocSecurity>
  <Lines>5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GCE Tech</Company>
  <LinksUpToDate>false</LinksUpToDate>
  <CharactersWithSpaces>742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a5700384</dc:creator>
  <cp:lastModifiedBy>a5700384</cp:lastModifiedBy>
  <cp:revision>1</cp:revision>
  <dcterms:created xsi:type="dcterms:W3CDTF">2017-06-23T12:15:00Z</dcterms:created>
  <dcterms:modified xsi:type="dcterms:W3CDTF">2017-06-23T12:20:00Z</dcterms:modified>
</cp:coreProperties>
</file>