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B54" w:rsidRPr="00623B54" w:rsidRDefault="00623B54" w:rsidP="00623B54">
      <w:pPr>
        <w:shd w:val="clear" w:color="auto" w:fill="FFFFFF"/>
        <w:spacing w:after="0" w:line="270" w:lineRule="atLeast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imes New Roman" w:eastAsia="Times New Roman" w:hAnsi="Times New Roman" w:cs="Times New Roman"/>
          <w:sz w:val="24"/>
          <w:szCs w:val="24"/>
          <w:lang w:eastAsia="fr-FR"/>
        </w:rPr>
        <w:pict/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shd w:val="clear" w:color="auto" w:fill="1C5FA0"/>
          <w:lang w:eastAsia="fr-FR"/>
        </w:rPr>
        <w:t>Adhésion à un contrat PREVOYANCE PRO (WebAssur)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1"/>
        <w:gridCol w:w="4677"/>
      </w:tblGrid>
      <w:tr w:rsidR="00623B54" w:rsidRPr="00623B54" w:rsidTr="00623B54">
        <w:trPr>
          <w:tblCellSpacing w:w="15" w:type="dxa"/>
        </w:trPr>
        <w:tc>
          <w:tcPr>
            <w:tcW w:w="0" w:type="auto"/>
            <w:tcBorders>
              <w:top w:val="single" w:sz="6" w:space="0" w:color="A7A7A7"/>
              <w:left w:val="single" w:sz="6" w:space="0" w:color="A7A7A7"/>
              <w:bottom w:val="single" w:sz="6" w:space="0" w:color="A7A7A7"/>
              <w:right w:val="single" w:sz="6" w:space="0" w:color="A7A7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3B54" w:rsidRPr="00623B54" w:rsidRDefault="00623B54" w:rsidP="00623B54">
            <w:pPr>
              <w:spacing w:after="0" w:line="270" w:lineRule="atLeast"/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</w:pPr>
            <w:r w:rsidRPr="00623B54"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  <w:t>Domaine de Processus</w:t>
            </w:r>
          </w:p>
        </w:tc>
        <w:tc>
          <w:tcPr>
            <w:tcW w:w="0" w:type="auto"/>
            <w:tcBorders>
              <w:top w:val="single" w:sz="6" w:space="0" w:color="A7A7A7"/>
              <w:left w:val="single" w:sz="6" w:space="0" w:color="A7A7A7"/>
              <w:bottom w:val="single" w:sz="6" w:space="0" w:color="A7A7A7"/>
              <w:right w:val="single" w:sz="6" w:space="0" w:color="A7A7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3B54" w:rsidRPr="00623B54" w:rsidRDefault="00623B54" w:rsidP="00623B54">
            <w:pPr>
              <w:spacing w:after="0" w:line="270" w:lineRule="atLeast"/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</w:pPr>
            <w:r w:rsidRPr="00623B54"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  <w:t>Adhésion à un contrat PREVOYANCE PRO (WebAssur)</w:t>
            </w:r>
          </w:p>
        </w:tc>
      </w:tr>
      <w:tr w:rsidR="00623B54" w:rsidRPr="00623B54" w:rsidTr="00623B54">
        <w:trPr>
          <w:tblCellSpacing w:w="15" w:type="dxa"/>
        </w:trPr>
        <w:tc>
          <w:tcPr>
            <w:tcW w:w="0" w:type="auto"/>
            <w:tcBorders>
              <w:top w:val="single" w:sz="6" w:space="0" w:color="A7A7A7"/>
              <w:left w:val="single" w:sz="6" w:space="0" w:color="A7A7A7"/>
              <w:bottom w:val="single" w:sz="6" w:space="0" w:color="A7A7A7"/>
              <w:right w:val="single" w:sz="6" w:space="0" w:color="A7A7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3B54" w:rsidRPr="00623B54" w:rsidRDefault="00623B54" w:rsidP="00623B54">
            <w:pPr>
              <w:spacing w:after="0" w:line="270" w:lineRule="atLeast"/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</w:pPr>
            <w:r w:rsidRPr="00623B54"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  <w:t>Macro Processus</w:t>
            </w:r>
          </w:p>
        </w:tc>
        <w:tc>
          <w:tcPr>
            <w:tcW w:w="0" w:type="auto"/>
            <w:tcBorders>
              <w:top w:val="single" w:sz="6" w:space="0" w:color="A7A7A7"/>
              <w:left w:val="single" w:sz="6" w:space="0" w:color="A7A7A7"/>
              <w:bottom w:val="single" w:sz="6" w:space="0" w:color="A7A7A7"/>
              <w:right w:val="single" w:sz="6" w:space="0" w:color="A7A7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3B54" w:rsidRPr="00623B54" w:rsidRDefault="00623B54" w:rsidP="00623B54">
            <w:pPr>
              <w:spacing w:after="0" w:line="270" w:lineRule="atLeast"/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</w:pPr>
          </w:p>
        </w:tc>
      </w:tr>
      <w:tr w:rsidR="00623B54" w:rsidRPr="00623B54" w:rsidTr="00623B54">
        <w:trPr>
          <w:tblCellSpacing w:w="15" w:type="dxa"/>
        </w:trPr>
        <w:tc>
          <w:tcPr>
            <w:tcW w:w="0" w:type="auto"/>
            <w:tcBorders>
              <w:top w:val="single" w:sz="6" w:space="0" w:color="A7A7A7"/>
              <w:left w:val="single" w:sz="6" w:space="0" w:color="A7A7A7"/>
              <w:bottom w:val="single" w:sz="6" w:space="0" w:color="A7A7A7"/>
              <w:right w:val="single" w:sz="6" w:space="0" w:color="A7A7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3B54" w:rsidRPr="00623B54" w:rsidRDefault="00623B54" w:rsidP="00623B54">
            <w:pPr>
              <w:spacing w:after="0" w:line="270" w:lineRule="atLeast"/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</w:pPr>
            <w:r w:rsidRPr="00623B54"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  <w:t>Processus</w:t>
            </w:r>
          </w:p>
        </w:tc>
        <w:tc>
          <w:tcPr>
            <w:tcW w:w="0" w:type="auto"/>
            <w:tcBorders>
              <w:top w:val="single" w:sz="6" w:space="0" w:color="A7A7A7"/>
              <w:left w:val="single" w:sz="6" w:space="0" w:color="A7A7A7"/>
              <w:bottom w:val="single" w:sz="6" w:space="0" w:color="A7A7A7"/>
              <w:right w:val="single" w:sz="6" w:space="0" w:color="A7A7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23B54" w:rsidRPr="00623B54" w:rsidRDefault="00623B54" w:rsidP="00623B54">
            <w:pPr>
              <w:spacing w:after="0" w:line="270" w:lineRule="atLeast"/>
              <w:rPr>
                <w:rFonts w:ascii="Trebuchet MS" w:eastAsia="Times New Roman" w:hAnsi="Trebuchet MS" w:cs="Helvetica"/>
                <w:color w:val="000000"/>
                <w:sz w:val="19"/>
                <w:szCs w:val="19"/>
                <w:lang w:eastAsia="fr-FR"/>
              </w:rPr>
            </w:pPr>
          </w:p>
        </w:tc>
      </w:tr>
    </w:tbl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Sommaire</w:t>
      </w:r>
    </w:p>
    <w:p w:rsidR="00623B54" w:rsidRPr="00623B54" w:rsidRDefault="00623B54" w:rsidP="00623B54">
      <w:pPr>
        <w:numPr>
          <w:ilvl w:val="0"/>
          <w:numId w:val="1"/>
        </w:numPr>
        <w:shd w:val="clear" w:color="auto" w:fill="FFFFFF"/>
        <w:spacing w:after="0" w:line="405" w:lineRule="atLeast"/>
        <w:ind w:left="375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SELECTION DE L'OPERATION</w:t>
      </w:r>
    </w:p>
    <w:p w:rsidR="00623B54" w:rsidRPr="00623B54" w:rsidRDefault="00623B54" w:rsidP="00623B54">
      <w:pPr>
        <w:numPr>
          <w:ilvl w:val="0"/>
          <w:numId w:val="1"/>
        </w:numPr>
        <w:shd w:val="clear" w:color="auto" w:fill="FFFFFF"/>
        <w:spacing w:after="0" w:line="405" w:lineRule="atLeast"/>
        <w:ind w:left="375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SAISIE DE L'ADHESION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INFORMATION AGENCE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CADRE FISCAL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INFORMATION ASSURE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CHOIX DES GARANTIES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COTISATIONS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PRELEVEMENT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BENEFICIAIRES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SITUATION ASSURANCE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FORMALITES MEDICALES</w:t>
      </w:r>
    </w:p>
    <w:p w:rsidR="00623B54" w:rsidRPr="00623B54" w:rsidRDefault="00623B54" w:rsidP="00623B54">
      <w:pPr>
        <w:numPr>
          <w:ilvl w:val="1"/>
          <w:numId w:val="1"/>
        </w:numPr>
        <w:shd w:val="clear" w:color="auto" w:fill="FFFFFF"/>
        <w:spacing w:after="0" w:line="405" w:lineRule="atLeast"/>
        <w:ind w:left="750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>RECAPITULATIF</w:t>
      </w:r>
    </w:p>
    <w:p w:rsidR="00623B54" w:rsidRDefault="00623B54">
      <w:pPr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br w:type="page"/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lastRenderedPageBreak/>
        <w:t>Présentation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Ce mode opératoire couvre le traitement des demandes d’adhésion, réalisées par les conseillers via WebAssur: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- Adhésion avec clause bénéficiaire en rédaction libre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- Adhésion pour le conjoint collaborateur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- Adhésion en cas d'indisponibilité de l'outil MyAssur</w:t>
      </w:r>
    </w:p>
    <w:p w:rsidR="00623B54" w:rsidRPr="00623B54" w:rsidRDefault="00623B54" w:rsidP="00623B54">
      <w:pPr>
        <w:shd w:val="clear" w:color="auto" w:fill="FFFFFF"/>
        <w:spacing w:after="0" w:line="270" w:lineRule="atLeast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 xml:space="preserve">SELECTION DE L'OPERATION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476C4AA8" wp14:editId="3C4405B0">
            <wp:extent cx="3706015" cy="2619375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8126" cy="2635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Toutes les informations précédées de « * » doivent être obligatoirement saisies.</w:t>
      </w:r>
    </w:p>
    <w:p w:rsidR="00623B54" w:rsidRPr="00623B54" w:rsidRDefault="00623B54" w:rsidP="00623B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La donnée Etablissement est pré-alimentée. Une liste déroulante propose la liste de tous les établissements.</w:t>
      </w:r>
    </w:p>
    <w:p w:rsidR="00623B54" w:rsidRPr="00623B54" w:rsidRDefault="00623B54" w:rsidP="002C2D71">
      <w:pPr>
        <w:numPr>
          <w:ilvl w:val="0"/>
          <w:numId w:val="2"/>
        </w:numPr>
        <w:shd w:val="clear" w:color="auto" w:fill="FFFFFF"/>
        <w:spacing w:before="100" w:beforeAutospacing="1" w:after="135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Indiquer le code agence via la liste disponible et contextualisée.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br/>
        <w:t>Une aide à la saisie est proposée (saisie intuitive). La saisie de quelques caractères (numériques ou alpha) fait apparaître les valeurs correspondantes. </w:t>
      </w: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Indiquer les informations du conseiller : Nom, Prénom, Identifiant, Lieu de saisie. </w:t>
      </w:r>
    </w:p>
    <w:p w:rsidR="00623B54" w:rsidRPr="00623B54" w:rsidRDefault="00623B54" w:rsidP="00623B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 Suivant » pour poursuivre la saisie. 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>
        <w:rPr>
          <w:noProof/>
          <w:lang w:eastAsia="fr-FR"/>
        </w:rPr>
        <w:drawing>
          <wp:inline distT="0" distB="0" distL="0" distR="0" wp14:anchorId="511B486B" wp14:editId="3BEB04ED">
            <wp:extent cx="4057650" cy="269034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7471" cy="269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623B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Choisir l’opération à effectuer.</w:t>
      </w:r>
    </w:p>
    <w:p w:rsidR="00623B54" w:rsidRPr="00623B54" w:rsidRDefault="00623B54" w:rsidP="00623B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Les sous menus « Choix du produit » et « Choix de l’acte de gestion » s’affichent avec les informations pré-alimentées par défaut. Celles-ci peuvent être modifiées selon la liste de valeurs disponibles.</w:t>
      </w:r>
    </w:p>
    <w:p w:rsidR="00623B54" w:rsidRPr="00623B54" w:rsidRDefault="00623B54" w:rsidP="00623B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Vérifier la </w:t>
      </w:r>
      <w:r w:rsidRPr="00623B54">
        <w:rPr>
          <w:rFonts w:ascii="Trebuchet MS" w:eastAsia="Times New Roman" w:hAnsi="Trebuchet MS" w:cs="Helvetica"/>
          <w:b/>
          <w:bCs/>
          <w:color w:val="000000"/>
          <w:sz w:val="19"/>
          <w:szCs w:val="19"/>
          <w:lang w:eastAsia="fr-FR"/>
        </w:rPr>
        <w:t>gamme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 produit, le </w:t>
      </w:r>
      <w:r w:rsidRPr="00623B54">
        <w:rPr>
          <w:rFonts w:ascii="Trebuchet MS" w:eastAsia="Times New Roman" w:hAnsi="Trebuchet MS" w:cs="Helvetica"/>
          <w:b/>
          <w:bCs/>
          <w:color w:val="000000"/>
          <w:sz w:val="19"/>
          <w:szCs w:val="19"/>
          <w:lang w:eastAsia="fr-FR"/>
        </w:rPr>
        <w:t>produit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 souhaité (Madelein ou non Madelin) et </w:t>
      </w:r>
      <w:r w:rsidRPr="00623B54">
        <w:rPr>
          <w:rFonts w:ascii="Trebuchet MS" w:eastAsia="Times New Roman" w:hAnsi="Trebuchet MS" w:cs="Helvetica"/>
          <w:b/>
          <w:bCs/>
          <w:color w:val="000000"/>
          <w:sz w:val="19"/>
          <w:szCs w:val="19"/>
          <w:lang w:eastAsia="fr-FR"/>
        </w:rPr>
        <w:t>l’acte 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souhaité.</w:t>
      </w:r>
    </w:p>
    <w:p w:rsidR="00623B54" w:rsidRPr="00623B54" w:rsidRDefault="00623B54" w:rsidP="00623B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« Précédent » pour retourner à l’étape précédente et modifier la saisie.</w:t>
      </w:r>
    </w:p>
    <w:p w:rsidR="00623B54" w:rsidRPr="00623B54" w:rsidRDefault="00623B54" w:rsidP="00623B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 Suivant » pour poursuivre la saisie de l’opération.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b/>
          <w:bCs/>
          <w:color w:val="000000"/>
          <w:sz w:val="17"/>
          <w:szCs w:val="17"/>
          <w:lang w:eastAsia="fr-FR"/>
        </w:rPr>
        <w:t>Bon à savoir</w:t>
      </w: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: La génération du formulaire vierge correspondant à la gamme, au produit et à l’acte de gestion définis, peut être effectuée au clic sur le bouton « Formulaire vierge », pour une saisie manuelle.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 </w:t>
      </w:r>
    </w:p>
    <w:p w:rsidR="00623B54" w:rsidRPr="00623B54" w:rsidRDefault="00623B54" w:rsidP="00623B54">
      <w:pPr>
        <w:shd w:val="clear" w:color="auto" w:fill="FFFFFF"/>
        <w:spacing w:after="0" w:line="270" w:lineRule="atLeast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 xml:space="preserve">SAISIE DE L'ADHESION </w:t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INFORMATION AGENCE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>
        <w:rPr>
          <w:noProof/>
          <w:lang w:eastAsia="fr-FR"/>
        </w:rPr>
        <w:drawing>
          <wp:inline distT="0" distB="0" distL="0" distR="0" wp14:anchorId="07BED076" wp14:editId="18DF9A33">
            <wp:extent cx="5760720" cy="2948940"/>
            <wp:effectExtent l="0" t="0" r="0" b="381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Vérifier les informations du conseiller.</w:t>
      </w:r>
    </w:p>
    <w:p w:rsidR="00623B54" w:rsidRPr="00623B54" w:rsidRDefault="00623B54" w:rsidP="00623B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le « Lieu de saisie ».  Il est pré-alimenté de l’information saisie lors de l’identification de ce dernier. La donnée peut être modifiée.</w:t>
      </w:r>
    </w:p>
    <w:p w:rsidR="00623B54" w:rsidRPr="00623B54" w:rsidRDefault="00623B54" w:rsidP="00623B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Spécifier le type de vente pour savoir s’il s’agit d’une simulation ou de la réalisation d’un acte de production avec le canal de distribution « Vente à distance » ou « Face à face »</w:t>
      </w:r>
    </w:p>
    <w:p w:rsidR="00623B54" w:rsidRPr="00623B54" w:rsidRDefault="00623B54" w:rsidP="00623B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En cas d’informations erronées, cliquer sur « Abandonner ».</w:t>
      </w:r>
    </w:p>
    <w:p w:rsidR="00623B54" w:rsidRPr="00623B54" w:rsidRDefault="00623B54" w:rsidP="00623B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 Suivant » pour poursuivre l’adhésion.</w:t>
      </w:r>
    </w:p>
    <w:p w:rsidR="00623B54" w:rsidRPr="00623B54" w:rsidRDefault="00623B54" w:rsidP="00623B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Le bouton « Abandonner » annule l’opération en cours et permet de revenir à l’étape de « Sélection de l’opération ». La saisie en cours ne sera pas sauvegardée.</w:t>
      </w: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CADRE FISCAL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59D1B2F0" wp14:editId="100D7181">
            <wp:extent cx="5760720" cy="2124075"/>
            <wp:effectExtent l="0" t="0" r="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Le cadre fiscal du contrat ( Madelin ou Non Madelin) est précoché sur cet écran selon le produit choisi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 </w:t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INFORMATION ASSURE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>
        <w:rPr>
          <w:noProof/>
          <w:lang w:eastAsia="fr-FR"/>
        </w:rPr>
        <w:drawing>
          <wp:inline distT="0" distB="0" distL="0" distR="0" wp14:anchorId="6CAE7C58" wp14:editId="744430BB">
            <wp:extent cx="5760720" cy="583501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3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b/>
          <w:bCs/>
          <w:color w:val="000000"/>
          <w:sz w:val="17"/>
          <w:szCs w:val="17"/>
          <w:lang w:eastAsia="fr-FR"/>
        </w:rPr>
        <w:t>Détails sur l’adhérent</w:t>
      </w:r>
    </w:p>
    <w:p w:rsidR="00623B54" w:rsidRPr="00623B54" w:rsidRDefault="00623B54" w:rsidP="00623B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Saisir les informations de l’adhérent.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Attention particulière lors de la saisie des champs suivants :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Numéro de personne : Information essentielle à l’identification univoque du client.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Civilité : l’information est pré-alimentée et peut être modifiée via la liste déroulante.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Date de naissance : le format autorisé est JJ/MM/AAAA,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Code postal : le format autorisé est de 5 caractères numériques.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Situation de famille : l’information est pré-alimentée et peut être modifiée par les valeurs disponibles via la liste déroulante.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Qualité de l’assuré : adhérent ou conjoint collaborateur.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Activité/Catégorie, Profession, code NAF, groupe professionnel, date de création, revenu, dividendes, charges fixes : éléments à renseigner selon les informations résultantt de la simulation</w:t>
      </w:r>
    </w:p>
    <w:p w:rsidR="00623B54" w:rsidRPr="00623B54" w:rsidRDefault="00623B54" w:rsidP="00623B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 xml:space="preserve">Mois d’arrêté : à renseigner uniquement si le contrat est éligible au dispositif Madelin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ind w:left="375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b/>
          <w:bCs/>
          <w:color w:val="000000"/>
          <w:sz w:val="17"/>
          <w:szCs w:val="17"/>
          <w:lang w:eastAsia="fr-FR"/>
        </w:rPr>
        <w:t xml:space="preserve">Associations :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27C43906" wp14:editId="7A4E4537">
            <wp:extent cx="5760720" cy="208153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Saisir si l’Assuré a déjà adhéré à l’association paritaire APER (uniquement si le contrat est éligible au dispositif Madelin)</w:t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CHOIX DES GARANTIES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>
        <w:rPr>
          <w:noProof/>
          <w:lang w:eastAsia="fr-FR"/>
        </w:rPr>
        <w:drawing>
          <wp:inline distT="0" distB="0" distL="0" distR="0" wp14:anchorId="67DFDF69" wp14:editId="717657A0">
            <wp:extent cx="5760720" cy="385191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623B5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Selection le mode de versement des prestations décès / PTIA choisi par l’Assuré   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1057C052" wp14:editId="2B5B6973">
            <wp:extent cx="5760720" cy="3920490"/>
            <wp:effectExtent l="0" t="0" r="0" b="381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Cocher la formule choisie par l'adhérent (Inital, Confort ou Optimal).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>
        <w:rPr>
          <w:noProof/>
          <w:lang w:eastAsia="fr-FR"/>
        </w:rPr>
        <w:drawing>
          <wp:inline distT="0" distB="0" distL="0" distR="0" wp14:anchorId="467786B2" wp14:editId="5D04D7DF">
            <wp:extent cx="5760720" cy="4625975"/>
            <wp:effectExtent l="0" t="0" r="0" b="317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2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le montant du capital en cas de décès (minium de 500 € et sans limite maximum, par tranche de 100 €).</w:t>
      </w:r>
    </w:p>
    <w:p w:rsidR="00623B54" w:rsidRPr="00623B54" w:rsidRDefault="00623B54" w:rsidP="00623B54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color w:val="000000"/>
          <w:highlight w:val="yellow"/>
        </w:rPr>
        <w:t>Renseigner le montant de la garantie Décès/PTIA, selon le cas : en capital (minimum de 25 000€ par tranche de 5 000€) ou rente (minimum de</w:t>
      </w:r>
      <w:r w:rsidRPr="00623B54">
        <w:rPr>
          <w:color w:val="000000"/>
          <w:highlight w:val="yellow"/>
        </w:rPr>
        <w:br/>
        <w:t>500€ par tranche de 100€)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br/>
        <w:t>Si le montant est supérieur à 1 000 000 € (en capital ou 20 000€ en rente), le Questionnaire Technique et Financier doit être renseigné par le client (il est édité avec la liasse contractuelle).</w:t>
      </w:r>
    </w:p>
    <w:p w:rsidR="00623B54" w:rsidRPr="00623B54" w:rsidRDefault="00623B54" w:rsidP="00623B54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Cocher la case correspondante si le client souhaite ajouter des options à la formule choisie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Cliquer sur « Suivant » pour poursuivre l’adhésion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COTISATIONS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>
        <w:rPr>
          <w:noProof/>
          <w:lang w:eastAsia="fr-FR"/>
        </w:rPr>
        <w:drawing>
          <wp:inline distT="0" distB="0" distL="0" distR="0" wp14:anchorId="0CE87FE9" wp14:editId="62C6F1AF">
            <wp:extent cx="5760720" cy="4645025"/>
            <wp:effectExtent l="0" t="0" r="0" b="317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4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le montant annuel total de la cotisation.</w:t>
      </w:r>
    </w:p>
    <w:p w:rsidR="00623B54" w:rsidRPr="00623B54" w:rsidRDefault="00623B54" w:rsidP="00623B5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 xml:space="preserve">Sélectionner la périodicité de la cotisation </w:t>
      </w:r>
    </w:p>
    <w:p w:rsidR="00623B54" w:rsidRPr="00623B54" w:rsidRDefault="00623B54" w:rsidP="00623B54">
      <w:pPr>
        <w:numPr>
          <w:ilvl w:val="1"/>
          <w:numId w:val="32"/>
        </w:numPr>
        <w:shd w:val="clear" w:color="auto" w:fill="FFFFFF"/>
        <w:spacing w:before="100" w:beforeAutospacing="1" w:after="100" w:afterAutospacing="1" w:line="270" w:lineRule="atLeast"/>
        <w:ind w:left="750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mensuelle, trimestrielle, semestrielle ou annuelle</w:t>
      </w:r>
    </w:p>
    <w:p w:rsidR="00623B54" w:rsidRPr="00623B54" w:rsidRDefault="00623B54" w:rsidP="00623B5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le compte bancaire de l'adhérent sur lequel la première cotisation sera prélevé.</w:t>
      </w:r>
    </w:p>
    <w:p w:rsidR="00623B54" w:rsidRPr="00623B54" w:rsidRDefault="00623B54" w:rsidP="00623B5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 Suivant » pour poursuivre l’adhésion.</w:t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PRELEVEMENT </w:t>
      </w:r>
      <w:r w:rsidR="009413C6">
        <w:rPr>
          <w:noProof/>
          <w:lang w:eastAsia="fr-FR"/>
        </w:rPr>
        <w:drawing>
          <wp:inline distT="0" distB="0" distL="0" distR="0" wp14:anchorId="24AC4BAF" wp14:editId="00E03F29">
            <wp:extent cx="4490691" cy="1751330"/>
            <wp:effectExtent l="0" t="0" r="5715" b="127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93315" cy="1752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Default="00623B54" w:rsidP="00623B54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le compte de prélèvement des cotisations ultérieures</w:t>
      </w:r>
    </w:p>
    <w:p w:rsidR="00623B54" w:rsidRPr="00623B54" w:rsidRDefault="009413C6" w:rsidP="009413C6">
      <w:p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0B69914B" wp14:editId="65D8B830">
            <wp:extent cx="5760720" cy="3033395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3B54"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Si l’Assuré choisi un compte différent de celui utilisé lors du prélèvement de la première cotisation, renseigner le compte bancaire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BENEFICIAIRES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noProof/>
          <w:color w:val="000000"/>
          <w:sz w:val="17"/>
          <w:szCs w:val="17"/>
          <w:lang w:eastAsia="fr-FR"/>
        </w:rPr>
        <w:drawing>
          <wp:inline distT="0" distB="0" distL="0" distR="0">
            <wp:extent cx="5615781" cy="2695575"/>
            <wp:effectExtent l="0" t="0" r="4445" b="0"/>
            <wp:docPr id="8" name="Image 8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911" cy="269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Sélectionner la clause choisie par l'adhérent :</w:t>
      </w:r>
    </w:p>
    <w:p w:rsidR="00623B54" w:rsidRPr="00623B54" w:rsidRDefault="00623B54" w:rsidP="00623B54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b/>
          <w:bCs/>
          <w:color w:val="000000"/>
          <w:sz w:val="19"/>
          <w:szCs w:val="19"/>
          <w:lang w:eastAsia="fr-FR"/>
        </w:rPr>
        <w:t>Clauses standards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 xml:space="preserve"> : </w:t>
      </w:r>
    </w:p>
    <w:p w:rsidR="00623B54" w:rsidRPr="00623B54" w:rsidRDefault="00623B54" w:rsidP="00623B54">
      <w:pPr>
        <w:numPr>
          <w:ilvl w:val="1"/>
          <w:numId w:val="35"/>
        </w:numPr>
        <w:shd w:val="clear" w:color="auto" w:fill="FFFFFF"/>
        <w:spacing w:before="100" w:beforeAutospacing="1" w:after="100" w:afterAutospacing="1" w:line="270" w:lineRule="atLeast"/>
        <w:ind w:left="750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« Mon conjoint à la date du décès »,</w:t>
      </w:r>
    </w:p>
    <w:p w:rsidR="00623B54" w:rsidRPr="00623B54" w:rsidRDefault="00623B54" w:rsidP="00623B54">
      <w:pPr>
        <w:numPr>
          <w:ilvl w:val="1"/>
          <w:numId w:val="35"/>
        </w:numPr>
        <w:shd w:val="clear" w:color="auto" w:fill="FFFFFF"/>
        <w:spacing w:before="100" w:beforeAutospacing="1" w:after="100" w:afterAutospacing="1" w:line="270" w:lineRule="atLeast"/>
        <w:ind w:left="750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ou « Mes enfants par parts égales »,</w:t>
      </w:r>
    </w:p>
    <w:p w:rsidR="00623B54" w:rsidRPr="00623B54" w:rsidRDefault="009413C6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3C5ADF2D" wp14:editId="19269BDB">
            <wp:extent cx="5760720" cy="5634355"/>
            <wp:effectExtent l="0" t="0" r="0" b="444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3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b/>
          <w:bCs/>
          <w:color w:val="000000"/>
          <w:sz w:val="19"/>
          <w:szCs w:val="19"/>
          <w:lang w:eastAsia="fr-FR"/>
        </w:rPr>
        <w:t>Clause Bénéficiaire désigné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 : renseigner les informations relatives au(x) bénéficiaire(x).</w:t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br/>
        <w:t>Le bénéficiaire est une personne physique. Il n'est pas possible d’ajouter un bénéficiaire décédé ou l’adhérent lui-même. On peut enregistrer jusqu'à 5 bénéficiaires désignés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 w:rsidR="009413C6">
        <w:rPr>
          <w:noProof/>
          <w:lang w:eastAsia="fr-FR"/>
        </w:rPr>
        <w:drawing>
          <wp:inline distT="0" distB="0" distL="0" distR="0" wp14:anchorId="14564A10" wp14:editId="00955A35">
            <wp:extent cx="5760720" cy="3270250"/>
            <wp:effectExtent l="0" t="0" r="0" b="635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 Désignation par clause rédigée séparément ».</w:t>
      </w:r>
    </w:p>
    <w:p w:rsidR="00623B54" w:rsidRPr="00623B54" w:rsidRDefault="00623B54" w:rsidP="00623B5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Joindre ensuite le document de désignation de clause bénéficiaire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Dans le cas ou l'Assuré souscrit à l'option FEP :</w:t>
      </w:r>
    </w:p>
    <w:p w:rsidR="00623B54" w:rsidRPr="00623B54" w:rsidRDefault="00623B54" w:rsidP="00623B5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les informations relatives au(x) bénéficiaire(x): bénéficiaire de l'option, raison sociale du bénéficiaire, adresse, numéro de Siret,</w:t>
      </w:r>
    </w:p>
    <w:p w:rsidR="00623B54" w:rsidRPr="00623B54" w:rsidRDefault="009413C6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019A03F5" wp14:editId="2307E690">
            <wp:extent cx="5760720" cy="3996055"/>
            <wp:effectExtent l="0" t="0" r="0" b="444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 Suivant » pour poursuivre l'adhésion.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 </w:t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SITUATION ASSURANCE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9413C6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 w:rsidR="009413C6">
        <w:rPr>
          <w:noProof/>
          <w:lang w:eastAsia="fr-FR"/>
        </w:rPr>
        <w:drawing>
          <wp:inline distT="0" distB="0" distL="0" distR="0" wp14:anchorId="76B64149" wp14:editId="48A12C10">
            <wp:extent cx="5760720" cy="2290445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si l’Assuré est détenteur d’un contrat de prévoyance professionnelle Caisse d’Epargne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Si l’adhérent souhaite adhérer au contrat PREVOYANCE PRO avec reprise  de son contrat Garantie Prévoyance Pro auprès de BPCEA :</w:t>
      </w:r>
    </w:p>
    <w:p w:rsidR="00623B54" w:rsidRPr="00623B54" w:rsidRDefault="00A9532F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rPr>
          <w:noProof/>
          <w:lang w:eastAsia="fr-FR"/>
        </w:rPr>
        <w:drawing>
          <wp:inline distT="0" distB="0" distL="0" distR="0" wp14:anchorId="03FB576A" wp14:editId="65915FF8">
            <wp:extent cx="5760720" cy="2167890"/>
            <wp:effectExtent l="0" t="0" r="0" b="381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Renseigner le numéro de contrat détenu</w:t>
      </w:r>
    </w:p>
    <w:p w:rsidR="00623B54" w:rsidRPr="00623B54" w:rsidRDefault="00623B54" w:rsidP="00623B5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 Suivant » pour poursuivre l'adhésion</w:t>
      </w:r>
    </w:p>
    <w:p w:rsidR="00623B54" w:rsidRPr="00623B54" w:rsidRDefault="00623B54" w:rsidP="00623B54">
      <w:pPr>
        <w:shd w:val="clear" w:color="auto" w:fill="FFFFFF"/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</w:pPr>
      <w:r w:rsidRPr="00623B54">
        <w:rPr>
          <w:rFonts w:ascii="inherit" w:eastAsia="Times New Roman" w:hAnsi="inherit" w:cs="Helvetica"/>
          <w:b/>
          <w:bCs/>
          <w:color w:val="000000"/>
          <w:sz w:val="27"/>
          <w:szCs w:val="27"/>
          <w:lang w:eastAsia="fr-FR"/>
        </w:rPr>
        <w:t xml:space="preserve">FORMALITES MEDICALES 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Les règles de déclenchement des formalités médicales sont les suivantes : </w:t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  <w:r w:rsidR="00A9532F">
        <w:rPr>
          <w:noProof/>
          <w:lang w:eastAsia="fr-FR"/>
        </w:rPr>
        <w:drawing>
          <wp:inline distT="0" distB="0" distL="0" distR="0" wp14:anchorId="33F7A67E" wp14:editId="1DCC71F2">
            <wp:extent cx="5760720" cy="2291715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9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532F" w:rsidRPr="00A9532F">
        <w:rPr>
          <w:noProof/>
          <w:lang w:eastAsia="fr-FR"/>
        </w:rPr>
        <w:t xml:space="preserve"> </w:t>
      </w:r>
      <w:r w:rsidR="00A9532F">
        <w:rPr>
          <w:noProof/>
          <w:lang w:eastAsia="fr-FR"/>
        </w:rPr>
        <w:drawing>
          <wp:inline distT="0" distB="0" distL="0" distR="0" wp14:anchorId="5CF6505B" wp14:editId="54B294DE">
            <wp:extent cx="5760720" cy="5382260"/>
            <wp:effectExtent l="0" t="0" r="0" b="889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8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A9532F" w:rsidRDefault="00A9532F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A9532F" w:rsidRPr="00623B54" w:rsidRDefault="00A9532F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</w:p>
    <w:p w:rsidR="00623B54" w:rsidRPr="00623B54" w:rsidRDefault="00623B54" w:rsidP="00623B54">
      <w:pPr>
        <w:shd w:val="clear" w:color="auto" w:fill="FFFFFF"/>
        <w:spacing w:after="135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b/>
          <w:bCs/>
          <w:color w:val="000000"/>
          <w:sz w:val="17"/>
          <w:szCs w:val="17"/>
          <w:lang w:eastAsia="fr-FR"/>
        </w:rPr>
        <w:t xml:space="preserve">Questionnaire de Santé Simplifié </w:t>
      </w:r>
    </w:p>
    <w:p w:rsidR="00623B54" w:rsidRPr="00623B54" w:rsidRDefault="00623B54" w:rsidP="00623B5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Cocher les cases du Questionnaire de Santé Simplifié si l’Assuré peut répondre par la négative à la question</w:t>
      </w:r>
    </w:p>
    <w:p w:rsidR="00623B54" w:rsidRPr="00623B54" w:rsidRDefault="00623B54" w:rsidP="00623B5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Si l’Assuré ne peut pas répondre « non » aux trois questions, cocher la case « vous ne pouvez pas répondre … ». Dans ce cas la, l'Assuré doit répondre à une Fiche de Santé</w:t>
      </w:r>
    </w:p>
    <w:p w:rsidR="00623B54" w:rsidRPr="00623B54" w:rsidRDefault="00623B54" w:rsidP="00623B5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Aucune donnée n’est à renseigner dans WebAssur : la Fiche de santé est à éditer avec les documents contractuels et sera à compléter au format papier par l’adhérent.</w:t>
      </w:r>
    </w:p>
    <w:p w:rsidR="00623B54" w:rsidRPr="00623B54" w:rsidRDefault="00623B54" w:rsidP="00623B5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9"/>
          <w:szCs w:val="19"/>
          <w:lang w:eastAsia="fr-FR"/>
        </w:rPr>
        <w:t>Cliquer sur « Suivant » pour poursuivre l'adhésion.</w:t>
      </w:r>
    </w:p>
    <w:p w:rsidR="00A9532F" w:rsidRDefault="00623B54" w:rsidP="00A9532F">
      <w:pPr>
        <w:pStyle w:val="NormalWeb"/>
      </w:pPr>
      <w:r w:rsidRPr="00623B54">
        <w:rPr>
          <w:color w:val="000000"/>
        </w:rPr>
        <w:t> </w:t>
      </w:r>
      <w:r w:rsidR="00A9532F">
        <w:rPr>
          <w:noProof/>
        </w:rPr>
        <w:drawing>
          <wp:inline distT="0" distB="0" distL="0" distR="0" wp14:anchorId="2EE9F547" wp14:editId="44BB2ACF">
            <wp:extent cx="5760720" cy="4966970"/>
            <wp:effectExtent l="0" t="0" r="0" b="508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6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3B54">
        <w:rPr>
          <w:color w:val="000000"/>
        </w:rPr>
        <w:t> </w:t>
      </w:r>
      <w:r w:rsidR="00A9532F">
        <w:rPr>
          <w:rStyle w:val="lev"/>
        </w:rPr>
        <w:t>La Fiche de santé doit être renseignée</w:t>
      </w:r>
    </w:p>
    <w:p w:rsidR="00A9532F" w:rsidRDefault="00A9532F" w:rsidP="00A9532F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t>Dans le cas ou des formalités médicales sont déclenchées, l’Assuré doit remplir une Fiche de Santé</w:t>
      </w:r>
    </w:p>
    <w:p w:rsidR="00A9532F" w:rsidRDefault="00A9532F" w:rsidP="00A9532F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t>Aucune donnée n’est à renseigner dans WebAssur : la Fiche de santé est à éditer avec les documents contractuels et sera à compléter au format papier par l’adhérent.</w:t>
      </w:r>
    </w:p>
    <w:p w:rsidR="00A9532F" w:rsidRDefault="00A9532F" w:rsidP="00A9532F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t>Cliquer sur « Suivant »</w:t>
      </w:r>
    </w:p>
    <w:p w:rsidR="00A9532F" w:rsidRDefault="00A9532F" w:rsidP="00A9532F">
      <w:pPr>
        <w:pStyle w:val="NormalWeb"/>
      </w:pPr>
      <w:r>
        <w:t> </w:t>
      </w:r>
    </w:p>
    <w:p w:rsidR="00A9532F" w:rsidRDefault="00A9532F" w:rsidP="00A9532F">
      <w:pPr>
        <w:pStyle w:val="Titre3"/>
      </w:pPr>
    </w:p>
    <w:p w:rsidR="00A9532F" w:rsidRDefault="00A9532F" w:rsidP="00A9532F">
      <w:pPr>
        <w:pStyle w:val="Titre3"/>
      </w:pPr>
      <w:r>
        <w:t xml:space="preserve">RECAPITULATIF </w:t>
      </w:r>
    </w:p>
    <w:p w:rsidR="00A9532F" w:rsidRDefault="00A9532F" w:rsidP="00A9532F">
      <w:pPr>
        <w:pStyle w:val="NormalWeb"/>
      </w:pPr>
    </w:p>
    <w:p w:rsidR="00A9532F" w:rsidRDefault="00A9532F" w:rsidP="00A9532F">
      <w:pPr>
        <w:pStyle w:val="NormalWeb"/>
      </w:pPr>
      <w:r>
        <w:t> </w:t>
      </w:r>
      <w:r>
        <w:rPr>
          <w:noProof/>
        </w:rPr>
        <w:drawing>
          <wp:inline distT="0" distB="0" distL="0" distR="0" wp14:anchorId="16795E7F" wp14:editId="1CFAD57A">
            <wp:extent cx="5076825" cy="6877050"/>
            <wp:effectExtent l="0" t="0" r="9525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532F">
        <w:rPr>
          <w:noProof/>
        </w:rPr>
        <w:t xml:space="preserve"> </w:t>
      </w:r>
      <w:r>
        <w:rPr>
          <w:noProof/>
        </w:rPr>
        <w:drawing>
          <wp:inline distT="0" distB="0" distL="0" distR="0" wp14:anchorId="4ED56A13" wp14:editId="492EBF9D">
            <wp:extent cx="4953000" cy="4181475"/>
            <wp:effectExtent l="0" t="0" r="0" b="952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 </w:t>
      </w:r>
    </w:p>
    <w:p w:rsidR="00A9532F" w:rsidRDefault="00A9532F" w:rsidP="00A9532F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>Vérifier, avec le client, les informations saisies sur la page de synthèse de l’opération.</w:t>
      </w:r>
    </w:p>
    <w:p w:rsidR="00A9532F" w:rsidRDefault="00A9532F" w:rsidP="00A9532F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>En cas de modification des informations, cliquer sur « Précédent » pour revenir à l’étape précédente.</w:t>
      </w:r>
    </w:p>
    <w:p w:rsidR="00A9532F" w:rsidRDefault="00A9532F" w:rsidP="00A9532F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>Cliquer sur « Suivant ».</w:t>
      </w:r>
    </w:p>
    <w:p w:rsidR="00A9532F" w:rsidRDefault="00BE3F01" w:rsidP="00A9532F">
      <w:pPr>
        <w:pStyle w:val="NormalWeb"/>
      </w:pPr>
      <w:r>
        <w:rPr>
          <w:noProof/>
        </w:rPr>
        <w:drawing>
          <wp:inline distT="0" distB="0" distL="0" distR="0" wp14:anchorId="069E2BB6" wp14:editId="3723AF1D">
            <wp:extent cx="5257800" cy="5591175"/>
            <wp:effectExtent l="0" t="0" r="0" b="9525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532F">
        <w:t> </w:t>
      </w:r>
      <w:bookmarkStart w:id="0" w:name="_GoBack"/>
      <w:bookmarkEnd w:id="0"/>
    </w:p>
    <w:p w:rsidR="00A9532F" w:rsidRDefault="00A9532F" w:rsidP="00A9532F">
      <w:pPr>
        <w:pStyle w:val="NormalWeb"/>
      </w:pPr>
      <w:r>
        <w:t>Il est précisé à cette étape :</w:t>
      </w:r>
    </w:p>
    <w:p w:rsidR="00A9532F" w:rsidRDefault="00A9532F" w:rsidP="00A9532F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t>La procédure à suivre pour finaliser le dossier.</w:t>
      </w:r>
    </w:p>
    <w:p w:rsidR="00A9532F" w:rsidRDefault="00A9532F" w:rsidP="00A9532F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t>La liste des pièces justificatives à remettre au client et celles à joindre au dossier. Celle-ci est contextualisée et tient compte des caractéristiques Client / Contrat</w:t>
      </w:r>
    </w:p>
    <w:p w:rsidR="00A9532F" w:rsidRDefault="00A9532F" w:rsidP="00405A48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t>Les documents à imprimer. Tous sont sélectionnés par défaut. </w:t>
      </w:r>
    </w:p>
    <w:p w:rsidR="00623B54" w:rsidRPr="00623B54" w:rsidRDefault="00A9532F" w:rsidP="00BE3DF0">
      <w:pPr>
        <w:numPr>
          <w:ilvl w:val="0"/>
          <w:numId w:val="46"/>
        </w:numPr>
        <w:shd w:val="clear" w:color="auto" w:fill="FFFFFF"/>
        <w:spacing w:before="100" w:beforeAutospacing="1" w:after="150" w:afterAutospacing="1" w:line="270" w:lineRule="atLeast"/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</w:pPr>
      <w:r>
        <w:t>Une fois tous les documents imprimés, l’opération est finalisée. Cliquer sur « Terminer » pour retourner à l’écran « Sélection de l’opération » pour une nouvelle opération.</w:t>
      </w:r>
      <w:r>
        <w:br/>
      </w:r>
      <w:r>
        <w:rPr>
          <w:rStyle w:val="lev"/>
        </w:rPr>
        <w:t>Ne pas oublier d’imprimer les documents</w:t>
      </w:r>
      <w:r>
        <w:t> </w:t>
      </w:r>
      <w:r>
        <w:rPr>
          <w:rStyle w:val="lev"/>
        </w:rPr>
        <w:t>avant de cliquer sur le bouton « Terminer », aucune sauvegarde des informations saisies ne sera effectuée.</w:t>
      </w:r>
      <w:r w:rsidR="00623B54" w:rsidRPr="00623B54">
        <w:rPr>
          <w:rFonts w:ascii="Trebuchet MS" w:eastAsia="Times New Roman" w:hAnsi="Trebuchet MS" w:cs="Helvetica"/>
          <w:color w:val="000000"/>
          <w:sz w:val="17"/>
          <w:szCs w:val="17"/>
          <w:lang w:eastAsia="fr-FR"/>
        </w:rPr>
        <w:t> </w:t>
      </w:r>
    </w:p>
    <w:p w:rsidR="00623B54" w:rsidRPr="00623B54" w:rsidRDefault="00623B54" w:rsidP="00623B54">
      <w:pPr>
        <w:shd w:val="clear" w:color="auto" w:fill="FFFFFF"/>
        <w:spacing w:after="0" w:line="270" w:lineRule="atLeast"/>
        <w:jc w:val="right"/>
        <w:rPr>
          <w:rFonts w:ascii="Trebuchet MS" w:eastAsia="Times New Roman" w:hAnsi="Trebuchet MS" w:cs="Helvetica"/>
          <w:i/>
          <w:iCs/>
          <w:color w:val="585858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i/>
          <w:iCs/>
          <w:color w:val="585858"/>
          <w:sz w:val="17"/>
          <w:szCs w:val="17"/>
          <w:lang w:eastAsia="fr-FR"/>
        </w:rPr>
        <w:t xml:space="preserve">Date de publication:  14/01/20 </w:t>
      </w:r>
    </w:p>
    <w:p w:rsidR="00623B54" w:rsidRPr="00623B54" w:rsidRDefault="00623B54" w:rsidP="00623B54">
      <w:pPr>
        <w:shd w:val="clear" w:color="auto" w:fill="FFFFFF"/>
        <w:spacing w:after="0" w:line="270" w:lineRule="atLeast"/>
        <w:jc w:val="right"/>
        <w:rPr>
          <w:rFonts w:ascii="Trebuchet MS" w:eastAsia="Times New Roman" w:hAnsi="Trebuchet MS" w:cs="Helvetica"/>
          <w:i/>
          <w:iCs/>
          <w:color w:val="585858"/>
          <w:sz w:val="17"/>
          <w:szCs w:val="17"/>
          <w:lang w:eastAsia="fr-FR"/>
        </w:rPr>
      </w:pPr>
      <w:r w:rsidRPr="00623B54">
        <w:rPr>
          <w:rFonts w:ascii="Trebuchet MS" w:eastAsia="Times New Roman" w:hAnsi="Trebuchet MS" w:cs="Helvetica"/>
          <w:i/>
          <w:iCs/>
          <w:color w:val="585858"/>
          <w:sz w:val="17"/>
          <w:szCs w:val="17"/>
          <w:lang w:eastAsia="fr-FR"/>
        </w:rPr>
        <w:t xml:space="preserve">Date de modification:  21/01/20 </w:t>
      </w:r>
    </w:p>
    <w:p w:rsidR="00623B54" w:rsidRPr="00623B54" w:rsidRDefault="00623B54" w:rsidP="00623B54">
      <w:pPr>
        <w:shd w:val="clear" w:color="auto" w:fill="FFFFFF"/>
        <w:spacing w:before="135" w:after="270" w:line="270" w:lineRule="atLeast"/>
        <w:rPr>
          <w:rFonts w:ascii="Trebuchet MS" w:eastAsia="Times New Roman" w:hAnsi="Trebuchet MS" w:cs="Helvetica"/>
          <w:color w:val="000000"/>
          <w:sz w:val="14"/>
          <w:szCs w:val="14"/>
          <w:lang w:eastAsia="fr-FR"/>
        </w:rPr>
      </w:pPr>
      <w:r w:rsidRPr="00623B54">
        <w:rPr>
          <w:rFonts w:ascii="Trebuchet MS" w:eastAsia="Times New Roman" w:hAnsi="Trebuchet MS" w:cs="Helvetica"/>
          <w:color w:val="000000"/>
          <w:sz w:val="14"/>
          <w:szCs w:val="14"/>
          <w:lang w:eastAsia="fr-FR"/>
        </w:rPr>
        <w:pict>
          <v:rect id="_x0000_i1027" style="width:0;height:.75pt" o:hralign="center" o:hrstd="t" o:hrnoshade="t" o:hr="t" fillcolor="#a0a0a0" stroked="f"/>
        </w:pict>
      </w:r>
    </w:p>
    <w:p w:rsidR="00623B54" w:rsidRPr="00623B54" w:rsidRDefault="00623B54" w:rsidP="00623B54">
      <w:pPr>
        <w:shd w:val="clear" w:color="auto" w:fill="FFFFFF"/>
        <w:spacing w:before="135" w:after="270" w:line="270" w:lineRule="atLeast"/>
        <w:rPr>
          <w:rFonts w:ascii="Trebuchet MS" w:eastAsia="Times New Roman" w:hAnsi="Trebuchet MS" w:cs="Helvetica"/>
          <w:color w:val="000000"/>
          <w:sz w:val="14"/>
          <w:szCs w:val="14"/>
          <w:lang w:eastAsia="fr-FR"/>
        </w:rPr>
      </w:pPr>
      <w:r w:rsidRPr="00623B54">
        <w:rPr>
          <w:rFonts w:ascii="Arial" w:eastAsia="Times New Roman" w:hAnsi="Arial" w:cs="Arial"/>
          <w:color w:val="000000"/>
          <w:sz w:val="14"/>
          <w:szCs w:val="14"/>
          <w:lang w:eastAsia="fr-FR"/>
        </w:rPr>
        <w:t>Document à usage strictement interne – Ne pas diffuser</w:t>
      </w:r>
      <w:r w:rsidRPr="00623B54">
        <w:rPr>
          <w:rFonts w:ascii="Trebuchet MS" w:eastAsia="Times New Roman" w:hAnsi="Trebuchet MS" w:cs="Helvetica"/>
          <w:color w:val="000000"/>
          <w:sz w:val="14"/>
          <w:szCs w:val="14"/>
          <w:lang w:eastAsia="fr-FR"/>
        </w:rPr>
        <w:t xml:space="preserve"> 29 janvier 2020 - 13:53 - URL: </w:t>
      </w:r>
      <w:hyperlink r:id="rId31" w:history="1">
        <w:r w:rsidRPr="00BE3F01">
          <w:rPr>
            <w:rFonts w:ascii="Trebuchet MS" w:eastAsia="Times New Roman" w:hAnsi="Trebuchet MS" w:cs="Helvetica"/>
            <w:color w:val="0088CC"/>
            <w:sz w:val="14"/>
            <w:szCs w:val="14"/>
            <w:lang w:eastAsia="fr-FR"/>
          </w:rPr>
          <w:t>https://extrassur-doc.assurances.natixis.fr/jcms/lpn32_62505/adhesion-a-un-contrat-prevoyance-pro-webassur</w:t>
        </w:r>
      </w:hyperlink>
      <w:r w:rsidRPr="00623B54">
        <w:rPr>
          <w:rFonts w:ascii="Trebuchet MS" w:eastAsia="Times New Roman" w:hAnsi="Trebuchet MS" w:cs="Helvetica"/>
          <w:color w:val="000000"/>
          <w:sz w:val="14"/>
          <w:szCs w:val="14"/>
          <w:lang w:eastAsia="fr-FR"/>
        </w:rPr>
        <w:t xml:space="preserve"> </w:t>
      </w:r>
    </w:p>
    <w:sectPr w:rsidR="00623B54" w:rsidRPr="00623B54" w:rsidSect="00BE3F01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B54" w:rsidRDefault="00623B54" w:rsidP="00623B54">
      <w:pPr>
        <w:spacing w:after="0" w:line="240" w:lineRule="auto"/>
      </w:pPr>
      <w:r>
        <w:separator/>
      </w:r>
    </w:p>
  </w:endnote>
  <w:endnote w:type="continuationSeparator" w:id="0">
    <w:p w:rsidR="00623B54" w:rsidRDefault="00623B54" w:rsidP="00623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B54" w:rsidRDefault="00623B54" w:rsidP="00623B54">
      <w:pPr>
        <w:spacing w:after="0" w:line="240" w:lineRule="auto"/>
      </w:pPr>
      <w:r>
        <w:separator/>
      </w:r>
    </w:p>
  </w:footnote>
  <w:footnote w:type="continuationSeparator" w:id="0">
    <w:p w:rsidR="00623B54" w:rsidRDefault="00623B54" w:rsidP="00623B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3FFA"/>
    <w:multiLevelType w:val="multilevel"/>
    <w:tmpl w:val="378EB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DF6A44"/>
    <w:multiLevelType w:val="multilevel"/>
    <w:tmpl w:val="1CF65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2F63B01"/>
    <w:multiLevelType w:val="multilevel"/>
    <w:tmpl w:val="CA3C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4112FB"/>
    <w:multiLevelType w:val="multilevel"/>
    <w:tmpl w:val="9FA4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FC6FB1"/>
    <w:multiLevelType w:val="multilevel"/>
    <w:tmpl w:val="753AB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825FB8"/>
    <w:multiLevelType w:val="multilevel"/>
    <w:tmpl w:val="D004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DA35D3A"/>
    <w:multiLevelType w:val="multilevel"/>
    <w:tmpl w:val="6C2E8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4C90A36"/>
    <w:multiLevelType w:val="multilevel"/>
    <w:tmpl w:val="F1247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8704017"/>
    <w:multiLevelType w:val="multilevel"/>
    <w:tmpl w:val="C2AE3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E026483"/>
    <w:multiLevelType w:val="multilevel"/>
    <w:tmpl w:val="6A90A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F3A2755"/>
    <w:multiLevelType w:val="multilevel"/>
    <w:tmpl w:val="55B4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FED06CD"/>
    <w:multiLevelType w:val="multilevel"/>
    <w:tmpl w:val="1A36D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2867BB"/>
    <w:multiLevelType w:val="multilevel"/>
    <w:tmpl w:val="7AD82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8B01B7A"/>
    <w:multiLevelType w:val="multilevel"/>
    <w:tmpl w:val="95D45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8B31CD9"/>
    <w:multiLevelType w:val="multilevel"/>
    <w:tmpl w:val="B42C7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A094A9E"/>
    <w:multiLevelType w:val="multilevel"/>
    <w:tmpl w:val="87007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F2A0CAF"/>
    <w:multiLevelType w:val="multilevel"/>
    <w:tmpl w:val="97900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0EA3CD6"/>
    <w:multiLevelType w:val="multilevel"/>
    <w:tmpl w:val="52AA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2022D00"/>
    <w:multiLevelType w:val="multilevel"/>
    <w:tmpl w:val="0B2CF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60C36E2"/>
    <w:multiLevelType w:val="multilevel"/>
    <w:tmpl w:val="81EE2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B4F0512"/>
    <w:multiLevelType w:val="multilevel"/>
    <w:tmpl w:val="75549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2475A4C"/>
    <w:multiLevelType w:val="multilevel"/>
    <w:tmpl w:val="D5E6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4F53E9F"/>
    <w:multiLevelType w:val="multilevel"/>
    <w:tmpl w:val="304A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5C722A6"/>
    <w:multiLevelType w:val="multilevel"/>
    <w:tmpl w:val="FECEA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F768C2"/>
    <w:multiLevelType w:val="multilevel"/>
    <w:tmpl w:val="66FC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701328D"/>
    <w:multiLevelType w:val="multilevel"/>
    <w:tmpl w:val="35847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9260623"/>
    <w:multiLevelType w:val="multilevel"/>
    <w:tmpl w:val="2FE02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B80441E"/>
    <w:multiLevelType w:val="multilevel"/>
    <w:tmpl w:val="0A2EE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B620926"/>
    <w:multiLevelType w:val="multilevel"/>
    <w:tmpl w:val="5D667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BAF0B21"/>
    <w:multiLevelType w:val="multilevel"/>
    <w:tmpl w:val="42DC6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DC05BAD"/>
    <w:multiLevelType w:val="multilevel"/>
    <w:tmpl w:val="77987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EB1722D"/>
    <w:multiLevelType w:val="multilevel"/>
    <w:tmpl w:val="DA0E0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EF103A0"/>
    <w:multiLevelType w:val="multilevel"/>
    <w:tmpl w:val="79D8A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F6F73C2"/>
    <w:multiLevelType w:val="multilevel"/>
    <w:tmpl w:val="5EC2C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04A2F2E"/>
    <w:multiLevelType w:val="multilevel"/>
    <w:tmpl w:val="86866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07378B0"/>
    <w:multiLevelType w:val="multilevel"/>
    <w:tmpl w:val="76D07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5570879"/>
    <w:multiLevelType w:val="multilevel"/>
    <w:tmpl w:val="7AD8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B4A44CA"/>
    <w:multiLevelType w:val="multilevel"/>
    <w:tmpl w:val="9DC62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C2B0F3B"/>
    <w:multiLevelType w:val="multilevel"/>
    <w:tmpl w:val="E05A7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DDB31ED"/>
    <w:multiLevelType w:val="multilevel"/>
    <w:tmpl w:val="15C6A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39747F"/>
    <w:multiLevelType w:val="multilevel"/>
    <w:tmpl w:val="E5CC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2B13C2B"/>
    <w:multiLevelType w:val="multilevel"/>
    <w:tmpl w:val="02CC8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2F74D01"/>
    <w:multiLevelType w:val="multilevel"/>
    <w:tmpl w:val="D6DC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5AE664B"/>
    <w:multiLevelType w:val="multilevel"/>
    <w:tmpl w:val="0E4CE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C994C7D"/>
    <w:multiLevelType w:val="multilevel"/>
    <w:tmpl w:val="5562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CBE5079"/>
    <w:multiLevelType w:val="multilevel"/>
    <w:tmpl w:val="FE4E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5"/>
  </w:num>
  <w:num w:numId="2">
    <w:abstractNumId w:val="21"/>
  </w:num>
  <w:num w:numId="3">
    <w:abstractNumId w:val="5"/>
  </w:num>
  <w:num w:numId="4">
    <w:abstractNumId w:val="12"/>
  </w:num>
  <w:num w:numId="5">
    <w:abstractNumId w:val="29"/>
  </w:num>
  <w:num w:numId="6">
    <w:abstractNumId w:val="8"/>
  </w:num>
  <w:num w:numId="7">
    <w:abstractNumId w:val="28"/>
  </w:num>
  <w:num w:numId="8">
    <w:abstractNumId w:val="22"/>
  </w:num>
  <w:num w:numId="9">
    <w:abstractNumId w:val="38"/>
  </w:num>
  <w:num w:numId="10">
    <w:abstractNumId w:val="16"/>
  </w:num>
  <w:num w:numId="11">
    <w:abstractNumId w:val="17"/>
  </w:num>
  <w:num w:numId="12">
    <w:abstractNumId w:val="43"/>
  </w:num>
  <w:num w:numId="13">
    <w:abstractNumId w:val="27"/>
  </w:num>
  <w:num w:numId="14">
    <w:abstractNumId w:val="7"/>
  </w:num>
  <w:num w:numId="15">
    <w:abstractNumId w:val="13"/>
  </w:num>
  <w:num w:numId="16">
    <w:abstractNumId w:val="14"/>
  </w:num>
  <w:num w:numId="17">
    <w:abstractNumId w:val="26"/>
  </w:num>
  <w:num w:numId="18">
    <w:abstractNumId w:val="19"/>
  </w:num>
  <w:num w:numId="19">
    <w:abstractNumId w:val="3"/>
  </w:num>
  <w:num w:numId="20">
    <w:abstractNumId w:val="37"/>
  </w:num>
  <w:num w:numId="21">
    <w:abstractNumId w:val="20"/>
  </w:num>
  <w:num w:numId="22">
    <w:abstractNumId w:val="15"/>
  </w:num>
  <w:num w:numId="23">
    <w:abstractNumId w:val="9"/>
  </w:num>
  <w:num w:numId="24">
    <w:abstractNumId w:val="31"/>
  </w:num>
  <w:num w:numId="25">
    <w:abstractNumId w:val="42"/>
  </w:num>
  <w:num w:numId="26">
    <w:abstractNumId w:val="32"/>
  </w:num>
  <w:num w:numId="27">
    <w:abstractNumId w:val="41"/>
  </w:num>
  <w:num w:numId="28">
    <w:abstractNumId w:val="1"/>
  </w:num>
  <w:num w:numId="29">
    <w:abstractNumId w:val="40"/>
  </w:num>
  <w:num w:numId="30">
    <w:abstractNumId w:val="24"/>
  </w:num>
  <w:num w:numId="31">
    <w:abstractNumId w:val="30"/>
  </w:num>
  <w:num w:numId="32">
    <w:abstractNumId w:val="6"/>
  </w:num>
  <w:num w:numId="33">
    <w:abstractNumId w:val="0"/>
  </w:num>
  <w:num w:numId="34">
    <w:abstractNumId w:val="35"/>
  </w:num>
  <w:num w:numId="35">
    <w:abstractNumId w:val="33"/>
  </w:num>
  <w:num w:numId="36">
    <w:abstractNumId w:val="36"/>
  </w:num>
  <w:num w:numId="37">
    <w:abstractNumId w:val="10"/>
  </w:num>
  <w:num w:numId="38">
    <w:abstractNumId w:val="44"/>
  </w:num>
  <w:num w:numId="39">
    <w:abstractNumId w:val="18"/>
  </w:num>
  <w:num w:numId="40">
    <w:abstractNumId w:val="11"/>
  </w:num>
  <w:num w:numId="41">
    <w:abstractNumId w:val="34"/>
  </w:num>
  <w:num w:numId="42">
    <w:abstractNumId w:val="25"/>
  </w:num>
  <w:num w:numId="43">
    <w:abstractNumId w:val="23"/>
  </w:num>
  <w:num w:numId="44">
    <w:abstractNumId w:val="4"/>
  </w:num>
  <w:num w:numId="45">
    <w:abstractNumId w:val="39"/>
  </w:num>
  <w:num w:numId="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B54"/>
    <w:rsid w:val="001C613B"/>
    <w:rsid w:val="00623B54"/>
    <w:rsid w:val="009413C6"/>
    <w:rsid w:val="00A9532F"/>
    <w:rsid w:val="00BE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2B4402"/>
  <w15:chartTrackingRefBased/>
  <w15:docId w15:val="{ED6D4A72-6C5A-43FE-944D-8290274B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623B54"/>
    <w:pPr>
      <w:spacing w:after="0" w:line="405" w:lineRule="atLeast"/>
      <w:outlineLvl w:val="2"/>
    </w:pPr>
    <w:rPr>
      <w:rFonts w:ascii="inherit" w:eastAsia="Times New Roman" w:hAnsi="inherit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623B54"/>
    <w:rPr>
      <w:rFonts w:ascii="inherit" w:eastAsia="Times New Roman" w:hAnsi="inherit" w:cs="Times New Roman"/>
      <w:b/>
      <w:bCs/>
      <w:sz w:val="27"/>
      <w:szCs w:val="27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623B54"/>
    <w:rPr>
      <w:strike w:val="0"/>
      <w:dstrike w:val="0"/>
      <w:color w:val="0088CC"/>
      <w:u w:val="none"/>
      <w:effect w:val="none"/>
    </w:rPr>
  </w:style>
  <w:style w:type="character" w:styleId="lev">
    <w:name w:val="Strong"/>
    <w:basedOn w:val="Policepardfaut"/>
    <w:uiPriority w:val="22"/>
    <w:qFormat/>
    <w:rsid w:val="00623B5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23B54"/>
    <w:pPr>
      <w:spacing w:after="135" w:line="270" w:lineRule="atLeast"/>
    </w:pPr>
    <w:rPr>
      <w:rFonts w:ascii="Trebuchet MS" w:eastAsia="Times New Roman" w:hAnsi="Trebuchet MS" w:cs="Helvetica"/>
      <w:sz w:val="17"/>
      <w:szCs w:val="17"/>
      <w:lang w:eastAsia="fr-FR"/>
    </w:rPr>
  </w:style>
  <w:style w:type="character" w:customStyle="1" w:styleId="chapitre">
    <w:name w:val="chapitre"/>
    <w:basedOn w:val="Policepardfaut"/>
    <w:rsid w:val="00623B54"/>
  </w:style>
  <w:style w:type="character" w:customStyle="1" w:styleId="header4">
    <w:name w:val="header4"/>
    <w:basedOn w:val="Policepardfaut"/>
    <w:rsid w:val="00623B54"/>
    <w:rPr>
      <w:shd w:val="clear" w:color="auto" w:fill="1C5FA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4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05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94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255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594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980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385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991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238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220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249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8559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3227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61788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5082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8837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6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8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26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91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926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74435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78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649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039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90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5" w:color="B0B3B8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2827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9920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306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2780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2256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741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711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03674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0170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513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96559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9359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41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1593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285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063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14248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820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4151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0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3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09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2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4016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206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288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696352">
                                      <w:marLeft w:val="150"/>
                                      <w:marRight w:val="150"/>
                                      <w:marTop w:val="30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019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969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418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1494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3831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59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797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715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453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5" w:color="B0B3B8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9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3273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523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5" w:color="B0B3B8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48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544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9266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52673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99539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3910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4100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36366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199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943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02851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2473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7838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83168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35239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6703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3813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3629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0644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18815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0527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2504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9402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6694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3284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70760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1095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4857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0549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1058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9406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682835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707704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250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yperlink" Target="mhtml:file://O:\DBCA\MARCHE_DES_PROFESSIONNELS\OFFRE\ASSURANCES\Pr&#233;voyance\PREVOYANCE%20PRO\Myassur\mode%20op&#233;ratoire%20adh&#233;sion%20PREVOYANCE%20PRO%20webassur.mht!https://extrassur-doc.assurances.natixis.fr/jcms/lpn32_62505/adhesion-a-un-contrat-prevoyance-pro-webassu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1337</Words>
  <Characters>7357</Characters>
  <Application>Microsoft Office Word</Application>
  <DocSecurity>0</DocSecurity>
  <Lines>61</Lines>
  <Paragraphs>17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34</vt:i4>
      </vt:variant>
    </vt:vector>
  </HeadingPairs>
  <TitlesOfParts>
    <vt:vector size="35" baseType="lpstr">
      <vt:lpstr/>
      <vt:lpstr>        Sommaire</vt:lpstr>
      <vt:lpstr>        SELECTION DE L'OPERATION</vt:lpstr>
      <vt:lpstr>        SAISIE DE L'ADHESION</vt:lpstr>
      <vt:lpstr>        INFORMATION AGENCE</vt:lpstr>
      <vt:lpstr>        CADRE FISCAL</vt:lpstr>
      <vt:lpstr>        INFORMATION ASSURE</vt:lpstr>
      <vt:lpstr>        CHOIX DES GARANTIES</vt:lpstr>
      <vt:lpstr>        COTISATIONS</vt:lpstr>
      <vt:lpstr>        PRELEVEMENT</vt:lpstr>
      <vt:lpstr>        BENEFICIAIRES</vt:lpstr>
      <vt:lpstr>        SITUATION ASSURANCE</vt:lpstr>
      <vt:lpstr>        FORMALITES MEDICALES</vt:lpstr>
      <vt:lpstr>        RECAPITULATIF</vt:lpstr>
      <vt:lpstr>        Présentation</vt:lpstr>
      <vt:lpstr>        INFORMATION AGENCE </vt:lpstr>
      <vt:lpstr>        </vt:lpstr>
      <vt:lpstr>        </vt:lpstr>
      <vt:lpstr>        CADRE FISCAL </vt:lpstr>
      <vt:lpstr>        INFORMATION ASSURE </vt:lpstr>
      <vt:lpstr>        CHOIX DES GARANTIES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COTISATIONS </vt:lpstr>
      <vt:lpstr>        PRELEVEMENT /</vt:lpstr>
      <vt:lpstr>        BENEFICIAIRES </vt:lpstr>
      <vt:lpstr>        SITUATION ASSURANCE </vt:lpstr>
      <vt:lpstr>        FORMALITES MEDICALES </vt:lpstr>
      <vt:lpstr>        </vt:lpstr>
      <vt:lpstr>        RECAPITULATIF </vt:lpstr>
    </vt:vector>
  </TitlesOfParts>
  <Company>BPCEIT</Company>
  <LinksUpToDate>false</LinksUpToDate>
  <CharactersWithSpaces>8677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RESTE STEPHANIE</dc:creator>
  <cp:keywords/>
  <dc:description/>
  <cp:lastModifiedBy>LE RESTE STEPHANIE</cp:lastModifiedBy>
  <cp:revision>2</cp:revision>
  <dcterms:created xsi:type="dcterms:W3CDTF">2020-02-10T14:52:00Z</dcterms:created>
  <dcterms:modified xsi:type="dcterms:W3CDTF">2020-02-10T14:52:00Z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Stephanie.LERESTE@bpce.fr</vt:lpwstr>
  </property>
  <property fmtid="{D5CDD505-2E9C-101B-9397-08002B2CF9AE}" pid="5" name="MSIP_Label_48a19f0c-bea1-442e-a475-ed109d9ec508_SetDate">
    <vt:lpwstr>2020-02-10T13:48:08.3337141Z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