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8A5" w:rsidRPr="003C08A5" w:rsidRDefault="003C08A5" w:rsidP="003C08A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8"/>
        <w:gridCol w:w="1933"/>
        <w:gridCol w:w="4368"/>
        <w:gridCol w:w="7591"/>
      </w:tblGrid>
      <w:tr w:rsidR="00584F78" w:rsidRPr="00584F78" w:rsidTr="003C08A5">
        <w:trPr>
          <w:trHeight w:val="110"/>
        </w:trPr>
        <w:tc>
          <w:tcPr>
            <w:tcW w:w="0" w:type="auto"/>
            <w:gridSpan w:val="4"/>
          </w:tcPr>
          <w:p w:rsidR="003C08A5" w:rsidRPr="00584F78" w:rsidRDefault="003C08A5" w:rsidP="00887F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  <w:sz w:val="28"/>
                <w:szCs w:val="28"/>
              </w:rPr>
              <w:t>FAQ Bénéficiaires Effectifs (</w:t>
            </w:r>
            <w:r w:rsidR="00887FCA" w:rsidRPr="00584F78">
              <w:rPr>
                <w:rFonts w:ascii="Calibri" w:hAnsi="Calibri" w:cs="Calibri"/>
                <w:b/>
                <w:bCs/>
                <w:sz w:val="28"/>
                <w:szCs w:val="28"/>
              </w:rPr>
              <w:t>juin 2019</w:t>
            </w:r>
            <w:r w:rsidRPr="00584F78">
              <w:rPr>
                <w:rFonts w:ascii="Calibri" w:hAnsi="Calibri" w:cs="Calibri"/>
                <w:b/>
                <w:bCs/>
                <w:sz w:val="28"/>
                <w:szCs w:val="28"/>
              </w:rPr>
              <w:t>)</w:t>
            </w:r>
          </w:p>
        </w:tc>
      </w:tr>
      <w:tr w:rsidR="00584F78" w:rsidRPr="00584F78" w:rsidTr="003C08A5">
        <w:trPr>
          <w:trHeight w:val="140"/>
        </w:trPr>
        <w:tc>
          <w:tcPr>
            <w:tcW w:w="0" w:type="auto"/>
            <w:gridSpan w:val="4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84F78" w:rsidRPr="00584F78" w:rsidTr="00C545B0">
        <w:trPr>
          <w:trHeight w:val="255"/>
        </w:trPr>
        <w:tc>
          <w:tcPr>
            <w:tcW w:w="2261" w:type="dxa"/>
            <w:gridSpan w:val="2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Marchés concernés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Questions</w:t>
            </w:r>
          </w:p>
        </w:tc>
        <w:tc>
          <w:tcPr>
            <w:tcW w:w="7591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Réponses</w:t>
            </w:r>
          </w:p>
        </w:tc>
      </w:tr>
      <w:tr w:rsidR="00584F78" w:rsidRPr="00584F78" w:rsidTr="00C545B0">
        <w:trPr>
          <w:trHeight w:val="255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La présence du formulaire BE sans pièces justificatives permet-elle d'atteindre l'objectif de conformité ?</w:t>
            </w:r>
          </w:p>
        </w:tc>
        <w:tc>
          <w:tcPr>
            <w:tcW w:w="7591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 xml:space="preserve">Non. Les justificatifs sont indispensables car il appartient aux banques de s'assurer de la réalité des bénéficiaires effectifs et non pas seulement d'enregistrer la déclaration du représentant légal. </w:t>
            </w:r>
          </w:p>
          <w:p w:rsidR="00871391" w:rsidRPr="00584F78" w:rsidRDefault="00887FCA" w:rsidP="00887F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inorHAnsi"/>
                <w:sz w:val="20"/>
                <w:szCs w:val="20"/>
              </w:rPr>
            </w:pPr>
            <w:r w:rsidRPr="00584F78">
              <w:rPr>
                <w:rFonts w:asciiTheme="majorHAnsi" w:hAnsiTheme="majorHAnsi" w:cstheme="minorHAnsi"/>
                <w:sz w:val="20"/>
                <w:szCs w:val="20"/>
              </w:rPr>
              <w:t>Toutefois, l</w:t>
            </w:r>
            <w:r w:rsidR="00871391" w:rsidRPr="00584F78">
              <w:rPr>
                <w:rFonts w:asciiTheme="majorHAnsi" w:hAnsiTheme="majorHAnsi" w:cstheme="minorHAnsi"/>
                <w:sz w:val="20"/>
                <w:szCs w:val="20"/>
              </w:rPr>
              <w:t>e recueil d’un extrait du Registre national des bénéficiaires effectifs (RNBE), contenant les éléments d’identification, permet de remplacer le formulaire d’auto-déclaration (dans le cas général d’une société française présentant un risque standard)</w:t>
            </w:r>
            <w:r w:rsidR="00AE167B" w:rsidRPr="00584F78">
              <w:rPr>
                <w:rFonts w:asciiTheme="majorHAnsi" w:hAnsiTheme="majorHAnsi" w:cstheme="minorHAnsi"/>
                <w:sz w:val="20"/>
                <w:szCs w:val="20"/>
              </w:rPr>
              <w:t>.</w:t>
            </w:r>
          </w:p>
        </w:tc>
      </w:tr>
      <w:tr w:rsidR="00584F78" w:rsidRPr="00584F78" w:rsidTr="00C545B0">
        <w:trPr>
          <w:trHeight w:val="545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2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Peut-on accompagner le client en remplissant le formulaire à sa place ?</w:t>
            </w:r>
          </w:p>
        </w:tc>
        <w:tc>
          <w:tcPr>
            <w:tcW w:w="7591" w:type="dxa"/>
          </w:tcPr>
          <w:p w:rsidR="00887FCA" w:rsidRPr="00584F78" w:rsidRDefault="00887FCA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Au préalable, il convient de voir si un extrait a été déposé au RNBE et de privilégié ce document à la place du formulaire BE.</w:t>
            </w:r>
          </w:p>
          <w:p w:rsidR="00871391" w:rsidRPr="00584F78" w:rsidRDefault="00887FCA" w:rsidP="00887F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A défaut, a</w:t>
            </w:r>
            <w:r w:rsidR="003C08A5" w:rsidRPr="00584F78">
              <w:rPr>
                <w:rFonts w:ascii="Calibri" w:hAnsi="Calibri" w:cs="Calibri"/>
              </w:rPr>
              <w:t>vant d'éditer le bordereau BE via MySys, il convient de saisir dans le SI (et donc d'identifier au préalable) les BE. Les informations ainsi saisies sont directement incrémenté</w:t>
            </w:r>
            <w:bookmarkStart w:id="0" w:name="_GoBack"/>
            <w:bookmarkEnd w:id="0"/>
            <w:r w:rsidR="003C08A5" w:rsidRPr="00584F78">
              <w:rPr>
                <w:rFonts w:ascii="Calibri" w:hAnsi="Calibri" w:cs="Calibri"/>
              </w:rPr>
              <w:t xml:space="preserve">es dans le bordereau d'identification des BE. S'il s'agit du bordereau CLI1019 édité via AGIL rempli en face à face, on peut demander préalablement oralement au représentant légal confirmation des BE identifiés au vu des justificatifs produits avant que celui-ci ne signe le bordereau. </w:t>
            </w:r>
          </w:p>
        </w:tc>
      </w:tr>
      <w:tr w:rsidR="00584F78" w:rsidRPr="00584F78" w:rsidTr="00C545B0">
        <w:trPr>
          <w:trHeight w:val="400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3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 xml:space="preserve">S'agissant des BE détenant directement ou indirectement au-moins 25 % du capital et/ou des droits de vote, quels justificatifs peuvent confirmer cette détention de capital. </w:t>
            </w:r>
          </w:p>
        </w:tc>
        <w:tc>
          <w:tcPr>
            <w:tcW w:w="7591" w:type="dxa"/>
          </w:tcPr>
          <w:p w:rsidR="001B7F9A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 xml:space="preserve">Les principaux documents pouvant justifier cette qualité de BE sont </w:t>
            </w:r>
            <w:r w:rsidR="00887FCA" w:rsidRPr="00584F78">
              <w:rPr>
                <w:rFonts w:ascii="Calibri" w:hAnsi="Calibri" w:cs="Calibri"/>
              </w:rPr>
              <w:t xml:space="preserve">prioritairement l’extrait RNBE mais également </w:t>
            </w:r>
            <w:r w:rsidRPr="00584F78">
              <w:rPr>
                <w:rFonts w:ascii="Calibri" w:hAnsi="Calibri" w:cs="Calibri"/>
              </w:rPr>
              <w:t>l'interrogation FIBEN 53 (principaux associés de la société), l'annexe 17 du bilan (ou annexe 6 pour les bilans simplifiés), le cas échéant les statuts (qui ne contiennent que dans certains cas des informations relative à la répartition du capital).</w:t>
            </w:r>
          </w:p>
        </w:tc>
      </w:tr>
      <w:tr w:rsidR="00584F78" w:rsidRPr="00584F78" w:rsidTr="00C545B0">
        <w:trPr>
          <w:trHeight w:val="546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4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Les documents probants permettant d'identifier les BE déjà archivés dans le DRC du client (annexe 17 du bilan, statuts…) doivent-ils être numérisés une nouvelle fois dans le menu Connaissance Client de Classeur Client ou dans la rubrique "Id personnes ayant au-moins 25 % du K" du DRC ?</w:t>
            </w:r>
          </w:p>
        </w:tc>
        <w:tc>
          <w:tcPr>
            <w:tcW w:w="7591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Il n'est pas nécessaire d</w:t>
            </w:r>
            <w:r w:rsidR="00871391" w:rsidRPr="00584F78">
              <w:rPr>
                <w:rFonts w:ascii="Calibri" w:hAnsi="Calibri" w:cs="Calibri"/>
              </w:rPr>
              <w:t>e numériser une nouvelle fois c</w:t>
            </w:r>
            <w:r w:rsidRPr="00584F78">
              <w:rPr>
                <w:rFonts w:ascii="Calibri" w:hAnsi="Calibri" w:cs="Calibri"/>
              </w:rPr>
              <w:t>es documents dès lors qu'ils sont déjà archivés dans une rubrique du DRC (activité, statuts…).</w:t>
            </w:r>
          </w:p>
        </w:tc>
      </w:tr>
      <w:tr w:rsidR="00584F78" w:rsidRPr="00584F78" w:rsidTr="00C545B0">
        <w:trPr>
          <w:trHeight w:val="400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5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 xml:space="preserve">Est-il nécessaire de numériser avec le bordereau BE le justificatif d'identité du BE </w:t>
            </w:r>
            <w:r w:rsidRPr="00584F78">
              <w:rPr>
                <w:rFonts w:ascii="Calibri" w:hAnsi="Calibri" w:cs="Calibri"/>
              </w:rPr>
              <w:lastRenderedPageBreak/>
              <w:t>lorsqu'il s'agit de celui du représentant légal déjà numérisé dans la rubrique prévue à cet effet ?</w:t>
            </w:r>
          </w:p>
        </w:tc>
        <w:tc>
          <w:tcPr>
            <w:tcW w:w="7591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lastRenderedPageBreak/>
              <w:t xml:space="preserve">Non. </w:t>
            </w:r>
          </w:p>
        </w:tc>
      </w:tr>
      <w:tr w:rsidR="00584F78" w:rsidRPr="00584F78" w:rsidTr="00C545B0">
        <w:trPr>
          <w:trHeight w:val="255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lastRenderedPageBreak/>
              <w:t>6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Quel est le délai de régularisation des BE (présents ou non dans la liste PCM) ?</w:t>
            </w:r>
          </w:p>
        </w:tc>
        <w:tc>
          <w:tcPr>
            <w:tcW w:w="7591" w:type="dxa"/>
          </w:tcPr>
          <w:p w:rsidR="00AE167B" w:rsidRPr="00584F78" w:rsidRDefault="003C08A5" w:rsidP="00887F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La régularisation doit intervenir aussi vite que possible. Il e</w:t>
            </w:r>
            <w:r w:rsidR="00871391" w:rsidRPr="00584F78">
              <w:rPr>
                <w:rFonts w:ascii="Calibri" w:hAnsi="Calibri" w:cs="Calibri"/>
              </w:rPr>
              <w:t>st rappelé que les textes régle</w:t>
            </w:r>
            <w:r w:rsidRPr="00584F78">
              <w:rPr>
                <w:rFonts w:ascii="Calibri" w:hAnsi="Calibri" w:cs="Calibri"/>
              </w:rPr>
              <w:t>mentaires imposent aux banques d'identifier les bénéficiaires de la relation d'affaires (bénéficiaires ef</w:t>
            </w:r>
            <w:r w:rsidR="00887FCA" w:rsidRPr="00584F78">
              <w:rPr>
                <w:rFonts w:ascii="Calibri" w:hAnsi="Calibri" w:cs="Calibri"/>
              </w:rPr>
              <w:t>fectifs) à l'entrée en relation mais également</w:t>
            </w:r>
            <w:r w:rsidR="00AE167B" w:rsidRPr="00584F78">
              <w:rPr>
                <w:rFonts w:ascii="Calibri" w:hAnsi="Calibri" w:cs="Calibri"/>
              </w:rPr>
              <w:t xml:space="preserve"> en cours de relation : lorsque les informations publiques recueillies à l’occasion de la mise à jour des éléments de connaissance de la relation d’affaire indiquent que les éléments d’identification ne sont plus exacts ou pertinents.</w:t>
            </w:r>
          </w:p>
          <w:p w:rsidR="00AE167B" w:rsidRPr="00584F78" w:rsidRDefault="00AE167B" w:rsidP="00AE1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=&gt; La périodicité de cette mise à jour des éléments est fonction des risques de la relation.</w:t>
            </w:r>
          </w:p>
        </w:tc>
      </w:tr>
      <w:tr w:rsidR="00584F78" w:rsidRPr="00584F78" w:rsidTr="00C545B0">
        <w:trPr>
          <w:trHeight w:val="400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7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Quel doit être le premier interlocuteur interne en cas de difficulté à identifier les BE ?</w:t>
            </w:r>
          </w:p>
        </w:tc>
        <w:tc>
          <w:tcPr>
            <w:tcW w:w="7591" w:type="dxa"/>
          </w:tcPr>
          <w:p w:rsidR="00184BAA" w:rsidRPr="00584F78" w:rsidRDefault="00184BAA" w:rsidP="00184BA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Dans l’impossibilité d’identifier le BE : ne pas effectuer l’entrée en relation, et n’exécuter aucune opération, peu importe ses modalités.</w:t>
            </w:r>
          </w:p>
          <w:p w:rsidR="003C08A5" w:rsidRPr="00584F78" w:rsidRDefault="003C08A5" w:rsidP="00184BA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 xml:space="preserve">Après avoir effectué des recherches infructueuses, il convient de joindre </w:t>
            </w:r>
            <w:r w:rsidR="00887FCA" w:rsidRPr="00584F78">
              <w:rPr>
                <w:rFonts w:ascii="Calibri" w:hAnsi="Calibri" w:cs="Calibri"/>
              </w:rPr>
              <w:t xml:space="preserve">l’assistance. </w:t>
            </w:r>
          </w:p>
          <w:p w:rsidR="001B7F9A" w:rsidRPr="00584F78" w:rsidRDefault="00184BAA" w:rsidP="00184BA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Selon les situations, l’assistance informera le SLAB de la situation.</w:t>
            </w:r>
          </w:p>
        </w:tc>
      </w:tr>
      <w:tr w:rsidR="00584F78" w:rsidRPr="00584F78" w:rsidTr="00C545B0">
        <w:trPr>
          <w:trHeight w:val="400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8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Si nous ne disposons d'aucun élément probant permettant de confirmer l'identité des BE car nous ne pouvons pas connaître la répartition exacte du capital et des droits de vote, que devons-nous faire ?</w:t>
            </w:r>
          </w:p>
        </w:tc>
        <w:tc>
          <w:tcPr>
            <w:tcW w:w="7591" w:type="dxa"/>
          </w:tcPr>
          <w:p w:rsidR="00AE167B" w:rsidRPr="00584F78" w:rsidRDefault="003C08A5" w:rsidP="00184BA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 xml:space="preserve">Dans le cas où l'on considère que l'on est dans l'impossibilité d'identifier les BE (ou de conclure à l'absence de BE), il </w:t>
            </w:r>
            <w:r w:rsidR="00184BAA" w:rsidRPr="00584F78">
              <w:rPr>
                <w:rFonts w:ascii="Calibri" w:hAnsi="Calibri" w:cs="Calibri"/>
              </w:rPr>
              <w:t>convient d'en informer le SLAB et de ne pas effectuer l’entrée en relation.</w:t>
            </w:r>
          </w:p>
        </w:tc>
      </w:tr>
      <w:tr w:rsidR="00584F78" w:rsidRPr="00584F78" w:rsidTr="00C545B0">
        <w:trPr>
          <w:trHeight w:val="1272"/>
        </w:trPr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9</w:t>
            </w:r>
          </w:p>
        </w:tc>
        <w:tc>
          <w:tcPr>
            <w:tcW w:w="0" w:type="auto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  <w:b/>
                <w:bCs/>
              </w:rPr>
              <w:t>Tous marchés BDRProfessionnels</w:t>
            </w:r>
          </w:p>
        </w:tc>
        <w:tc>
          <w:tcPr>
            <w:tcW w:w="4368" w:type="dxa"/>
          </w:tcPr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En cas de dysfonctionnement de MySys ne permettant pas l'ouverture de la rubrique "Bord Bénéficiaires Effectifs" dans le menu Connaissance Client de Classeur Client pour archiver le document édité, où peut-on numériser le bordereau ?</w:t>
            </w:r>
          </w:p>
        </w:tc>
        <w:tc>
          <w:tcPr>
            <w:tcW w:w="7591" w:type="dxa"/>
          </w:tcPr>
          <w:p w:rsidR="00C545B0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Dans un premier temps, il convient de mod</w:t>
            </w:r>
            <w:r w:rsidR="00C545B0" w:rsidRPr="00584F78">
              <w:rPr>
                <w:rFonts w:ascii="Calibri" w:hAnsi="Calibri" w:cs="Calibri"/>
              </w:rPr>
              <w:t>ifier les % dans les liens assoc</w:t>
            </w:r>
            <w:r w:rsidRPr="00584F78">
              <w:rPr>
                <w:rFonts w:ascii="Calibri" w:hAnsi="Calibri" w:cs="Calibri"/>
              </w:rPr>
              <w:t xml:space="preserve">iés ou de modifier les liens BE provisoirement afin de tenter de déclencher une nouvelle fois l'ouverture de la rubrique Bordereau BE dans le menu Connaissance Client. </w:t>
            </w:r>
          </w:p>
          <w:p w:rsidR="003C08A5" w:rsidRPr="00584F78" w:rsidRDefault="003C08A5" w:rsidP="003C08A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584F78">
              <w:rPr>
                <w:rFonts w:ascii="Calibri" w:hAnsi="Calibri" w:cs="Calibri"/>
              </w:rPr>
              <w:t>Une fois la rubrique créée, il conviendra de numériser le document édité puis de corriger ultérieurement les modifications réalisées pour déclencher l'ouverture de la ligne.</w:t>
            </w:r>
            <w:r w:rsidR="00C545B0" w:rsidRPr="00584F78">
              <w:rPr>
                <w:rFonts w:ascii="Calibri" w:hAnsi="Calibri" w:cs="Calibri"/>
              </w:rPr>
              <w:t xml:space="preserve"> </w:t>
            </w:r>
            <w:r w:rsidRPr="00584F78">
              <w:rPr>
                <w:rFonts w:ascii="Calibri" w:hAnsi="Calibri" w:cs="Calibri"/>
              </w:rPr>
              <w:t xml:space="preserve">Si ce procédé échoue, la seule solution </w:t>
            </w:r>
            <w:r w:rsidR="00C545B0" w:rsidRPr="00584F78">
              <w:rPr>
                <w:rFonts w:ascii="Calibri" w:hAnsi="Calibri" w:cs="Calibri"/>
              </w:rPr>
              <w:t>consiste</w:t>
            </w:r>
            <w:r w:rsidRPr="00584F78">
              <w:rPr>
                <w:rFonts w:ascii="Calibri" w:hAnsi="Calibri" w:cs="Calibri"/>
              </w:rPr>
              <w:t xml:space="preserve"> alors à archiver le bordereau BE dans la rubrique "Id Bénéficiaires ayt 25 % du K" (pièces facultatives) du DRC dans Classeur Client pour les sociétés. Pour les autres personnes morales, pour </w:t>
            </w:r>
            <w:r w:rsidR="00C545B0" w:rsidRPr="00584F78">
              <w:rPr>
                <w:rFonts w:ascii="Calibri" w:hAnsi="Calibri" w:cs="Calibri"/>
              </w:rPr>
              <w:t>lesquelles</w:t>
            </w:r>
            <w:r w:rsidRPr="00584F78">
              <w:rPr>
                <w:rFonts w:ascii="Calibri" w:hAnsi="Calibri" w:cs="Calibri"/>
              </w:rPr>
              <w:t xml:space="preserve"> il n'existe pas de ligne "Id Bénéficiaires ayt 25 % du K" dans les pièces facultatives du </w:t>
            </w:r>
            <w:r w:rsidR="00584F78" w:rsidRPr="00584F78">
              <w:rPr>
                <w:rFonts w:ascii="Calibri" w:hAnsi="Calibri" w:cs="Calibri"/>
              </w:rPr>
              <w:t>DRC,</w:t>
            </w:r>
            <w:r w:rsidRPr="00584F78">
              <w:rPr>
                <w:rFonts w:ascii="Calibri" w:hAnsi="Calibri" w:cs="Calibri"/>
              </w:rPr>
              <w:t xml:space="preserve"> il conviendra d'archiver dans le mesure du possible le bordereau BE dans la rubrique "autres justificatifs DRC".</w:t>
            </w:r>
          </w:p>
        </w:tc>
      </w:tr>
    </w:tbl>
    <w:p w:rsidR="004E7F21" w:rsidRDefault="004E7F21"/>
    <w:sectPr w:rsidR="004E7F21" w:rsidSect="003C08A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53C66"/>
    <w:multiLevelType w:val="hybridMultilevel"/>
    <w:tmpl w:val="62061512"/>
    <w:lvl w:ilvl="0" w:tplc="869EF6DE">
      <w:numFmt w:val="bullet"/>
      <w:lvlText w:val=""/>
      <w:lvlJc w:val="left"/>
      <w:pPr>
        <w:ind w:left="360" w:hanging="360"/>
      </w:pPr>
      <w:rPr>
        <w:rFonts w:ascii="Wingdings" w:eastAsiaTheme="minorHAns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5F56DBF"/>
    <w:multiLevelType w:val="hybridMultilevel"/>
    <w:tmpl w:val="212E4A20"/>
    <w:lvl w:ilvl="0" w:tplc="0AB2C6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8A5"/>
    <w:rsid w:val="00184BAA"/>
    <w:rsid w:val="001B7F9A"/>
    <w:rsid w:val="003C08A5"/>
    <w:rsid w:val="00457E7C"/>
    <w:rsid w:val="004E7F21"/>
    <w:rsid w:val="00537A90"/>
    <w:rsid w:val="00584F78"/>
    <w:rsid w:val="00871391"/>
    <w:rsid w:val="00887FCA"/>
    <w:rsid w:val="00AE167B"/>
    <w:rsid w:val="00BA44E0"/>
    <w:rsid w:val="00C5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713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713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B38BC-1B77-45DD-A62C-AA0008A9B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823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5345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A5700629</dc:creator>
  <cp:lastModifiedBy>a5701281</cp:lastModifiedBy>
  <cp:revision>6</cp:revision>
  <dcterms:created xsi:type="dcterms:W3CDTF">2019-06-07T09:24:00Z</dcterms:created>
  <dcterms:modified xsi:type="dcterms:W3CDTF">2019-06-13T11:37:00Z</dcterms:modified>
</cp:coreProperties>
</file>