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4E14" w:rsidRDefault="008F4E14" w:rsidP="002D4B36">
      <w:pPr>
        <w:pStyle w:val="Titre1"/>
      </w:pPr>
      <w:r>
        <w:rPr>
          <w:noProof/>
          <w:lang w:eastAsia="fr-FR"/>
        </w:rPr>
        <mc:AlternateContent>
          <mc:Choice Requires="wps">
            <w:drawing>
              <wp:anchor distT="0" distB="0" distL="114300" distR="114300" simplePos="0" relativeHeight="251659264" behindDoc="0" locked="0" layoutInCell="1" allowOverlap="1" wp14:anchorId="232C020D" wp14:editId="6A577434">
                <wp:simplePos x="0" y="0"/>
                <wp:positionH relativeFrom="column">
                  <wp:posOffset>-915670</wp:posOffset>
                </wp:positionH>
                <wp:positionV relativeFrom="paragraph">
                  <wp:posOffset>-82921</wp:posOffset>
                </wp:positionV>
                <wp:extent cx="7719695" cy="659130"/>
                <wp:effectExtent l="0" t="0" r="14605" b="2667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19695" cy="659130"/>
                        </a:xfrm>
                        <a:prstGeom prst="rect">
                          <a:avLst/>
                        </a:prstGeom>
                        <a:noFill/>
                        <a:ln w="9525">
                          <a:solidFill>
                            <a:srgbClr val="CCC0D9"/>
                          </a:solidFill>
                          <a:miter lim="800000"/>
                          <a:headEnd/>
                          <a:tailEnd/>
                        </a:ln>
                        <a:extLst>
                          <a:ext uri="{909E8E84-426E-40DD-AFC4-6F175D3DCCD1}">
                            <a14:hiddenFill xmlns:a14="http://schemas.microsoft.com/office/drawing/2010/main">
                              <a:solidFill>
                                <a:srgbClr val="E5DFEC"/>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72.1pt;margin-top:-6.55pt;width:607.85pt;height:5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" filled="f" fillcolor="#e5dfec" strokecolor="#ccc0d9"/>
            </w:pict>
          </mc:Fallback>
        </mc:AlternateContent>
      </w:r>
      <w:r>
        <w:t xml:space="preserve">Comprendre les obligations réglementaires des banques et des clients </w:t>
      </w:r>
      <w:r w:rsidRPr="00C93736">
        <w:t>pour l’Echange automatique d’informations fiscales –</w:t>
      </w:r>
      <w:r>
        <w:t xml:space="preserve"> Clients Personnes morales</w:t>
      </w:r>
    </w:p>
    <w:p w:rsidR="008F4E14" w:rsidRPr="008F4E14" w:rsidRDefault="008F4E14" w:rsidP="008F4E14">
      <w:pPr>
        <w:widowControl/>
        <w:spacing w:after="0" w:line="280" w:lineRule="exact"/>
        <w:ind w:left="284"/>
        <w:jc w:val="both"/>
        <w:rPr>
          <w:rFonts w:ascii="Verdana" w:hAnsi="Verdana"/>
          <w:b/>
          <w:color w:val="7030A0"/>
          <w:sz w:val="12"/>
          <w:szCs w:val="20"/>
          <w:lang w:val="fr-FR"/>
        </w:rPr>
      </w:pPr>
    </w:p>
    <w:p w:rsidR="008F4E14" w:rsidRPr="008F4E14" w:rsidRDefault="008F4E14" w:rsidP="008F4E14">
      <w:pPr>
        <w:widowControl/>
        <w:numPr>
          <w:ilvl w:val="0"/>
          <w:numId w:val="4"/>
        </w:numPr>
        <w:spacing w:after="0" w:line="280" w:lineRule="exact"/>
        <w:ind w:left="284" w:hanging="284"/>
        <w:jc w:val="both"/>
        <w:rPr>
          <w:rFonts w:ascii="Verdana" w:hAnsi="Verdana"/>
          <w:b/>
          <w:color w:val="7030A0"/>
          <w:sz w:val="18"/>
          <w:szCs w:val="20"/>
          <w:lang w:val="fr-FR"/>
        </w:rPr>
      </w:pPr>
      <w:r w:rsidRPr="008F4E14">
        <w:rPr>
          <w:rFonts w:ascii="Verdana" w:hAnsi="Verdana"/>
          <w:b/>
          <w:color w:val="7030A0"/>
          <w:sz w:val="18"/>
          <w:szCs w:val="20"/>
          <w:u w:val="single"/>
          <w:lang w:val="fr-FR"/>
        </w:rPr>
        <w:t>Pourquoi mon banquier me demande-t-il des informations fiscales avant l’ouverture de mon compte ou la souscription de mon contrat d’assurance</w:t>
      </w:r>
      <w:r w:rsidRPr="008F4E14">
        <w:rPr>
          <w:rFonts w:ascii="Verdana" w:hAnsi="Verdana"/>
          <w:b/>
          <w:color w:val="7030A0"/>
          <w:sz w:val="18"/>
          <w:szCs w:val="20"/>
          <w:lang w:val="fr-FR"/>
        </w:rPr>
        <w:t xml:space="preserve"> ? </w:t>
      </w:r>
    </w:p>
    <w:p w:rsidR="008F4E14" w:rsidRPr="008F4E14" w:rsidRDefault="008F4E14" w:rsidP="008F4E14">
      <w:pPr>
        <w:widowControl/>
        <w:spacing w:after="0" w:line="280" w:lineRule="exact"/>
        <w:ind w:left="284"/>
        <w:jc w:val="both"/>
        <w:rPr>
          <w:rFonts w:ascii="Verdana" w:hAnsi="Verdana"/>
          <w:b/>
          <w:color w:val="7030A0"/>
          <w:sz w:val="18"/>
          <w:szCs w:val="20"/>
          <w:lang w:val="fr-FR"/>
        </w:rPr>
      </w:pPr>
    </w:p>
    <w:p w:rsidR="008F4E14" w:rsidRPr="008F4E14" w:rsidRDefault="008F4E14" w:rsidP="008F4E14">
      <w:pPr>
        <w:spacing w:after="0"/>
        <w:jc w:val="both"/>
        <w:rPr>
          <w:rFonts w:ascii="Verdana" w:hAnsi="Verdana"/>
          <w:sz w:val="18"/>
          <w:szCs w:val="20"/>
          <w:lang w:val="fr-FR"/>
        </w:rPr>
      </w:pPr>
      <w:r w:rsidRPr="008F4E14">
        <w:rPr>
          <w:rFonts w:ascii="Verdana" w:hAnsi="Verdana"/>
          <w:sz w:val="18"/>
          <w:szCs w:val="20"/>
          <w:lang w:val="fr-FR"/>
        </w:rPr>
        <w:t>Parce que votre banque participe à la lutte contre la fraude et l’évasion fiscale dans le cadre de la mise en œuvre de la norme commune de déclaration de l’OCDE. Cette norme porte sur l’échange automatique et obligatoire d’informations relatives aux comptes financiers</w:t>
      </w:r>
      <w:r w:rsidRPr="008F4E14">
        <w:rPr>
          <w:rStyle w:val="Appelnotedebasdep"/>
          <w:rFonts w:ascii="Verdana" w:hAnsi="Verdana"/>
          <w:sz w:val="18"/>
          <w:szCs w:val="20"/>
        </w:rPr>
        <w:footnoteReference w:id="1"/>
      </w:r>
      <w:r w:rsidRPr="008F4E14">
        <w:rPr>
          <w:rFonts w:ascii="Verdana" w:hAnsi="Verdana"/>
          <w:sz w:val="18"/>
          <w:szCs w:val="20"/>
          <w:lang w:val="fr-FR"/>
        </w:rPr>
        <w:t>. Depuis le 1</w:t>
      </w:r>
      <w:r w:rsidRPr="008F4E14">
        <w:rPr>
          <w:rFonts w:ascii="Verdana" w:hAnsi="Verdana"/>
          <w:sz w:val="18"/>
          <w:szCs w:val="20"/>
          <w:vertAlign w:val="superscript"/>
          <w:lang w:val="fr-FR"/>
        </w:rPr>
        <w:t>er</w:t>
      </w:r>
      <w:r w:rsidRPr="008F4E14">
        <w:rPr>
          <w:rFonts w:ascii="Verdana" w:hAnsi="Verdana"/>
          <w:sz w:val="18"/>
          <w:szCs w:val="20"/>
          <w:lang w:val="fr-FR"/>
        </w:rPr>
        <w:t xml:space="preserve"> janvier 2016, elle donne de nouvelles obligations aux banques en matière de  documentation et d’identification de la résidence fiscale de leurs clients. </w:t>
      </w:r>
    </w:p>
    <w:p w:rsidR="008F4E14" w:rsidRPr="008F4E14" w:rsidRDefault="008F4E14" w:rsidP="008F4E14">
      <w:pPr>
        <w:spacing w:after="0"/>
        <w:jc w:val="both"/>
        <w:rPr>
          <w:rFonts w:ascii="Verdana" w:hAnsi="Verdana"/>
          <w:sz w:val="18"/>
          <w:szCs w:val="20"/>
          <w:lang w:val="fr-FR"/>
        </w:rPr>
      </w:pPr>
    </w:p>
    <w:p w:rsidR="008F4E14" w:rsidRPr="008F4E14" w:rsidRDefault="008F4E14" w:rsidP="008F4E14">
      <w:pPr>
        <w:widowControl/>
        <w:numPr>
          <w:ilvl w:val="0"/>
          <w:numId w:val="4"/>
        </w:numPr>
        <w:spacing w:after="0" w:line="280" w:lineRule="exact"/>
        <w:ind w:left="284" w:hanging="284"/>
        <w:jc w:val="both"/>
        <w:rPr>
          <w:rFonts w:ascii="Verdana" w:hAnsi="Verdana"/>
          <w:b/>
          <w:color w:val="7030A0"/>
          <w:sz w:val="18"/>
          <w:szCs w:val="20"/>
          <w:u w:val="single"/>
          <w:lang w:val="fr-FR"/>
        </w:rPr>
      </w:pPr>
      <w:r w:rsidRPr="008F4E14">
        <w:rPr>
          <w:rFonts w:ascii="Verdana" w:hAnsi="Verdana"/>
          <w:b/>
          <w:color w:val="7030A0"/>
          <w:sz w:val="18"/>
          <w:szCs w:val="20"/>
          <w:u w:val="single"/>
          <w:lang w:val="fr-FR"/>
        </w:rPr>
        <w:t xml:space="preserve">Quelles sont mes obligations dans ce cadre ? </w:t>
      </w:r>
    </w:p>
    <w:p w:rsidR="008F4E14" w:rsidRPr="008F4E14" w:rsidRDefault="008F4E14" w:rsidP="008F4E14">
      <w:pPr>
        <w:widowControl/>
        <w:spacing w:after="0" w:line="280" w:lineRule="exact"/>
        <w:ind w:left="284"/>
        <w:jc w:val="both"/>
        <w:rPr>
          <w:rFonts w:ascii="Verdana" w:hAnsi="Verdana"/>
          <w:b/>
          <w:color w:val="7030A0"/>
          <w:sz w:val="18"/>
          <w:szCs w:val="20"/>
          <w:u w:val="single"/>
          <w:lang w:val="fr-FR"/>
        </w:rPr>
      </w:pPr>
    </w:p>
    <w:p w:rsidR="008F4E14" w:rsidRPr="008F4E14" w:rsidRDefault="008F4E14" w:rsidP="008F4E14">
      <w:pPr>
        <w:spacing w:after="0"/>
        <w:jc w:val="both"/>
        <w:rPr>
          <w:rFonts w:ascii="Verdana" w:hAnsi="Verdana"/>
          <w:sz w:val="18"/>
          <w:szCs w:val="20"/>
          <w:lang w:val="fr-FR"/>
        </w:rPr>
      </w:pPr>
      <w:r w:rsidRPr="008F4E14">
        <w:rPr>
          <w:rFonts w:ascii="Verdana" w:hAnsi="Verdana"/>
          <w:sz w:val="18"/>
          <w:szCs w:val="20"/>
          <w:lang w:val="fr-FR"/>
        </w:rPr>
        <w:t xml:space="preserve">En tant que client, vous êtes tenu de fournir à votre banquier notamment tout ou partie des informations suivantes : </w:t>
      </w:r>
    </w:p>
    <w:p w:rsidR="008F4E14" w:rsidRPr="008F4E14" w:rsidRDefault="008F4E14" w:rsidP="008F4E14">
      <w:pPr>
        <w:widowControl/>
        <w:numPr>
          <w:ilvl w:val="0"/>
          <w:numId w:val="3"/>
        </w:numPr>
        <w:spacing w:after="0" w:line="240" w:lineRule="auto"/>
        <w:jc w:val="both"/>
        <w:rPr>
          <w:rFonts w:ascii="Verdana" w:hAnsi="Verdana"/>
          <w:sz w:val="18"/>
          <w:szCs w:val="20"/>
        </w:rPr>
      </w:pPr>
      <w:r w:rsidRPr="008F4E14">
        <w:rPr>
          <w:rFonts w:ascii="Verdana" w:hAnsi="Verdana"/>
          <w:sz w:val="18"/>
          <w:szCs w:val="20"/>
        </w:rPr>
        <w:t xml:space="preserve">lieu de </w:t>
      </w:r>
      <w:proofErr w:type="spellStart"/>
      <w:r w:rsidRPr="008F4E14">
        <w:rPr>
          <w:rFonts w:ascii="Verdana" w:hAnsi="Verdana"/>
          <w:sz w:val="18"/>
          <w:szCs w:val="20"/>
        </w:rPr>
        <w:t>résidence</w:t>
      </w:r>
      <w:proofErr w:type="spellEnd"/>
      <w:r w:rsidRPr="008F4E14">
        <w:rPr>
          <w:rFonts w:ascii="Verdana" w:hAnsi="Verdana"/>
          <w:sz w:val="18"/>
          <w:szCs w:val="20"/>
        </w:rPr>
        <w:t xml:space="preserve"> </w:t>
      </w:r>
      <w:proofErr w:type="spellStart"/>
      <w:r w:rsidRPr="008F4E14">
        <w:rPr>
          <w:rFonts w:ascii="Verdana" w:hAnsi="Verdana"/>
          <w:sz w:val="18"/>
          <w:szCs w:val="20"/>
        </w:rPr>
        <w:t>fiscale</w:t>
      </w:r>
      <w:proofErr w:type="spellEnd"/>
      <w:r w:rsidRPr="008F4E14">
        <w:rPr>
          <w:rFonts w:ascii="Verdana" w:hAnsi="Verdana"/>
          <w:sz w:val="18"/>
          <w:szCs w:val="20"/>
        </w:rPr>
        <w:t>,</w:t>
      </w:r>
    </w:p>
    <w:p w:rsidR="008F4E14" w:rsidRPr="008F4E14" w:rsidRDefault="008F4E14" w:rsidP="008F4E14">
      <w:pPr>
        <w:widowControl/>
        <w:numPr>
          <w:ilvl w:val="0"/>
          <w:numId w:val="3"/>
        </w:numPr>
        <w:spacing w:after="0" w:line="240" w:lineRule="auto"/>
        <w:jc w:val="both"/>
        <w:rPr>
          <w:rFonts w:ascii="Verdana" w:hAnsi="Verdana"/>
          <w:sz w:val="18"/>
          <w:szCs w:val="20"/>
        </w:rPr>
      </w:pPr>
      <w:r w:rsidRPr="008F4E14">
        <w:rPr>
          <w:rFonts w:ascii="Verdana" w:hAnsi="Verdana"/>
          <w:sz w:val="18"/>
          <w:szCs w:val="20"/>
        </w:rPr>
        <w:t>NIF</w:t>
      </w:r>
      <w:r w:rsidRPr="008F4E14">
        <w:rPr>
          <w:rFonts w:ascii="Verdana" w:hAnsi="Verdana"/>
          <w:sz w:val="18"/>
          <w:szCs w:val="20"/>
          <w:vertAlign w:val="superscript"/>
        </w:rPr>
        <w:footnoteReference w:id="2"/>
      </w:r>
      <w:r w:rsidRPr="008F4E14">
        <w:rPr>
          <w:rFonts w:ascii="Verdana" w:hAnsi="Verdana"/>
          <w:sz w:val="18"/>
          <w:szCs w:val="20"/>
        </w:rPr>
        <w:t xml:space="preserve">,  </w:t>
      </w:r>
    </w:p>
    <w:p w:rsidR="008F4E14" w:rsidRPr="008F4E14" w:rsidRDefault="008F4E14" w:rsidP="008F4E14">
      <w:pPr>
        <w:widowControl/>
        <w:numPr>
          <w:ilvl w:val="0"/>
          <w:numId w:val="3"/>
        </w:numPr>
        <w:spacing w:after="0" w:line="240" w:lineRule="auto"/>
        <w:jc w:val="both"/>
        <w:rPr>
          <w:rFonts w:ascii="Verdana" w:hAnsi="Verdana"/>
          <w:sz w:val="18"/>
          <w:szCs w:val="20"/>
        </w:rPr>
      </w:pPr>
      <w:proofErr w:type="spellStart"/>
      <w:r w:rsidRPr="008F4E14">
        <w:rPr>
          <w:rFonts w:ascii="Verdana" w:hAnsi="Verdana"/>
          <w:sz w:val="18"/>
          <w:szCs w:val="20"/>
        </w:rPr>
        <w:t>statut</w:t>
      </w:r>
      <w:proofErr w:type="spellEnd"/>
      <w:r w:rsidRPr="008F4E14">
        <w:rPr>
          <w:rFonts w:ascii="Verdana" w:hAnsi="Verdana"/>
          <w:sz w:val="18"/>
          <w:szCs w:val="20"/>
          <w:vertAlign w:val="superscript"/>
        </w:rPr>
        <w:footnoteReference w:id="3"/>
      </w:r>
      <w:r w:rsidRPr="008F4E14">
        <w:rPr>
          <w:rFonts w:ascii="Verdana" w:hAnsi="Verdana"/>
          <w:sz w:val="18"/>
          <w:szCs w:val="20"/>
        </w:rPr>
        <w:t>,</w:t>
      </w:r>
    </w:p>
    <w:p w:rsidR="008F4E14" w:rsidRPr="008F4E14" w:rsidRDefault="008F4E14" w:rsidP="008F4E14">
      <w:pPr>
        <w:widowControl/>
        <w:numPr>
          <w:ilvl w:val="0"/>
          <w:numId w:val="3"/>
        </w:numPr>
        <w:spacing w:after="0" w:line="240" w:lineRule="auto"/>
        <w:jc w:val="both"/>
        <w:rPr>
          <w:rFonts w:ascii="Verdana" w:hAnsi="Verdana"/>
          <w:sz w:val="18"/>
          <w:szCs w:val="20"/>
          <w:lang w:val="fr-FR"/>
        </w:rPr>
      </w:pPr>
      <w:r w:rsidRPr="008F4E14">
        <w:rPr>
          <w:rFonts w:ascii="Verdana" w:hAnsi="Verdana"/>
          <w:sz w:val="18"/>
          <w:szCs w:val="20"/>
          <w:lang w:val="fr-FR"/>
        </w:rPr>
        <w:t xml:space="preserve">bénéficiaires effectifs – s’il y a lieu. </w:t>
      </w:r>
    </w:p>
    <w:p w:rsidR="008F4E14" w:rsidRPr="008F4E14" w:rsidRDefault="008F4E14" w:rsidP="008F4E14">
      <w:pPr>
        <w:spacing w:after="0" w:line="240" w:lineRule="auto"/>
        <w:jc w:val="both"/>
        <w:rPr>
          <w:rFonts w:ascii="Verdana" w:hAnsi="Verdana"/>
          <w:sz w:val="18"/>
          <w:szCs w:val="20"/>
          <w:lang w:val="fr-FR"/>
        </w:rPr>
      </w:pPr>
      <w:r w:rsidRPr="008F4E14">
        <w:rPr>
          <w:rFonts w:ascii="Verdana" w:hAnsi="Verdana"/>
          <w:sz w:val="18"/>
          <w:szCs w:val="20"/>
          <w:lang w:val="fr-FR"/>
        </w:rPr>
        <w:t>En tant que client personne morale, votre statut sera défini par la nature de votre activité et de vos ressources.</w:t>
      </w:r>
    </w:p>
    <w:p w:rsidR="008F4E14" w:rsidRPr="008F4E14" w:rsidRDefault="008F4E14" w:rsidP="008F4E14">
      <w:pPr>
        <w:spacing w:after="0" w:line="240" w:lineRule="auto"/>
        <w:jc w:val="both"/>
        <w:rPr>
          <w:rFonts w:ascii="Verdana" w:hAnsi="Verdana"/>
          <w:sz w:val="18"/>
          <w:szCs w:val="20"/>
          <w:lang w:val="fr-FR"/>
        </w:rPr>
      </w:pPr>
    </w:p>
    <w:p w:rsidR="008F4E14" w:rsidRPr="008F4E14" w:rsidRDefault="008F4E14" w:rsidP="008F4E14">
      <w:pPr>
        <w:widowControl/>
        <w:numPr>
          <w:ilvl w:val="0"/>
          <w:numId w:val="5"/>
        </w:numPr>
        <w:spacing w:after="0" w:line="280" w:lineRule="exact"/>
        <w:ind w:left="284" w:hanging="284"/>
        <w:jc w:val="both"/>
        <w:rPr>
          <w:rFonts w:ascii="Verdana" w:hAnsi="Verdana"/>
          <w:b/>
          <w:color w:val="7030A0"/>
          <w:sz w:val="18"/>
          <w:szCs w:val="20"/>
          <w:u w:val="single"/>
          <w:lang w:val="fr-FR"/>
        </w:rPr>
      </w:pPr>
      <w:r w:rsidRPr="008F4E14">
        <w:rPr>
          <w:rFonts w:ascii="Verdana" w:hAnsi="Verdana"/>
          <w:b/>
          <w:color w:val="7030A0"/>
          <w:sz w:val="18"/>
          <w:szCs w:val="20"/>
          <w:u w:val="single"/>
          <w:lang w:val="fr-FR"/>
        </w:rPr>
        <w:t>Pourquoi mon banquier ne puise-t-il pas dans les informations qu’il détient sur moi dans ses dossiers, notamment dans son SI ?</w:t>
      </w:r>
    </w:p>
    <w:p w:rsidR="008F4E14" w:rsidRPr="008F4E14" w:rsidRDefault="008F4E14" w:rsidP="008F4E14">
      <w:pPr>
        <w:widowControl/>
        <w:spacing w:after="0" w:line="280" w:lineRule="exact"/>
        <w:ind w:left="284"/>
        <w:jc w:val="both"/>
        <w:rPr>
          <w:rFonts w:ascii="Verdana" w:hAnsi="Verdana"/>
          <w:b/>
          <w:color w:val="7030A0"/>
          <w:sz w:val="18"/>
          <w:szCs w:val="20"/>
          <w:u w:val="single"/>
          <w:lang w:val="fr-FR"/>
        </w:rPr>
      </w:pPr>
    </w:p>
    <w:p w:rsidR="008F4E14" w:rsidRPr="008F4E14" w:rsidRDefault="008F4E14" w:rsidP="008F4E14">
      <w:pPr>
        <w:spacing w:after="0"/>
        <w:jc w:val="both"/>
        <w:rPr>
          <w:rFonts w:ascii="Verdana" w:hAnsi="Verdana"/>
          <w:sz w:val="18"/>
          <w:szCs w:val="20"/>
        </w:rPr>
      </w:pPr>
      <w:r w:rsidRPr="008F4E14">
        <w:rPr>
          <w:rFonts w:ascii="Verdana" w:hAnsi="Verdana"/>
          <w:sz w:val="18"/>
          <w:szCs w:val="20"/>
          <w:lang w:val="fr-FR"/>
        </w:rPr>
        <w:t xml:space="preserve">Le client est seul responsable de l’exactitude des informations fournies. Votre banque n’a pas le droit de prodiguer un conseil fiscal concernant les déclarations de ses clients. Celles-ci sont consignées sur un document spécifique - l’auto-certification - à dater et signer par tout client lors de l’ouverture d’un nouveau compte financier déclarable. </w:t>
      </w:r>
      <w:proofErr w:type="gramStart"/>
      <w:r w:rsidRPr="008F4E14">
        <w:rPr>
          <w:rFonts w:ascii="Verdana" w:hAnsi="Verdana"/>
          <w:sz w:val="18"/>
          <w:szCs w:val="20"/>
        </w:rPr>
        <w:t>Il</w:t>
      </w:r>
      <w:proofErr w:type="gramEnd"/>
      <w:r w:rsidRPr="008F4E14">
        <w:rPr>
          <w:rFonts w:ascii="Verdana" w:hAnsi="Verdana"/>
          <w:sz w:val="18"/>
          <w:szCs w:val="20"/>
        </w:rPr>
        <w:t xml:space="preserve"> </w:t>
      </w:r>
      <w:proofErr w:type="spellStart"/>
      <w:r w:rsidRPr="008F4E14">
        <w:rPr>
          <w:rFonts w:ascii="Verdana" w:hAnsi="Verdana"/>
          <w:sz w:val="18"/>
          <w:szCs w:val="20"/>
        </w:rPr>
        <w:t>restera</w:t>
      </w:r>
      <w:proofErr w:type="spellEnd"/>
      <w:r w:rsidRPr="008F4E14">
        <w:rPr>
          <w:rFonts w:ascii="Verdana" w:hAnsi="Verdana"/>
          <w:sz w:val="18"/>
          <w:szCs w:val="20"/>
        </w:rPr>
        <w:t xml:space="preserve"> </w:t>
      </w:r>
      <w:proofErr w:type="spellStart"/>
      <w:r w:rsidRPr="008F4E14">
        <w:rPr>
          <w:rFonts w:ascii="Verdana" w:hAnsi="Verdana"/>
          <w:sz w:val="18"/>
          <w:szCs w:val="20"/>
        </w:rPr>
        <w:t>valable</w:t>
      </w:r>
      <w:proofErr w:type="spellEnd"/>
      <w:r w:rsidRPr="008F4E14">
        <w:rPr>
          <w:rFonts w:ascii="Verdana" w:hAnsi="Verdana"/>
          <w:sz w:val="18"/>
          <w:szCs w:val="20"/>
        </w:rPr>
        <w:t xml:space="preserve"> </w:t>
      </w:r>
      <w:proofErr w:type="spellStart"/>
      <w:r w:rsidRPr="008F4E14">
        <w:rPr>
          <w:rFonts w:ascii="Verdana" w:hAnsi="Verdana"/>
          <w:sz w:val="18"/>
          <w:szCs w:val="20"/>
        </w:rPr>
        <w:t>jusqu’à</w:t>
      </w:r>
      <w:proofErr w:type="spellEnd"/>
      <w:r w:rsidRPr="008F4E14">
        <w:rPr>
          <w:rFonts w:ascii="Verdana" w:hAnsi="Verdana"/>
          <w:sz w:val="18"/>
          <w:szCs w:val="20"/>
        </w:rPr>
        <w:t xml:space="preserve"> un </w:t>
      </w:r>
      <w:proofErr w:type="spellStart"/>
      <w:r w:rsidRPr="008F4E14">
        <w:rPr>
          <w:rFonts w:ascii="Verdana" w:hAnsi="Verdana"/>
          <w:sz w:val="18"/>
          <w:szCs w:val="20"/>
        </w:rPr>
        <w:t>éventuel</w:t>
      </w:r>
      <w:proofErr w:type="spellEnd"/>
      <w:r w:rsidRPr="008F4E14">
        <w:rPr>
          <w:rFonts w:ascii="Verdana" w:hAnsi="Verdana"/>
          <w:sz w:val="18"/>
          <w:szCs w:val="20"/>
        </w:rPr>
        <w:t xml:space="preserve"> </w:t>
      </w:r>
      <w:proofErr w:type="spellStart"/>
      <w:r w:rsidRPr="008F4E14">
        <w:rPr>
          <w:rFonts w:ascii="Verdana" w:hAnsi="Verdana"/>
          <w:sz w:val="18"/>
          <w:szCs w:val="20"/>
        </w:rPr>
        <w:t>changement</w:t>
      </w:r>
      <w:proofErr w:type="spellEnd"/>
      <w:r w:rsidRPr="008F4E14">
        <w:rPr>
          <w:rFonts w:ascii="Verdana" w:hAnsi="Verdana"/>
          <w:sz w:val="18"/>
          <w:szCs w:val="20"/>
        </w:rPr>
        <w:t xml:space="preserve"> de </w:t>
      </w:r>
      <w:proofErr w:type="spellStart"/>
      <w:r w:rsidRPr="008F4E14">
        <w:rPr>
          <w:rFonts w:ascii="Verdana" w:hAnsi="Verdana"/>
          <w:sz w:val="18"/>
          <w:szCs w:val="20"/>
        </w:rPr>
        <w:t>circonstance</w:t>
      </w:r>
      <w:proofErr w:type="spellEnd"/>
      <w:r w:rsidRPr="008F4E14">
        <w:rPr>
          <w:rFonts w:ascii="Verdana" w:hAnsi="Verdana"/>
          <w:sz w:val="18"/>
          <w:szCs w:val="20"/>
        </w:rPr>
        <w:t>.</w:t>
      </w:r>
    </w:p>
    <w:p w:rsidR="008F4E14" w:rsidRPr="008F4E14" w:rsidRDefault="008F4E14" w:rsidP="008F4E14">
      <w:pPr>
        <w:spacing w:after="0"/>
        <w:jc w:val="both"/>
        <w:rPr>
          <w:rFonts w:ascii="Verdana" w:hAnsi="Verdana"/>
          <w:sz w:val="18"/>
          <w:szCs w:val="20"/>
        </w:rPr>
      </w:pPr>
    </w:p>
    <w:p w:rsidR="008F4E14" w:rsidRPr="008F4E14" w:rsidRDefault="008F4E14" w:rsidP="008F4E14">
      <w:pPr>
        <w:widowControl/>
        <w:numPr>
          <w:ilvl w:val="0"/>
          <w:numId w:val="5"/>
        </w:numPr>
        <w:spacing w:after="0" w:line="280" w:lineRule="exact"/>
        <w:ind w:left="284" w:hanging="284"/>
        <w:jc w:val="both"/>
        <w:rPr>
          <w:rFonts w:ascii="Verdana" w:hAnsi="Verdana"/>
          <w:b/>
          <w:color w:val="7030A0"/>
          <w:sz w:val="18"/>
          <w:szCs w:val="20"/>
          <w:u w:val="single"/>
          <w:lang w:val="fr-FR"/>
        </w:rPr>
      </w:pPr>
      <w:r w:rsidRPr="008F4E14">
        <w:rPr>
          <w:rFonts w:ascii="Verdana" w:hAnsi="Verdana"/>
          <w:b/>
          <w:color w:val="7030A0"/>
          <w:sz w:val="18"/>
          <w:szCs w:val="20"/>
          <w:u w:val="single"/>
          <w:lang w:val="fr-FR"/>
        </w:rPr>
        <w:t xml:space="preserve">Quelles sont les conséquences de la documentation et de l’identification de la résidence fiscale ? </w:t>
      </w:r>
    </w:p>
    <w:p w:rsidR="008F4E14" w:rsidRPr="008F4E14" w:rsidRDefault="008F4E14" w:rsidP="008F4E14">
      <w:pPr>
        <w:widowControl/>
        <w:spacing w:after="0" w:line="280" w:lineRule="exact"/>
        <w:ind w:left="284"/>
        <w:jc w:val="both"/>
        <w:rPr>
          <w:rFonts w:ascii="Verdana" w:hAnsi="Verdana"/>
          <w:b/>
          <w:color w:val="7030A0"/>
          <w:sz w:val="18"/>
          <w:szCs w:val="20"/>
          <w:u w:val="single"/>
          <w:lang w:val="fr-FR"/>
        </w:rPr>
      </w:pPr>
    </w:p>
    <w:p w:rsidR="008F4E14" w:rsidRPr="008F4E14" w:rsidRDefault="008F4E14" w:rsidP="008F4E14">
      <w:pPr>
        <w:spacing w:after="0"/>
        <w:jc w:val="both"/>
        <w:rPr>
          <w:rFonts w:ascii="Verdana" w:hAnsi="Verdana"/>
          <w:sz w:val="18"/>
          <w:szCs w:val="20"/>
          <w:lang w:val="fr-FR"/>
        </w:rPr>
      </w:pPr>
      <w:r w:rsidRPr="008F4E14">
        <w:rPr>
          <w:rFonts w:ascii="Verdana" w:hAnsi="Verdana"/>
          <w:sz w:val="18"/>
          <w:szCs w:val="20"/>
          <w:lang w:val="fr-FR"/>
        </w:rPr>
        <w:t>Votre banque est tenue d’indiquer aux autorités fiscales françaises le montant de vos avoirs déclarables. Le cas échéant, les autorités fiscales françaises transmettront ces informations aux autorités compétentes des juridictions partenaires.  Si vous déclarez être uniquement résident fiscal français et êtes identifié comme tel par votre banque, cela ne donnera pas lieu à transmission des informations vous concernant à l’administration fiscale française.</w:t>
      </w:r>
    </w:p>
    <w:p w:rsidR="008F4E14" w:rsidRPr="008F4E14" w:rsidRDefault="008F4E14" w:rsidP="008F4E14">
      <w:pPr>
        <w:jc w:val="both"/>
        <w:rPr>
          <w:rFonts w:ascii="Verdana" w:hAnsi="Verdana"/>
          <w:sz w:val="20"/>
          <w:lang w:val="fr-FR"/>
        </w:rPr>
      </w:pPr>
      <w:r w:rsidRPr="008F4E14">
        <w:rPr>
          <w:rFonts w:ascii="Verdana" w:hAnsi="Verdana"/>
          <w:sz w:val="20"/>
          <w:szCs w:val="20"/>
          <w:lang w:val="fr-FR"/>
        </w:rPr>
        <w:br w:type="page"/>
      </w:r>
      <w:bookmarkStart w:id="0" w:name="_GoBack"/>
      <w:bookmarkEnd w:id="0"/>
    </w:p>
    <w:p w:rsidR="008F4E14" w:rsidRPr="008F4E14" w:rsidRDefault="008F4E14" w:rsidP="002D4B36">
      <w:pPr>
        <w:pStyle w:val="Titre1"/>
      </w:pPr>
      <w:r w:rsidRPr="0049178D">
        <w:t>Annexe</w:t>
      </w:r>
      <w:r>
        <w:t>s</w:t>
      </w:r>
      <w:r>
        <w:br/>
      </w:r>
    </w:p>
    <w:p w:rsidR="008F4E14" w:rsidRPr="008F4E14" w:rsidRDefault="008F4E14" w:rsidP="008F4E14">
      <w:pPr>
        <w:pStyle w:val="Titre2"/>
        <w:spacing w:before="0" w:after="0"/>
      </w:pPr>
      <w:r w:rsidRPr="008F4E14">
        <w:t>Principaux comptes exclus du périmètre d’identification et de déclaration</w:t>
      </w:r>
    </w:p>
    <w:p w:rsidR="008F4E14" w:rsidRPr="008F4E14" w:rsidRDefault="008F4E14" w:rsidP="008F4E14">
      <w:pPr>
        <w:pStyle w:val="Default"/>
        <w:numPr>
          <w:ilvl w:val="0"/>
          <w:numId w:val="2"/>
        </w:numPr>
        <w:spacing w:line="280" w:lineRule="exact"/>
        <w:ind w:left="357" w:hanging="357"/>
        <w:jc w:val="both"/>
        <w:rPr>
          <w:rFonts w:ascii="Verdana" w:hAnsi="Verdana"/>
          <w:sz w:val="18"/>
          <w:szCs w:val="18"/>
        </w:rPr>
      </w:pPr>
      <w:r w:rsidRPr="008F4E14">
        <w:rPr>
          <w:rFonts w:ascii="Verdana" w:hAnsi="Verdana"/>
          <w:sz w:val="18"/>
          <w:szCs w:val="18"/>
        </w:rPr>
        <w:t>Produits d’épargne réglementée (Livret A, Livret Bleu, LEP, LDD, PEL, CEL PEP, livret jeune)</w:t>
      </w:r>
    </w:p>
    <w:p w:rsidR="008F4E14" w:rsidRPr="008F4E14" w:rsidRDefault="008F4E14" w:rsidP="008F4E14">
      <w:pPr>
        <w:pStyle w:val="Default"/>
        <w:numPr>
          <w:ilvl w:val="0"/>
          <w:numId w:val="2"/>
        </w:numPr>
        <w:spacing w:line="280" w:lineRule="exact"/>
        <w:ind w:left="357" w:hanging="357"/>
        <w:jc w:val="both"/>
        <w:rPr>
          <w:rFonts w:ascii="Verdana" w:hAnsi="Verdana"/>
          <w:sz w:val="18"/>
          <w:szCs w:val="18"/>
        </w:rPr>
      </w:pPr>
      <w:r w:rsidRPr="008F4E14">
        <w:rPr>
          <w:rFonts w:ascii="Verdana" w:hAnsi="Verdana"/>
          <w:sz w:val="18"/>
          <w:szCs w:val="18"/>
        </w:rPr>
        <w:t xml:space="preserve">Plans d’épargne entreprise et plans d’épargne retraite </w:t>
      </w:r>
    </w:p>
    <w:p w:rsidR="008F4E14" w:rsidRPr="008F4E14" w:rsidRDefault="008F4E14" w:rsidP="008F4E14">
      <w:pPr>
        <w:pStyle w:val="Default"/>
        <w:numPr>
          <w:ilvl w:val="0"/>
          <w:numId w:val="2"/>
        </w:numPr>
        <w:spacing w:line="280" w:lineRule="exact"/>
        <w:ind w:left="357" w:hanging="357"/>
        <w:jc w:val="both"/>
        <w:rPr>
          <w:rFonts w:ascii="Verdana" w:hAnsi="Verdana"/>
          <w:sz w:val="18"/>
          <w:szCs w:val="18"/>
        </w:rPr>
      </w:pPr>
    </w:p>
    <w:p w:rsidR="008F4E14" w:rsidRPr="008F4E14" w:rsidRDefault="008F4E14" w:rsidP="008F4E14">
      <w:pPr>
        <w:pStyle w:val="Titre2"/>
        <w:spacing w:before="0" w:after="0"/>
      </w:pPr>
      <w:r w:rsidRPr="008F4E14">
        <w:t xml:space="preserve">Liste des pays partenaires </w:t>
      </w:r>
    </w:p>
    <w:p w:rsidR="008F4E14" w:rsidRPr="008F4E14" w:rsidRDefault="008F4E14" w:rsidP="008F4E14">
      <w:pPr>
        <w:pStyle w:val="Sansinterligne"/>
        <w:spacing w:line="280" w:lineRule="exact"/>
        <w:jc w:val="both"/>
        <w:rPr>
          <w:sz w:val="18"/>
          <w:szCs w:val="18"/>
        </w:rPr>
      </w:pPr>
      <w:r w:rsidRPr="008F4E14">
        <w:rPr>
          <w:sz w:val="18"/>
          <w:szCs w:val="18"/>
        </w:rPr>
        <w:t xml:space="preserve">Au 4 juin 2015, la liste des juridictions avec lesquelles la France était liée par un échange automatisé d’information était la suivante. </w:t>
      </w:r>
    </w:p>
    <w:p w:rsidR="008F4E14" w:rsidRPr="008F4E14" w:rsidRDefault="008F4E14" w:rsidP="008F4E14">
      <w:pPr>
        <w:pStyle w:val="Sansinterligne"/>
        <w:numPr>
          <w:ilvl w:val="0"/>
          <w:numId w:val="2"/>
        </w:numPr>
        <w:spacing w:line="280" w:lineRule="exact"/>
        <w:jc w:val="both"/>
        <w:rPr>
          <w:sz w:val="18"/>
          <w:szCs w:val="18"/>
        </w:rPr>
      </w:pPr>
      <w:r w:rsidRPr="008F4E14">
        <w:rPr>
          <w:sz w:val="18"/>
          <w:szCs w:val="18"/>
        </w:rPr>
        <w:t>La totalité des 28 pays de l’UE.</w:t>
      </w:r>
    </w:p>
    <w:p w:rsidR="008F4E14" w:rsidRPr="008F4E14" w:rsidRDefault="008F4E14" w:rsidP="008F4E14">
      <w:pPr>
        <w:pStyle w:val="Sansinterligne"/>
        <w:numPr>
          <w:ilvl w:val="0"/>
          <w:numId w:val="2"/>
        </w:numPr>
        <w:spacing w:line="280" w:lineRule="exact"/>
        <w:jc w:val="both"/>
        <w:rPr>
          <w:sz w:val="18"/>
          <w:szCs w:val="18"/>
        </w:rPr>
      </w:pPr>
      <w:r w:rsidRPr="008F4E14">
        <w:rPr>
          <w:sz w:val="18"/>
          <w:szCs w:val="18"/>
        </w:rPr>
        <w:t>Afrique du Sud, Albanie, Argentine, Aruba, Australie, Bermudes, Iles Vierges Britanniques, Canada, Cayman, Chili, Colombie, Corée du Sud, Costa Rica, Curaçao, Etats-Unis d’Amérique, Ghana, Gibraltar, Guernesey, Ile de Man, Iles Féroé, Iles Turques-et-Caïques, Inde, Indonésie, Islande, Jersey, Liechtenstein, Luxembourg, Maurice, Mexique, Montserrat, Norvège, Nouvelle-Zélande, San Marino, Seychelles, Suisse.</w:t>
      </w:r>
    </w:p>
    <w:p w:rsidR="008F4E14" w:rsidRPr="008F4E14" w:rsidRDefault="008F4E14" w:rsidP="008F4E14">
      <w:pPr>
        <w:pStyle w:val="Sansinterligne"/>
        <w:spacing w:line="280" w:lineRule="exact"/>
        <w:ind w:left="360"/>
        <w:jc w:val="both"/>
        <w:rPr>
          <w:sz w:val="18"/>
          <w:szCs w:val="18"/>
        </w:rPr>
      </w:pPr>
    </w:p>
    <w:p w:rsidR="008F4E14" w:rsidRPr="008F4E14" w:rsidRDefault="008F4E14" w:rsidP="008F4E14">
      <w:pPr>
        <w:keepNext/>
        <w:spacing w:after="0"/>
        <w:jc w:val="both"/>
        <w:outlineLvl w:val="1"/>
        <w:rPr>
          <w:rFonts w:ascii="Verdana" w:eastAsia="Times New Roman" w:hAnsi="Verdana"/>
          <w:b/>
          <w:bCs/>
          <w:iCs/>
          <w:color w:val="7030A0"/>
          <w:sz w:val="18"/>
          <w:szCs w:val="18"/>
          <w:u w:val="single"/>
          <w:lang w:val="fr-FR"/>
        </w:rPr>
      </w:pPr>
      <w:r w:rsidRPr="008F4E14">
        <w:rPr>
          <w:rFonts w:ascii="Verdana" w:eastAsia="Times New Roman" w:hAnsi="Verdana"/>
          <w:b/>
          <w:bCs/>
          <w:iCs/>
          <w:color w:val="7030A0"/>
          <w:sz w:val="18"/>
          <w:szCs w:val="18"/>
          <w:u w:val="single"/>
          <w:lang w:val="fr-FR"/>
        </w:rPr>
        <w:t>Liste des 4 principaux statuts possibles pour une personne morale </w:t>
      </w:r>
    </w:p>
    <w:p w:rsidR="008F4E14" w:rsidRPr="008F4E14" w:rsidRDefault="008F4E14" w:rsidP="008F4E14">
      <w:pPr>
        <w:keepNext/>
        <w:spacing w:after="0"/>
        <w:jc w:val="both"/>
        <w:outlineLvl w:val="1"/>
        <w:rPr>
          <w:rFonts w:ascii="Verdana" w:eastAsia="Times New Roman" w:hAnsi="Verdana"/>
          <w:b/>
          <w:bCs/>
          <w:iCs/>
          <w:color w:val="7030A0"/>
          <w:sz w:val="18"/>
          <w:szCs w:val="18"/>
          <w:u w:val="single"/>
          <w:lang w:val="fr-FR"/>
        </w:rPr>
      </w:pPr>
    </w:p>
    <w:p w:rsidR="008F4E14" w:rsidRPr="008F4E14" w:rsidRDefault="008F4E14" w:rsidP="008F4E14">
      <w:pPr>
        <w:widowControl/>
        <w:numPr>
          <w:ilvl w:val="0"/>
          <w:numId w:val="6"/>
        </w:numPr>
        <w:spacing w:after="0" w:line="280" w:lineRule="exact"/>
        <w:jc w:val="both"/>
        <w:rPr>
          <w:rFonts w:ascii="Verdana" w:hAnsi="Verdana"/>
          <w:sz w:val="18"/>
          <w:szCs w:val="18"/>
          <w:lang w:val="fr-FR"/>
        </w:rPr>
      </w:pPr>
      <w:r w:rsidRPr="008F4E14">
        <w:rPr>
          <w:rFonts w:ascii="Verdana" w:hAnsi="Verdana"/>
          <w:b/>
          <w:color w:val="7030A0"/>
          <w:sz w:val="18"/>
          <w:szCs w:val="18"/>
          <w:lang w:val="fr-FR"/>
        </w:rPr>
        <w:t>Les entités non financières actives (ENF Actives)</w:t>
      </w:r>
      <w:r w:rsidRPr="008F4E14">
        <w:rPr>
          <w:rFonts w:ascii="Verdana" w:hAnsi="Verdana"/>
          <w:sz w:val="18"/>
          <w:szCs w:val="18"/>
          <w:lang w:val="fr-FR"/>
        </w:rPr>
        <w:t xml:space="preserve"> désignent habituellement une personne morale qui n’est pas une Institution Financière et dont les revenus sont majoritairement actifs (revenus du travail). </w:t>
      </w:r>
    </w:p>
    <w:p w:rsidR="008F4E14" w:rsidRPr="008F4E14" w:rsidRDefault="008F4E14" w:rsidP="008F4E14">
      <w:pPr>
        <w:spacing w:after="0"/>
        <w:ind w:firstLine="708"/>
        <w:jc w:val="both"/>
        <w:rPr>
          <w:rFonts w:ascii="Verdana" w:hAnsi="Verdana"/>
          <w:sz w:val="18"/>
          <w:szCs w:val="18"/>
          <w:lang w:val="fr-FR"/>
        </w:rPr>
      </w:pPr>
      <w:r w:rsidRPr="008F4E14">
        <w:rPr>
          <w:rFonts w:ascii="Verdana" w:hAnsi="Verdana"/>
          <w:sz w:val="18"/>
          <w:szCs w:val="18"/>
          <w:lang w:val="fr-FR"/>
        </w:rPr>
        <w:t>D’autres types de personnes morales peuvent aussi être ENF Active – cf. infra.</w:t>
      </w:r>
    </w:p>
    <w:p w:rsidR="008F4E14" w:rsidRPr="008F4E14" w:rsidRDefault="008F4E14" w:rsidP="008F4E14">
      <w:pPr>
        <w:spacing w:after="0"/>
        <w:ind w:firstLine="708"/>
        <w:jc w:val="both"/>
        <w:rPr>
          <w:rFonts w:ascii="Verdana" w:hAnsi="Verdana"/>
          <w:sz w:val="18"/>
          <w:szCs w:val="18"/>
          <w:lang w:val="fr-FR"/>
        </w:rPr>
      </w:pPr>
    </w:p>
    <w:p w:rsidR="008F4E14" w:rsidRPr="008F4E14" w:rsidRDefault="008F4E14" w:rsidP="008F4E14">
      <w:pPr>
        <w:widowControl/>
        <w:numPr>
          <w:ilvl w:val="0"/>
          <w:numId w:val="7"/>
        </w:numPr>
        <w:spacing w:after="0" w:line="280" w:lineRule="exact"/>
        <w:jc w:val="both"/>
        <w:rPr>
          <w:rFonts w:ascii="Verdana" w:hAnsi="Verdana"/>
          <w:sz w:val="18"/>
          <w:szCs w:val="18"/>
          <w:lang w:val="fr-FR"/>
        </w:rPr>
      </w:pPr>
      <w:r w:rsidRPr="008F4E14">
        <w:rPr>
          <w:rFonts w:ascii="Verdana" w:hAnsi="Verdana"/>
          <w:b/>
          <w:color w:val="7030A0"/>
          <w:sz w:val="18"/>
          <w:szCs w:val="18"/>
          <w:lang w:val="fr-FR"/>
        </w:rPr>
        <w:t>Les entités non financières actives non déclarables </w:t>
      </w:r>
      <w:r w:rsidRPr="008F4E14">
        <w:rPr>
          <w:rFonts w:ascii="Verdana" w:hAnsi="Verdana"/>
          <w:sz w:val="18"/>
          <w:szCs w:val="18"/>
          <w:lang w:val="fr-FR"/>
        </w:rPr>
        <w:t>regroupe les entités publiques, les organisations internationales, les banques centrales, les sociétés cotées en bourse, ou liées à des entités cotées en bourse.</w:t>
      </w:r>
    </w:p>
    <w:p w:rsidR="008F4E14" w:rsidRPr="008F4E14" w:rsidRDefault="008F4E14" w:rsidP="008F4E14">
      <w:pPr>
        <w:widowControl/>
        <w:spacing w:after="0" w:line="280" w:lineRule="exact"/>
        <w:ind w:left="720"/>
        <w:jc w:val="both"/>
        <w:rPr>
          <w:rFonts w:ascii="Verdana" w:hAnsi="Verdana"/>
          <w:sz w:val="18"/>
          <w:szCs w:val="18"/>
          <w:lang w:val="fr-FR"/>
        </w:rPr>
      </w:pPr>
    </w:p>
    <w:p w:rsidR="008F4E14" w:rsidRPr="008F4E14" w:rsidRDefault="008F4E14" w:rsidP="008F4E14">
      <w:pPr>
        <w:widowControl/>
        <w:numPr>
          <w:ilvl w:val="0"/>
          <w:numId w:val="7"/>
        </w:numPr>
        <w:spacing w:after="0" w:line="280" w:lineRule="exact"/>
        <w:jc w:val="both"/>
        <w:rPr>
          <w:rFonts w:ascii="Verdana" w:hAnsi="Verdana"/>
          <w:sz w:val="18"/>
          <w:szCs w:val="18"/>
          <w:lang w:val="fr-FR"/>
        </w:rPr>
      </w:pPr>
      <w:r w:rsidRPr="008F4E14">
        <w:rPr>
          <w:rFonts w:ascii="Verdana" w:hAnsi="Verdana"/>
          <w:b/>
          <w:color w:val="7030A0"/>
          <w:sz w:val="18"/>
          <w:szCs w:val="18"/>
          <w:lang w:val="fr-FR"/>
        </w:rPr>
        <w:t>Les entités non financières passives (ENF Passives)</w:t>
      </w:r>
      <w:r w:rsidRPr="008F4E14">
        <w:rPr>
          <w:rFonts w:ascii="Verdana" w:hAnsi="Verdana"/>
          <w:sz w:val="18"/>
          <w:szCs w:val="18"/>
          <w:lang w:val="fr-FR"/>
        </w:rPr>
        <w:t xml:space="preserve"> désignent habituellement une  personne morale qui n’est pas une Institution Financière  et dont les revenus sont majoritairement passifs (revenu du capital / dividendes, intérêts, certains loyers…).</w:t>
      </w:r>
    </w:p>
    <w:p w:rsidR="008F4E14" w:rsidRPr="008F4E14" w:rsidRDefault="008F4E14" w:rsidP="008F4E14">
      <w:pPr>
        <w:widowControl/>
        <w:spacing w:after="0" w:line="280" w:lineRule="exact"/>
        <w:jc w:val="both"/>
        <w:rPr>
          <w:rFonts w:ascii="Verdana" w:hAnsi="Verdana"/>
          <w:sz w:val="18"/>
          <w:szCs w:val="18"/>
          <w:lang w:val="fr-FR"/>
        </w:rPr>
      </w:pPr>
    </w:p>
    <w:p w:rsidR="008F4E14" w:rsidRPr="008F4E14" w:rsidRDefault="008F4E14" w:rsidP="008F4E14">
      <w:pPr>
        <w:widowControl/>
        <w:numPr>
          <w:ilvl w:val="0"/>
          <w:numId w:val="7"/>
        </w:numPr>
        <w:spacing w:after="0" w:line="280" w:lineRule="exact"/>
        <w:jc w:val="both"/>
        <w:rPr>
          <w:rFonts w:ascii="Verdana" w:hAnsi="Verdana"/>
          <w:sz w:val="18"/>
          <w:szCs w:val="18"/>
          <w:lang w:val="fr-FR"/>
        </w:rPr>
      </w:pPr>
      <w:r w:rsidRPr="008F4E14">
        <w:rPr>
          <w:rFonts w:ascii="Verdana" w:hAnsi="Verdana"/>
          <w:b/>
          <w:color w:val="7030A0"/>
          <w:sz w:val="18"/>
          <w:szCs w:val="18"/>
          <w:lang w:val="fr-FR"/>
        </w:rPr>
        <w:t>Les institutions financières (IF)</w:t>
      </w:r>
      <w:r w:rsidRPr="008F4E14">
        <w:rPr>
          <w:rFonts w:ascii="Verdana" w:hAnsi="Verdana"/>
          <w:sz w:val="18"/>
          <w:szCs w:val="18"/>
          <w:lang w:val="fr-FR"/>
        </w:rPr>
        <w:t xml:space="preserve"> sont des établissements publics ou privés qui assurent des services financiers. Les banques, certaines compagnies d’assurance ou entités d’investissement sont des institutions financières. </w:t>
      </w:r>
    </w:p>
    <w:p w:rsidR="008F4E14" w:rsidRPr="008F4E14" w:rsidRDefault="008F4E14" w:rsidP="008F4E14">
      <w:pPr>
        <w:widowControl/>
        <w:spacing w:after="0" w:line="280" w:lineRule="exact"/>
        <w:jc w:val="both"/>
        <w:rPr>
          <w:rFonts w:ascii="Verdana" w:hAnsi="Verdana"/>
          <w:sz w:val="18"/>
          <w:szCs w:val="18"/>
          <w:lang w:val="fr-FR"/>
        </w:rPr>
      </w:pPr>
    </w:p>
    <w:p w:rsidR="008F4E14" w:rsidRPr="008F4E14" w:rsidRDefault="008F4E14" w:rsidP="008F4E14">
      <w:pPr>
        <w:pStyle w:val="Titre2"/>
        <w:spacing w:before="0" w:after="0"/>
      </w:pPr>
      <w:r w:rsidRPr="008F4E14">
        <w:t>Liste indicative des entités pouvant être classifiées ENF actives</w:t>
      </w:r>
    </w:p>
    <w:p w:rsidR="008F4E14" w:rsidRPr="008F4E14" w:rsidRDefault="008F4E14" w:rsidP="008F4E14">
      <w:pPr>
        <w:pStyle w:val="Sansinterligne"/>
        <w:autoSpaceDE w:val="0"/>
        <w:autoSpaceDN w:val="0"/>
        <w:spacing w:line="280" w:lineRule="exact"/>
        <w:jc w:val="both"/>
        <w:rPr>
          <w:sz w:val="18"/>
          <w:szCs w:val="18"/>
        </w:rPr>
      </w:pPr>
      <w:r w:rsidRPr="008F4E14">
        <w:rPr>
          <w:sz w:val="18"/>
          <w:szCs w:val="18"/>
        </w:rPr>
        <w:t>Outre les personnes morales dont les re</w:t>
      </w:r>
      <w:r w:rsidRPr="008F4E14">
        <w:rPr>
          <w:b/>
          <w:sz w:val="18"/>
          <w:szCs w:val="18"/>
        </w:rPr>
        <w:t>venus sont majoritairement</w:t>
      </w:r>
      <w:r w:rsidRPr="008F4E14">
        <w:rPr>
          <w:sz w:val="18"/>
          <w:szCs w:val="18"/>
        </w:rPr>
        <w:t xml:space="preserve"> actifs (issus des </w:t>
      </w:r>
      <w:r w:rsidRPr="008F4E14">
        <w:rPr>
          <w:b/>
          <w:sz w:val="18"/>
          <w:szCs w:val="18"/>
        </w:rPr>
        <w:t xml:space="preserve">revenus du travail </w:t>
      </w:r>
      <w:r w:rsidRPr="008F4E14">
        <w:rPr>
          <w:sz w:val="18"/>
          <w:szCs w:val="18"/>
        </w:rPr>
        <w:t xml:space="preserve">– cf. supra), peuvent également être considérées comme des ENF actives : </w:t>
      </w:r>
    </w:p>
    <w:p w:rsidR="008F4E14" w:rsidRPr="008F4E14" w:rsidRDefault="008F4E14" w:rsidP="008F4E14">
      <w:pPr>
        <w:pStyle w:val="Sansinterligne"/>
        <w:numPr>
          <w:ilvl w:val="0"/>
          <w:numId w:val="1"/>
        </w:numPr>
        <w:autoSpaceDE w:val="0"/>
        <w:autoSpaceDN w:val="0"/>
        <w:spacing w:line="280" w:lineRule="exact"/>
        <w:ind w:left="357" w:hanging="357"/>
        <w:jc w:val="both"/>
        <w:rPr>
          <w:sz w:val="18"/>
          <w:szCs w:val="18"/>
        </w:rPr>
      </w:pPr>
      <w:r w:rsidRPr="008F4E14">
        <w:rPr>
          <w:sz w:val="18"/>
          <w:szCs w:val="18"/>
        </w:rPr>
        <w:t xml:space="preserve">les </w:t>
      </w:r>
      <w:r w:rsidRPr="008F4E14">
        <w:rPr>
          <w:b/>
          <w:sz w:val="18"/>
          <w:szCs w:val="18"/>
        </w:rPr>
        <w:t>associations</w:t>
      </w:r>
      <w:r w:rsidRPr="008F4E14">
        <w:rPr>
          <w:sz w:val="18"/>
          <w:szCs w:val="18"/>
        </w:rPr>
        <w:t xml:space="preserve">, </w:t>
      </w:r>
    </w:p>
    <w:p w:rsidR="008F4E14" w:rsidRPr="008F4E14" w:rsidRDefault="008F4E14" w:rsidP="008F4E14">
      <w:pPr>
        <w:pStyle w:val="Sansinterligne"/>
        <w:numPr>
          <w:ilvl w:val="0"/>
          <w:numId w:val="1"/>
        </w:numPr>
        <w:autoSpaceDE w:val="0"/>
        <w:autoSpaceDN w:val="0"/>
        <w:spacing w:line="280" w:lineRule="exact"/>
        <w:ind w:left="357" w:hanging="357"/>
        <w:jc w:val="both"/>
        <w:rPr>
          <w:sz w:val="18"/>
          <w:szCs w:val="18"/>
        </w:rPr>
      </w:pPr>
      <w:r w:rsidRPr="008F4E14">
        <w:rPr>
          <w:sz w:val="18"/>
          <w:szCs w:val="18"/>
        </w:rPr>
        <w:t xml:space="preserve">les </w:t>
      </w:r>
      <w:r w:rsidRPr="008F4E14">
        <w:rPr>
          <w:b/>
          <w:sz w:val="18"/>
          <w:szCs w:val="18"/>
        </w:rPr>
        <w:t xml:space="preserve">organisations professionnelles, patronales </w:t>
      </w:r>
      <w:r w:rsidRPr="008F4E14">
        <w:rPr>
          <w:sz w:val="18"/>
          <w:szCs w:val="18"/>
        </w:rPr>
        <w:t>ou</w:t>
      </w:r>
      <w:r w:rsidRPr="008F4E14">
        <w:rPr>
          <w:b/>
          <w:sz w:val="18"/>
          <w:szCs w:val="18"/>
        </w:rPr>
        <w:t xml:space="preserve"> syndicales</w:t>
      </w:r>
      <w:r w:rsidRPr="008F4E14">
        <w:rPr>
          <w:sz w:val="18"/>
          <w:szCs w:val="18"/>
        </w:rPr>
        <w:t>.</w:t>
      </w:r>
    </w:p>
    <w:p w:rsidR="008F4E14" w:rsidRPr="008F4E14" w:rsidRDefault="008F4E14" w:rsidP="008F4E14">
      <w:pPr>
        <w:spacing w:after="0" w:line="200" w:lineRule="exact"/>
        <w:jc w:val="both"/>
        <w:rPr>
          <w:sz w:val="18"/>
          <w:szCs w:val="18"/>
          <w:lang w:val="fr-FR"/>
        </w:rPr>
      </w:pPr>
    </w:p>
    <w:p w:rsidR="008F4E14" w:rsidRPr="008F4E14" w:rsidRDefault="008F4E14" w:rsidP="008F4E14">
      <w:pPr>
        <w:spacing w:after="0" w:line="200" w:lineRule="exact"/>
        <w:jc w:val="both"/>
        <w:rPr>
          <w:sz w:val="18"/>
          <w:szCs w:val="18"/>
          <w:lang w:val="fr-FR"/>
        </w:rPr>
      </w:pPr>
    </w:p>
    <w:p w:rsidR="008F4E14" w:rsidRPr="008F4E14" w:rsidRDefault="008F4E14" w:rsidP="008F4E14">
      <w:pPr>
        <w:spacing w:after="0" w:line="200" w:lineRule="exact"/>
        <w:jc w:val="both"/>
        <w:rPr>
          <w:sz w:val="18"/>
          <w:szCs w:val="18"/>
          <w:lang w:val="fr-FR"/>
        </w:rPr>
      </w:pPr>
    </w:p>
    <w:sectPr w:rsidR="008F4E14" w:rsidRPr="008F4E14">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21E9" w:rsidRDefault="004721E9">
      <w:pPr>
        <w:spacing w:after="0" w:line="240" w:lineRule="auto"/>
      </w:pPr>
      <w:r>
        <w:separator/>
      </w:r>
    </w:p>
  </w:endnote>
  <w:endnote w:type="continuationSeparator" w:id="0">
    <w:p w:rsidR="004721E9" w:rsidRDefault="004721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EUAlbertina">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1F33" w:rsidRDefault="000F1F33">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E55" w:rsidRDefault="00672E55">
    <w:pPr>
      <w:pStyle w:val="Pieddepage"/>
      <w:rPr>
        <w:sz w:val="16"/>
        <w:lang w:val="fr-FR"/>
      </w:rPr>
    </w:pPr>
    <w:r>
      <w:rPr>
        <w:noProof/>
        <w:sz w:val="16"/>
        <w:lang w:val="fr-FR" w:eastAsia="fr-FR"/>
      </w:rPr>
      <mc:AlternateContent>
        <mc:Choice Requires="wps">
          <w:drawing>
            <wp:anchor distT="0" distB="0" distL="114300" distR="114300" simplePos="0" relativeHeight="251659264" behindDoc="0" locked="0" layoutInCell="1" allowOverlap="1" wp14:anchorId="58BF3BFA" wp14:editId="3B6CC2E2">
              <wp:simplePos x="0" y="0"/>
              <wp:positionH relativeFrom="column">
                <wp:posOffset>-671195</wp:posOffset>
              </wp:positionH>
              <wp:positionV relativeFrom="paragraph">
                <wp:posOffset>72448</wp:posOffset>
              </wp:positionV>
              <wp:extent cx="7051675" cy="0"/>
              <wp:effectExtent l="0" t="0" r="15875" b="19050"/>
              <wp:wrapNone/>
              <wp:docPr id="3" name="Connecteur droit 3"/>
              <wp:cNvGraphicFramePr/>
              <a:graphic xmlns:a="http://schemas.openxmlformats.org/drawingml/2006/main">
                <a:graphicData uri="http://schemas.microsoft.com/office/word/2010/wordprocessingShape">
                  <wps:wsp>
                    <wps:cNvCnPr/>
                    <wps:spPr>
                      <a:xfrm>
                        <a:off x="0" y="0"/>
                        <a:ext cx="705167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id="Connecteur droit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2.85pt,5.7pt" to="502.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" strokecolor="#bc4542 [3045]"/>
          </w:pict>
        </mc:Fallback>
      </mc:AlternateContent>
    </w:r>
  </w:p>
  <w:p w:rsidR="00B537B1" w:rsidRPr="00672E55" w:rsidRDefault="00B537B1">
    <w:pPr>
      <w:pStyle w:val="Pieddepage"/>
      <w:rPr>
        <w:sz w:val="16"/>
        <w:lang w:val="fr-FR"/>
      </w:rPr>
    </w:pPr>
    <w:r w:rsidRPr="00672E55">
      <w:rPr>
        <w:sz w:val="16"/>
        <w:lang w:val="fr-FR"/>
      </w:rPr>
      <w:t>Caisse d’Epargne et de Prévoyance Grand Est Europe, Banque coopérative régie par les articles L.512-85 et suivants du Code Monétaire et Financier, société anonyme à Directoire et Conseil d’Orientation et de Surveillance au capital de 681.876.700 € - siège social à STRASBOURG (67000), 1, avenue du Rhin - 775 618 622  RCS STRASBOURG - immatriculée à l’ORIAS sous le n° 07 004</w:t>
    </w:r>
    <w:r w:rsidR="00672E55" w:rsidRPr="00672E55">
      <w:rPr>
        <w:sz w:val="16"/>
        <w:lang w:val="fr-FR"/>
      </w:rPr>
      <w:t> </w:t>
    </w:r>
    <w:r w:rsidRPr="00672E55">
      <w:rPr>
        <w:sz w:val="16"/>
        <w:lang w:val="fr-FR"/>
      </w:rPr>
      <w:t>738.</w:t>
    </w:r>
  </w:p>
  <w:p w:rsidR="00672E55" w:rsidRDefault="00672E55">
    <w:pPr>
      <w:pStyle w:val="Pieddepage"/>
      <w:rPr>
        <w:lang w:val="fr-FR"/>
      </w:rPr>
    </w:pPr>
  </w:p>
  <w:p w:rsidR="00672E55" w:rsidRPr="00672E55" w:rsidRDefault="000F1F33">
    <w:pPr>
      <w:pStyle w:val="Pieddepage"/>
      <w:rPr>
        <w:sz w:val="16"/>
        <w:lang w:val="fr-FR"/>
      </w:rPr>
    </w:pPr>
    <w:r>
      <w:rPr>
        <w:sz w:val="16"/>
        <w:lang w:val="fr-FR"/>
      </w:rPr>
      <w:t xml:space="preserve">Page </w:t>
    </w:r>
    <w:r w:rsidR="00672E55" w:rsidRPr="00672E55">
      <w:rPr>
        <w:sz w:val="16"/>
        <w:lang w:val="fr-FR"/>
      </w:rPr>
      <w:fldChar w:fldCharType="begin"/>
    </w:r>
    <w:r w:rsidR="00672E55" w:rsidRPr="00672E55">
      <w:rPr>
        <w:sz w:val="16"/>
        <w:lang w:val="fr-FR"/>
      </w:rPr>
      <w:instrText>PAGE   \* MERGEFORMAT</w:instrText>
    </w:r>
    <w:r w:rsidR="00672E55" w:rsidRPr="00672E55">
      <w:rPr>
        <w:sz w:val="16"/>
        <w:lang w:val="fr-FR"/>
      </w:rPr>
      <w:fldChar w:fldCharType="separate"/>
    </w:r>
    <w:r w:rsidR="002D4B36">
      <w:rPr>
        <w:noProof/>
        <w:sz w:val="16"/>
        <w:lang w:val="fr-FR"/>
      </w:rPr>
      <w:t>2</w:t>
    </w:r>
    <w:r w:rsidR="00672E55" w:rsidRPr="00672E55">
      <w:rPr>
        <w:sz w:val="16"/>
        <w:lang w:val="fr-FR"/>
      </w:rPr>
      <w:fldChar w:fldCharType="end"/>
    </w:r>
    <w:r w:rsidR="00672E55" w:rsidRPr="00672E55">
      <w:rPr>
        <w:sz w:val="16"/>
        <w:lang w:val="fr-FR"/>
      </w:rPr>
      <w:tab/>
    </w:r>
    <w:r w:rsidR="00672E55" w:rsidRPr="00672E55">
      <w:rPr>
        <w:sz w:val="16"/>
        <w:lang w:val="fr-FR"/>
      </w:rPr>
      <w:tab/>
      <w:t>16/05/2018</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1F33" w:rsidRDefault="000F1F33">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21E9" w:rsidRDefault="004721E9">
      <w:pPr>
        <w:spacing w:after="0" w:line="240" w:lineRule="auto"/>
      </w:pPr>
      <w:r>
        <w:separator/>
      </w:r>
    </w:p>
  </w:footnote>
  <w:footnote w:type="continuationSeparator" w:id="0">
    <w:p w:rsidR="004721E9" w:rsidRDefault="004721E9">
      <w:pPr>
        <w:spacing w:after="0" w:line="240" w:lineRule="auto"/>
      </w:pPr>
      <w:r>
        <w:continuationSeparator/>
      </w:r>
    </w:p>
  </w:footnote>
  <w:footnote w:id="1">
    <w:p w:rsidR="008F4E14" w:rsidRPr="008F4E14" w:rsidRDefault="008F4E14" w:rsidP="008F4E14">
      <w:pPr>
        <w:pStyle w:val="Notedebasdepage"/>
        <w:spacing w:before="0"/>
        <w:rPr>
          <w:sz w:val="16"/>
          <w:szCs w:val="16"/>
        </w:rPr>
      </w:pPr>
      <w:r w:rsidRPr="008F4E14">
        <w:rPr>
          <w:rStyle w:val="Appelnotedebasdep"/>
          <w:sz w:val="16"/>
          <w:szCs w:val="16"/>
        </w:rPr>
        <w:footnoteRef/>
      </w:r>
      <w:r w:rsidRPr="008F4E14">
        <w:rPr>
          <w:sz w:val="16"/>
          <w:szCs w:val="16"/>
        </w:rPr>
        <w:t>.  Directive 2014/107/UE du 9 décembre 2014 ; article 1649 du code général des impôts.</w:t>
      </w:r>
    </w:p>
  </w:footnote>
  <w:footnote w:id="2">
    <w:p w:rsidR="008F4E14" w:rsidRPr="008F4E14" w:rsidRDefault="008F4E14" w:rsidP="008F4E14">
      <w:pPr>
        <w:spacing w:after="0" w:line="200" w:lineRule="exact"/>
        <w:rPr>
          <w:rFonts w:ascii="Verdana" w:hAnsi="Verdana"/>
          <w:sz w:val="16"/>
          <w:szCs w:val="16"/>
          <w:lang w:val="fr-FR"/>
        </w:rPr>
      </w:pPr>
      <w:r w:rsidRPr="008F4E14">
        <w:rPr>
          <w:rStyle w:val="Appelnotedebasdep"/>
          <w:rFonts w:ascii="Verdana" w:hAnsi="Verdana"/>
          <w:sz w:val="16"/>
          <w:szCs w:val="16"/>
        </w:rPr>
        <w:footnoteRef/>
      </w:r>
      <w:r w:rsidRPr="008F4E14">
        <w:rPr>
          <w:rStyle w:val="Appelnotedebasdep"/>
          <w:rFonts w:ascii="Verdana" w:hAnsi="Verdana"/>
          <w:sz w:val="16"/>
          <w:szCs w:val="16"/>
          <w:lang w:val="fr-FR"/>
        </w:rPr>
        <w:t xml:space="preserve">. </w:t>
      </w:r>
      <w:r w:rsidRPr="008F4E14">
        <w:rPr>
          <w:rFonts w:ascii="Verdana" w:hAnsi="Verdana"/>
          <w:sz w:val="16"/>
          <w:szCs w:val="16"/>
          <w:lang w:val="fr-FR"/>
        </w:rPr>
        <w:t xml:space="preserve">Un </w:t>
      </w:r>
      <w:r w:rsidRPr="008F4E14">
        <w:rPr>
          <w:rFonts w:ascii="Verdana" w:hAnsi="Verdana"/>
          <w:b/>
          <w:sz w:val="16"/>
          <w:szCs w:val="16"/>
          <w:lang w:val="fr-FR"/>
        </w:rPr>
        <w:t>NIF</w:t>
      </w:r>
      <w:r w:rsidRPr="008F4E14">
        <w:rPr>
          <w:rFonts w:ascii="Verdana" w:hAnsi="Verdana"/>
          <w:sz w:val="16"/>
          <w:szCs w:val="16"/>
          <w:lang w:val="fr-FR"/>
        </w:rPr>
        <w:t>, (pour « Numéro d’Identification Fiscale ») est un numéro unique délivré par certaines administrations fiscales à leurs résidents fiscaux. A ce jour, le NIF n’est pas obligatoire pour un client résident fiscal français si le contrat souscrit est produit par un établissement français. Si le contrat souscrit est produit par un établissement hors France, le recueil du NIF est alors obligatoire. Aux Etats-Unis, le NIF s’appelle un TIN (</w:t>
      </w:r>
      <w:proofErr w:type="spellStart"/>
      <w:r w:rsidRPr="008F4E14">
        <w:rPr>
          <w:rFonts w:ascii="Verdana" w:hAnsi="Verdana"/>
          <w:i/>
          <w:sz w:val="16"/>
          <w:szCs w:val="16"/>
          <w:lang w:val="fr-FR"/>
        </w:rPr>
        <w:t>Taxpayer</w:t>
      </w:r>
      <w:proofErr w:type="spellEnd"/>
      <w:r w:rsidRPr="008F4E14">
        <w:rPr>
          <w:rFonts w:ascii="Verdana" w:hAnsi="Verdana"/>
          <w:i/>
          <w:sz w:val="16"/>
          <w:szCs w:val="16"/>
          <w:lang w:val="fr-FR"/>
        </w:rPr>
        <w:t xml:space="preserve"> Identification </w:t>
      </w:r>
      <w:proofErr w:type="spellStart"/>
      <w:r w:rsidRPr="008F4E14">
        <w:rPr>
          <w:rFonts w:ascii="Verdana" w:hAnsi="Verdana"/>
          <w:i/>
          <w:sz w:val="16"/>
          <w:szCs w:val="16"/>
          <w:lang w:val="fr-FR"/>
        </w:rPr>
        <w:t>Number</w:t>
      </w:r>
      <w:proofErr w:type="spellEnd"/>
      <w:r w:rsidRPr="008F4E14">
        <w:rPr>
          <w:rFonts w:ascii="Verdana" w:hAnsi="Verdana"/>
          <w:sz w:val="16"/>
          <w:szCs w:val="16"/>
          <w:lang w:val="fr-FR"/>
        </w:rPr>
        <w:t>).</w:t>
      </w:r>
    </w:p>
  </w:footnote>
  <w:footnote w:id="3">
    <w:p w:rsidR="008F4E14" w:rsidRPr="00F70541" w:rsidRDefault="008F4E14" w:rsidP="008F4E14">
      <w:pPr>
        <w:pStyle w:val="Notedebasdepage"/>
        <w:spacing w:before="0" w:line="200" w:lineRule="exact"/>
        <w:rPr>
          <w:sz w:val="16"/>
          <w:szCs w:val="16"/>
        </w:rPr>
      </w:pPr>
      <w:r w:rsidRPr="008F4E14">
        <w:rPr>
          <w:rStyle w:val="Appelnotedebasdep"/>
          <w:sz w:val="16"/>
          <w:szCs w:val="16"/>
        </w:rPr>
        <w:footnoteRef/>
      </w:r>
      <w:r w:rsidRPr="008F4E14">
        <w:rPr>
          <w:sz w:val="16"/>
          <w:szCs w:val="16"/>
        </w:rPr>
        <w:t xml:space="preserve">. Les différents </w:t>
      </w:r>
      <w:r w:rsidRPr="008F4E14">
        <w:rPr>
          <w:b/>
          <w:sz w:val="16"/>
          <w:szCs w:val="16"/>
        </w:rPr>
        <w:t xml:space="preserve">statuts </w:t>
      </w:r>
      <w:r w:rsidRPr="008F4E14">
        <w:rPr>
          <w:sz w:val="16"/>
          <w:szCs w:val="16"/>
        </w:rPr>
        <w:t>sont définis au verso, de même que les principaux comptes non déclarables.</w:t>
      </w:r>
      <w:r>
        <w:rPr>
          <w:sz w:val="16"/>
          <w:szCs w:val="16"/>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1F33" w:rsidRDefault="000F1F33">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37B1" w:rsidRDefault="00B537B1">
    <w:pPr>
      <w:pStyle w:val="En-tte"/>
    </w:pPr>
    <w:r>
      <w:rPr>
        <w:noProof/>
        <w:lang w:val="fr-FR" w:eastAsia="fr-FR"/>
      </w:rPr>
      <w:drawing>
        <wp:inline distT="0" distB="0" distL="0" distR="0" wp14:anchorId="72D233CD" wp14:editId="051A3065">
          <wp:extent cx="2384921" cy="5334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Horizontal-Web-1181-x-265.jpg"/>
                  <pic:cNvPicPr/>
                </pic:nvPicPr>
                <pic:blipFill>
                  <a:blip r:embed="rId1">
                    <a:extLst>
                      <a:ext uri="{28A0092B-C50C-407E-A947-70E740481C1C}">
                        <a14:useLocalDpi xmlns:a14="http://schemas.microsoft.com/office/drawing/2010/main" val="0"/>
                      </a:ext>
                    </a:extLst>
                  </a:blip>
                  <a:stretch>
                    <a:fillRect/>
                  </a:stretch>
                </pic:blipFill>
                <pic:spPr>
                  <a:xfrm>
                    <a:off x="0" y="0"/>
                    <a:ext cx="2384815" cy="533376"/>
                  </a:xfrm>
                  <a:prstGeom prst="rect">
                    <a:avLst/>
                  </a:prstGeom>
                </pic:spPr>
              </pic:pic>
            </a:graphicData>
          </a:graphic>
        </wp:inline>
      </w:drawing>
    </w:r>
  </w:p>
  <w:p w:rsidR="000F1F33" w:rsidRDefault="000F1F33">
    <w:pPr>
      <w:pStyle w:val="En-tte"/>
    </w:pPr>
  </w:p>
  <w:p w:rsidR="000F1F33" w:rsidRDefault="000F1F33">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1F33" w:rsidRDefault="000F1F33">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2A0F"/>
      </v:shape>
    </w:pict>
  </w:numPicBullet>
  <w:abstractNum w:abstractNumId="0">
    <w:nsid w:val="123647F3"/>
    <w:multiLevelType w:val="hybridMultilevel"/>
    <w:tmpl w:val="062AE664"/>
    <w:lvl w:ilvl="0" w:tplc="3622487C">
      <w:numFmt w:val="bullet"/>
      <w:lvlText w:val="-"/>
      <w:lvlJc w:val="left"/>
      <w:pPr>
        <w:ind w:left="360" w:hanging="360"/>
      </w:pPr>
      <w:rPr>
        <w:rFonts w:ascii="Verdana" w:eastAsia="Calibri" w:hAnsi="Verdana"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17E969B7"/>
    <w:multiLevelType w:val="hybridMultilevel"/>
    <w:tmpl w:val="A39E9632"/>
    <w:lvl w:ilvl="0" w:tplc="992A5954">
      <w:numFmt w:val="bullet"/>
      <w:lvlText w:val="-"/>
      <w:lvlJc w:val="left"/>
      <w:pPr>
        <w:ind w:left="720" w:hanging="360"/>
      </w:pPr>
      <w:rPr>
        <w:rFonts w:ascii="Verdana" w:eastAsia="Calibri"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9037001"/>
    <w:multiLevelType w:val="hybridMultilevel"/>
    <w:tmpl w:val="85AC909E"/>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44203A6F"/>
    <w:multiLevelType w:val="hybridMultilevel"/>
    <w:tmpl w:val="C8A4D798"/>
    <w:lvl w:ilvl="0" w:tplc="96861B66">
      <w:numFmt w:val="bullet"/>
      <w:lvlText w:val=""/>
      <w:lvlJc w:val="left"/>
      <w:pPr>
        <w:ind w:left="720" w:hanging="360"/>
      </w:pPr>
      <w:rPr>
        <w:rFonts w:ascii="Wingdings" w:eastAsia="Times"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57731797"/>
    <w:multiLevelType w:val="hybridMultilevel"/>
    <w:tmpl w:val="7D1ADB6A"/>
    <w:lvl w:ilvl="0" w:tplc="3622487C">
      <w:numFmt w:val="bullet"/>
      <w:lvlText w:val="-"/>
      <w:lvlJc w:val="left"/>
      <w:pPr>
        <w:ind w:left="720" w:hanging="360"/>
      </w:pPr>
      <w:rPr>
        <w:rFonts w:ascii="Verdana" w:eastAsia="Calibri"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5E11708B"/>
    <w:multiLevelType w:val="hybridMultilevel"/>
    <w:tmpl w:val="A9C6BE1A"/>
    <w:lvl w:ilvl="0" w:tplc="040C0007">
      <w:start w:val="1"/>
      <w:numFmt w:val="bullet"/>
      <w:lvlText w:val=""/>
      <w:lvlPicBulletId w:val="0"/>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nsid w:val="7E240BC0"/>
    <w:multiLevelType w:val="hybridMultilevel"/>
    <w:tmpl w:val="0AC8E97A"/>
    <w:lvl w:ilvl="0" w:tplc="96861B66">
      <w:numFmt w:val="bullet"/>
      <w:lvlText w:val=""/>
      <w:lvlJc w:val="left"/>
      <w:pPr>
        <w:ind w:left="720" w:hanging="360"/>
      </w:pPr>
      <w:rPr>
        <w:rFonts w:ascii="Wingdings" w:eastAsia="Times"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2"/>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hyphenationZone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Setting w:name="compatibilityMode" w:uri="http://schemas.microsoft.com/office/word" w:val="14"/>
    <w:compatSetting w:name="overrideTableStyleFontSizeAndJustification" w:uri="http://schemas.microsoft.com/office/word" w:val="1"/>
  </w:compat>
  <w:rsids>
    <w:rsidRoot w:val="00325E2F"/>
    <w:rsid w:val="000744B1"/>
    <w:rsid w:val="000F1F33"/>
    <w:rsid w:val="002D4B36"/>
    <w:rsid w:val="00325E2F"/>
    <w:rsid w:val="004721E9"/>
    <w:rsid w:val="004879DA"/>
    <w:rsid w:val="004B3557"/>
    <w:rsid w:val="00672E55"/>
    <w:rsid w:val="007F1C1F"/>
    <w:rsid w:val="008F4E14"/>
    <w:rsid w:val="00B537B1"/>
    <w:rsid w:val="00FA7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paragraph" w:styleId="Titre1">
    <w:name w:val="heading 1"/>
    <w:basedOn w:val="Normal"/>
    <w:next w:val="Normal"/>
    <w:link w:val="Titre1Car"/>
    <w:autoRedefine/>
    <w:uiPriority w:val="9"/>
    <w:qFormat/>
    <w:rsid w:val="002D4B36"/>
    <w:pPr>
      <w:keepNext/>
      <w:widowControl/>
      <w:spacing w:after="0" w:line="280" w:lineRule="exact"/>
      <w:jc w:val="center"/>
      <w:outlineLvl w:val="0"/>
    </w:pPr>
    <w:rPr>
      <w:rFonts w:ascii="Verdana" w:eastAsia="Times New Roman" w:hAnsi="Verdana" w:cs="Times New Roman"/>
      <w:b/>
      <w:bCs/>
      <w:color w:val="7030A0"/>
      <w:kern w:val="32"/>
      <w:sz w:val="28"/>
      <w:szCs w:val="28"/>
      <w:lang w:val="fr-FR" w:eastAsia="en-US"/>
    </w:rPr>
  </w:style>
  <w:style w:type="paragraph" w:styleId="Titre2">
    <w:name w:val="heading 2"/>
    <w:basedOn w:val="Normal"/>
    <w:next w:val="Normal"/>
    <w:link w:val="Titre2Car"/>
    <w:autoRedefine/>
    <w:uiPriority w:val="9"/>
    <w:unhideWhenUsed/>
    <w:qFormat/>
    <w:rsid w:val="008F4E14"/>
    <w:pPr>
      <w:keepNext/>
      <w:widowControl/>
      <w:spacing w:before="240" w:after="60" w:line="280" w:lineRule="exact"/>
      <w:jc w:val="both"/>
      <w:outlineLvl w:val="1"/>
    </w:pPr>
    <w:rPr>
      <w:rFonts w:ascii="Verdana" w:eastAsia="Times New Roman" w:hAnsi="Verdana" w:cs="Times New Roman"/>
      <w:b/>
      <w:bCs/>
      <w:iCs/>
      <w:color w:val="7030A0"/>
      <w:kern w:val="0"/>
      <w:sz w:val="18"/>
      <w:szCs w:val="18"/>
      <w:u w:val="single"/>
      <w:lang w:val="fr-FR"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semiHidden/>
    <w:unhideWhenUsed/>
    <w:rPr>
      <w:color w:val="0000FF" w:themeColor="hyperlink"/>
      <w:u w:val="single"/>
    </w:rPr>
  </w:style>
  <w:style w:type="paragraph" w:styleId="En-tte">
    <w:name w:val="header"/>
    <w:basedOn w:val="Normal"/>
    <w:link w:val="En-tteCar"/>
    <w:uiPriority w:val="99"/>
    <w:unhideWhenUsed/>
    <w:rsid w:val="00B537B1"/>
    <w:pPr>
      <w:tabs>
        <w:tab w:val="center" w:pos="4536"/>
        <w:tab w:val="right" w:pos="9072"/>
      </w:tabs>
      <w:spacing w:after="0" w:line="240" w:lineRule="auto"/>
    </w:pPr>
  </w:style>
  <w:style w:type="character" w:customStyle="1" w:styleId="En-tteCar">
    <w:name w:val="En-tête Car"/>
    <w:basedOn w:val="Policepardfaut"/>
    <w:link w:val="En-tte"/>
    <w:uiPriority w:val="99"/>
    <w:rsid w:val="00B537B1"/>
  </w:style>
  <w:style w:type="paragraph" w:styleId="Pieddepage">
    <w:name w:val="footer"/>
    <w:basedOn w:val="Normal"/>
    <w:link w:val="PieddepageCar"/>
    <w:uiPriority w:val="99"/>
    <w:unhideWhenUsed/>
    <w:rsid w:val="00B537B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537B1"/>
  </w:style>
  <w:style w:type="paragraph" w:styleId="Textedebulles">
    <w:name w:val="Balloon Text"/>
    <w:basedOn w:val="Normal"/>
    <w:link w:val="TextedebullesCar"/>
    <w:uiPriority w:val="99"/>
    <w:semiHidden/>
    <w:unhideWhenUsed/>
    <w:rsid w:val="00B537B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537B1"/>
    <w:rPr>
      <w:rFonts w:ascii="Tahoma" w:hAnsi="Tahoma" w:cs="Tahoma"/>
      <w:sz w:val="16"/>
      <w:szCs w:val="16"/>
    </w:rPr>
  </w:style>
  <w:style w:type="character" w:customStyle="1" w:styleId="Titre1Car">
    <w:name w:val="Titre 1 Car"/>
    <w:basedOn w:val="Policepardfaut"/>
    <w:link w:val="Titre1"/>
    <w:uiPriority w:val="9"/>
    <w:rsid w:val="002D4B36"/>
    <w:rPr>
      <w:rFonts w:ascii="Verdana" w:eastAsia="Times New Roman" w:hAnsi="Verdana" w:cs="Times New Roman"/>
      <w:b/>
      <w:bCs/>
      <w:color w:val="7030A0"/>
      <w:kern w:val="32"/>
      <w:sz w:val="28"/>
      <w:szCs w:val="28"/>
      <w:lang w:val="fr-FR" w:eastAsia="en-US"/>
    </w:rPr>
  </w:style>
  <w:style w:type="character" w:customStyle="1" w:styleId="Titre2Car">
    <w:name w:val="Titre 2 Car"/>
    <w:basedOn w:val="Policepardfaut"/>
    <w:link w:val="Titre2"/>
    <w:uiPriority w:val="9"/>
    <w:rsid w:val="008F4E14"/>
    <w:rPr>
      <w:rFonts w:ascii="Verdana" w:eastAsia="Times New Roman" w:hAnsi="Verdana" w:cs="Times New Roman"/>
      <w:b/>
      <w:bCs/>
      <w:iCs/>
      <w:color w:val="7030A0"/>
      <w:kern w:val="0"/>
      <w:sz w:val="18"/>
      <w:szCs w:val="18"/>
      <w:u w:val="single"/>
      <w:lang w:val="fr-FR" w:eastAsia="en-US"/>
    </w:rPr>
  </w:style>
  <w:style w:type="paragraph" w:styleId="Notedebasdepage">
    <w:name w:val="footnote text"/>
    <w:basedOn w:val="Normal"/>
    <w:link w:val="NotedebasdepageCar"/>
    <w:uiPriority w:val="99"/>
    <w:rsid w:val="008F4E14"/>
    <w:pPr>
      <w:widowControl/>
      <w:spacing w:before="240" w:after="0" w:line="280" w:lineRule="exact"/>
      <w:jc w:val="both"/>
    </w:pPr>
    <w:rPr>
      <w:rFonts w:ascii="Verdana" w:eastAsia="Calibri" w:hAnsi="Verdana" w:cs="Times New Roman"/>
      <w:kern w:val="0"/>
      <w:sz w:val="20"/>
      <w:szCs w:val="20"/>
      <w:lang w:val="fr-FR" w:eastAsia="en-US"/>
    </w:rPr>
  </w:style>
  <w:style w:type="character" w:customStyle="1" w:styleId="NotedebasdepageCar">
    <w:name w:val="Note de bas de page Car"/>
    <w:basedOn w:val="Policepardfaut"/>
    <w:link w:val="Notedebasdepage"/>
    <w:uiPriority w:val="99"/>
    <w:rsid w:val="008F4E14"/>
    <w:rPr>
      <w:rFonts w:ascii="Verdana" w:eastAsia="Calibri" w:hAnsi="Verdana" w:cs="Times New Roman"/>
      <w:kern w:val="0"/>
      <w:sz w:val="20"/>
      <w:szCs w:val="20"/>
      <w:lang w:val="fr-FR" w:eastAsia="en-US"/>
    </w:rPr>
  </w:style>
  <w:style w:type="character" w:styleId="Appelnotedebasdep">
    <w:name w:val="footnote reference"/>
    <w:uiPriority w:val="99"/>
    <w:rsid w:val="008F4E14"/>
    <w:rPr>
      <w:rFonts w:cs="Times New Roman"/>
      <w:vertAlign w:val="superscript"/>
    </w:rPr>
  </w:style>
  <w:style w:type="paragraph" w:styleId="Sansinterligne">
    <w:name w:val="No Spacing"/>
    <w:uiPriority w:val="1"/>
    <w:qFormat/>
    <w:rsid w:val="008F4E14"/>
    <w:pPr>
      <w:widowControl/>
      <w:spacing w:after="0" w:line="240" w:lineRule="auto"/>
    </w:pPr>
    <w:rPr>
      <w:rFonts w:ascii="Verdana" w:eastAsia="Calibri" w:hAnsi="Verdana" w:cs="Times New Roman"/>
      <w:kern w:val="0"/>
      <w:sz w:val="24"/>
      <w:lang w:val="fr-FR" w:eastAsia="en-US"/>
    </w:rPr>
  </w:style>
  <w:style w:type="paragraph" w:customStyle="1" w:styleId="Default">
    <w:name w:val="Default"/>
    <w:basedOn w:val="Normal"/>
    <w:rsid w:val="008F4E14"/>
    <w:pPr>
      <w:widowControl/>
      <w:autoSpaceDE w:val="0"/>
      <w:autoSpaceDN w:val="0"/>
      <w:spacing w:after="0" w:line="240" w:lineRule="auto"/>
    </w:pPr>
    <w:rPr>
      <w:rFonts w:ascii="EUAlbertina" w:eastAsia="Calibri" w:hAnsi="EUAlbertina" w:cs="Times New Roman"/>
      <w:color w:val="000000"/>
      <w:kern w:val="0"/>
      <w:sz w:val="24"/>
      <w:szCs w:val="24"/>
      <w:lang w:val="fr-FR" w:eastAsia="en-US"/>
    </w:rPr>
  </w:style>
  <w:style w:type="paragraph" w:styleId="Paragraphedeliste">
    <w:name w:val="List Paragraph"/>
    <w:basedOn w:val="Normal"/>
    <w:uiPriority w:val="34"/>
    <w:qFormat/>
    <w:rsid w:val="008F4E1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paragraph" w:styleId="Titre1">
    <w:name w:val="heading 1"/>
    <w:basedOn w:val="Normal"/>
    <w:next w:val="Normal"/>
    <w:link w:val="Titre1Car"/>
    <w:autoRedefine/>
    <w:uiPriority w:val="9"/>
    <w:qFormat/>
    <w:rsid w:val="002D4B36"/>
    <w:pPr>
      <w:keepNext/>
      <w:widowControl/>
      <w:spacing w:after="0" w:line="280" w:lineRule="exact"/>
      <w:jc w:val="center"/>
      <w:outlineLvl w:val="0"/>
    </w:pPr>
    <w:rPr>
      <w:rFonts w:ascii="Verdana" w:eastAsia="Times New Roman" w:hAnsi="Verdana" w:cs="Times New Roman"/>
      <w:b/>
      <w:bCs/>
      <w:color w:val="7030A0"/>
      <w:kern w:val="32"/>
      <w:sz w:val="28"/>
      <w:szCs w:val="28"/>
      <w:lang w:val="fr-FR" w:eastAsia="en-US"/>
    </w:rPr>
  </w:style>
  <w:style w:type="paragraph" w:styleId="Titre2">
    <w:name w:val="heading 2"/>
    <w:basedOn w:val="Normal"/>
    <w:next w:val="Normal"/>
    <w:link w:val="Titre2Car"/>
    <w:autoRedefine/>
    <w:uiPriority w:val="9"/>
    <w:unhideWhenUsed/>
    <w:qFormat/>
    <w:rsid w:val="008F4E14"/>
    <w:pPr>
      <w:keepNext/>
      <w:widowControl/>
      <w:spacing w:before="240" w:after="60" w:line="280" w:lineRule="exact"/>
      <w:jc w:val="both"/>
      <w:outlineLvl w:val="1"/>
    </w:pPr>
    <w:rPr>
      <w:rFonts w:ascii="Verdana" w:eastAsia="Times New Roman" w:hAnsi="Verdana" w:cs="Times New Roman"/>
      <w:b/>
      <w:bCs/>
      <w:iCs/>
      <w:color w:val="7030A0"/>
      <w:kern w:val="0"/>
      <w:sz w:val="18"/>
      <w:szCs w:val="18"/>
      <w:u w:val="single"/>
      <w:lang w:val="fr-FR"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semiHidden/>
    <w:unhideWhenUsed/>
    <w:rPr>
      <w:color w:val="0000FF" w:themeColor="hyperlink"/>
      <w:u w:val="single"/>
    </w:rPr>
  </w:style>
  <w:style w:type="paragraph" w:styleId="En-tte">
    <w:name w:val="header"/>
    <w:basedOn w:val="Normal"/>
    <w:link w:val="En-tteCar"/>
    <w:uiPriority w:val="99"/>
    <w:unhideWhenUsed/>
    <w:rsid w:val="00B537B1"/>
    <w:pPr>
      <w:tabs>
        <w:tab w:val="center" w:pos="4536"/>
        <w:tab w:val="right" w:pos="9072"/>
      </w:tabs>
      <w:spacing w:after="0" w:line="240" w:lineRule="auto"/>
    </w:pPr>
  </w:style>
  <w:style w:type="character" w:customStyle="1" w:styleId="En-tteCar">
    <w:name w:val="En-tête Car"/>
    <w:basedOn w:val="Policepardfaut"/>
    <w:link w:val="En-tte"/>
    <w:uiPriority w:val="99"/>
    <w:rsid w:val="00B537B1"/>
  </w:style>
  <w:style w:type="paragraph" w:styleId="Pieddepage">
    <w:name w:val="footer"/>
    <w:basedOn w:val="Normal"/>
    <w:link w:val="PieddepageCar"/>
    <w:uiPriority w:val="99"/>
    <w:unhideWhenUsed/>
    <w:rsid w:val="00B537B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537B1"/>
  </w:style>
  <w:style w:type="paragraph" w:styleId="Textedebulles">
    <w:name w:val="Balloon Text"/>
    <w:basedOn w:val="Normal"/>
    <w:link w:val="TextedebullesCar"/>
    <w:uiPriority w:val="99"/>
    <w:semiHidden/>
    <w:unhideWhenUsed/>
    <w:rsid w:val="00B537B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537B1"/>
    <w:rPr>
      <w:rFonts w:ascii="Tahoma" w:hAnsi="Tahoma" w:cs="Tahoma"/>
      <w:sz w:val="16"/>
      <w:szCs w:val="16"/>
    </w:rPr>
  </w:style>
  <w:style w:type="character" w:customStyle="1" w:styleId="Titre1Car">
    <w:name w:val="Titre 1 Car"/>
    <w:basedOn w:val="Policepardfaut"/>
    <w:link w:val="Titre1"/>
    <w:uiPriority w:val="9"/>
    <w:rsid w:val="002D4B36"/>
    <w:rPr>
      <w:rFonts w:ascii="Verdana" w:eastAsia="Times New Roman" w:hAnsi="Verdana" w:cs="Times New Roman"/>
      <w:b/>
      <w:bCs/>
      <w:color w:val="7030A0"/>
      <w:kern w:val="32"/>
      <w:sz w:val="28"/>
      <w:szCs w:val="28"/>
      <w:lang w:val="fr-FR" w:eastAsia="en-US"/>
    </w:rPr>
  </w:style>
  <w:style w:type="character" w:customStyle="1" w:styleId="Titre2Car">
    <w:name w:val="Titre 2 Car"/>
    <w:basedOn w:val="Policepardfaut"/>
    <w:link w:val="Titre2"/>
    <w:uiPriority w:val="9"/>
    <w:rsid w:val="008F4E14"/>
    <w:rPr>
      <w:rFonts w:ascii="Verdana" w:eastAsia="Times New Roman" w:hAnsi="Verdana" w:cs="Times New Roman"/>
      <w:b/>
      <w:bCs/>
      <w:iCs/>
      <w:color w:val="7030A0"/>
      <w:kern w:val="0"/>
      <w:sz w:val="18"/>
      <w:szCs w:val="18"/>
      <w:u w:val="single"/>
      <w:lang w:val="fr-FR" w:eastAsia="en-US"/>
    </w:rPr>
  </w:style>
  <w:style w:type="paragraph" w:styleId="Notedebasdepage">
    <w:name w:val="footnote text"/>
    <w:basedOn w:val="Normal"/>
    <w:link w:val="NotedebasdepageCar"/>
    <w:uiPriority w:val="99"/>
    <w:rsid w:val="008F4E14"/>
    <w:pPr>
      <w:widowControl/>
      <w:spacing w:before="240" w:after="0" w:line="280" w:lineRule="exact"/>
      <w:jc w:val="both"/>
    </w:pPr>
    <w:rPr>
      <w:rFonts w:ascii="Verdana" w:eastAsia="Calibri" w:hAnsi="Verdana" w:cs="Times New Roman"/>
      <w:kern w:val="0"/>
      <w:sz w:val="20"/>
      <w:szCs w:val="20"/>
      <w:lang w:val="fr-FR" w:eastAsia="en-US"/>
    </w:rPr>
  </w:style>
  <w:style w:type="character" w:customStyle="1" w:styleId="NotedebasdepageCar">
    <w:name w:val="Note de bas de page Car"/>
    <w:basedOn w:val="Policepardfaut"/>
    <w:link w:val="Notedebasdepage"/>
    <w:uiPriority w:val="99"/>
    <w:rsid w:val="008F4E14"/>
    <w:rPr>
      <w:rFonts w:ascii="Verdana" w:eastAsia="Calibri" w:hAnsi="Verdana" w:cs="Times New Roman"/>
      <w:kern w:val="0"/>
      <w:sz w:val="20"/>
      <w:szCs w:val="20"/>
      <w:lang w:val="fr-FR" w:eastAsia="en-US"/>
    </w:rPr>
  </w:style>
  <w:style w:type="character" w:styleId="Appelnotedebasdep">
    <w:name w:val="footnote reference"/>
    <w:uiPriority w:val="99"/>
    <w:rsid w:val="008F4E14"/>
    <w:rPr>
      <w:rFonts w:cs="Times New Roman"/>
      <w:vertAlign w:val="superscript"/>
    </w:rPr>
  </w:style>
  <w:style w:type="paragraph" w:styleId="Sansinterligne">
    <w:name w:val="No Spacing"/>
    <w:uiPriority w:val="1"/>
    <w:qFormat/>
    <w:rsid w:val="008F4E14"/>
    <w:pPr>
      <w:widowControl/>
      <w:spacing w:after="0" w:line="240" w:lineRule="auto"/>
    </w:pPr>
    <w:rPr>
      <w:rFonts w:ascii="Verdana" w:eastAsia="Calibri" w:hAnsi="Verdana" w:cs="Times New Roman"/>
      <w:kern w:val="0"/>
      <w:sz w:val="24"/>
      <w:lang w:val="fr-FR" w:eastAsia="en-US"/>
    </w:rPr>
  </w:style>
  <w:style w:type="paragraph" w:customStyle="1" w:styleId="Default">
    <w:name w:val="Default"/>
    <w:basedOn w:val="Normal"/>
    <w:rsid w:val="008F4E14"/>
    <w:pPr>
      <w:widowControl/>
      <w:autoSpaceDE w:val="0"/>
      <w:autoSpaceDN w:val="0"/>
      <w:spacing w:after="0" w:line="240" w:lineRule="auto"/>
    </w:pPr>
    <w:rPr>
      <w:rFonts w:ascii="EUAlbertina" w:eastAsia="Calibri" w:hAnsi="EUAlbertina" w:cs="Times New Roman"/>
      <w:color w:val="000000"/>
      <w:kern w:val="0"/>
      <w:sz w:val="24"/>
      <w:szCs w:val="24"/>
      <w:lang w:val="fr-FR" w:eastAsia="en-US"/>
    </w:rPr>
  </w:style>
  <w:style w:type="paragraph" w:styleId="Paragraphedeliste">
    <w:name w:val="List Paragraph"/>
    <w:basedOn w:val="Normal"/>
    <w:uiPriority w:val="34"/>
    <w:qFormat/>
    <w:rsid w:val="008F4E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023031-7911-4CAE-8D8C-E81665D5C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681</Words>
  <Characters>3751</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4424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A6709198</dc:creator>
  <cp:lastModifiedBy>A6723437</cp:lastModifiedBy>
  <cp:revision>3</cp:revision>
  <dcterms:created xsi:type="dcterms:W3CDTF">2018-07-27T09:21:00Z</dcterms:created>
  <dcterms:modified xsi:type="dcterms:W3CDTF">2018-07-27T09:23:00Z</dcterms:modified>
</cp:coreProperties>
</file>